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DC2" w:rsidRDefault="007239D6" w:rsidP="007239D6">
      <w:pPr>
        <w:pStyle w:val="PlainText"/>
        <w:jc w:val="center"/>
        <w:rPr>
          <w:rFonts w:ascii="Times New Roman" w:hAnsi="Times New Roman"/>
          <w:b/>
          <w:sz w:val="24"/>
          <w:lang w:val="en-US"/>
        </w:rPr>
      </w:pPr>
      <w:bookmarkStart w:id="0" w:name="_Hlk119601795"/>
      <w:bookmarkEnd w:id="0"/>
      <w:r>
        <w:rPr>
          <w:rFonts w:ascii="Times New Roman" w:hAnsi="Times New Roman"/>
          <w:b/>
          <w:sz w:val="24"/>
          <w:lang w:val="en-US"/>
        </w:rPr>
        <w:t xml:space="preserve">Delaware Soybean Board </w:t>
      </w:r>
    </w:p>
    <w:p w:rsidR="007239D6" w:rsidRPr="00C4064D" w:rsidRDefault="007D1DC2" w:rsidP="007D1DC2">
      <w:pPr>
        <w:pStyle w:val="PlainText"/>
        <w:jc w:val="center"/>
        <w:rPr>
          <w:rFonts w:ascii="Times New Roman" w:hAnsi="Times New Roman"/>
          <w:b/>
          <w:sz w:val="24"/>
          <w:lang w:val="en-US"/>
        </w:rPr>
      </w:pPr>
      <w:r>
        <w:rPr>
          <w:b/>
          <w:noProof/>
        </w:rPr>
        <w:drawing>
          <wp:inline distT="0" distB="0" distL="0" distR="0">
            <wp:extent cx="2859405" cy="793115"/>
            <wp:effectExtent l="0" t="0" r="0" b="6985"/>
            <wp:docPr id="1" name="Picture 1" descr="C:\Users\fnaveenkumar\AppData\Local\Microsoft\Windows\INetCache\Content.MSO\257FC4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naveenkumar\AppData\Local\Microsoft\Windows\INetCache\Content.MSO\257FC44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D6" w:rsidRPr="007605DF" w:rsidRDefault="007239D6" w:rsidP="00196A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DC2">
        <w:rPr>
          <w:rFonts w:ascii="Times New Roman" w:hAnsi="Times New Roman" w:cs="Times New Roman"/>
          <w:b/>
          <w:sz w:val="24"/>
          <w:szCs w:val="24"/>
        </w:rPr>
        <w:t>Report/Summary</w:t>
      </w:r>
      <w:r w:rsidR="00196AC1">
        <w:rPr>
          <w:rFonts w:ascii="Times New Roman" w:hAnsi="Times New Roman" w:cs="Times New Roman"/>
          <w:b/>
          <w:sz w:val="24"/>
          <w:szCs w:val="24"/>
        </w:rPr>
        <w:t xml:space="preserve"> Submitted by Naveen Dixit</w:t>
      </w:r>
    </w:p>
    <w:p w:rsidR="007605DF" w:rsidRDefault="007605DF" w:rsidP="00196AC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F04B63" w:rsidRPr="00892313" w:rsidRDefault="0082435C" w:rsidP="008923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17E">
        <w:rPr>
          <w:rFonts w:ascii="Times New Roman" w:eastAsia="Times New Roman" w:hAnsi="Times New Roman"/>
          <w:b/>
          <w:i/>
          <w:sz w:val="24"/>
          <w:szCs w:val="24"/>
          <w:u w:val="single"/>
        </w:rPr>
        <w:t>Title of Planned Research:</w:t>
      </w:r>
      <w:r w:rsidRPr="00B0173C">
        <w:rPr>
          <w:rFonts w:ascii="Times New Roman" w:eastAsia="Times New Roman" w:hAnsi="Times New Roman"/>
          <w:sz w:val="24"/>
          <w:szCs w:val="24"/>
        </w:rPr>
        <w:t xml:space="preserve"> </w:t>
      </w:r>
      <w:r w:rsidR="00F04B63" w:rsidRPr="00F04B63">
        <w:rPr>
          <w:rFonts w:ascii="Times New Roman" w:hAnsi="Times New Roman" w:cs="Times New Roman"/>
          <w:b/>
          <w:bCs/>
          <w:sz w:val="24"/>
          <w:szCs w:val="24"/>
        </w:rPr>
        <w:t>Management of Herbicide Resistance in Palmer Amaranth</w:t>
      </w:r>
      <w:r w:rsidR="00F04B63">
        <w:rPr>
          <w:rFonts w:ascii="Times New Roman" w:eastAsia="Times New Roman" w:hAnsi="Times New Roman"/>
          <w:sz w:val="24"/>
          <w:szCs w:val="24"/>
        </w:rPr>
        <w:t xml:space="preserve"> </w:t>
      </w:r>
      <w:r w:rsidR="00892313" w:rsidRPr="0089231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92313" w:rsidRPr="008923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Amaranthus </w:t>
      </w:r>
      <w:proofErr w:type="spellStart"/>
      <w:r w:rsidR="00892313" w:rsidRPr="00892313">
        <w:rPr>
          <w:rFonts w:ascii="Times New Roman" w:hAnsi="Times New Roman" w:cs="Times New Roman"/>
          <w:b/>
          <w:bCs/>
          <w:i/>
          <w:sz w:val="24"/>
          <w:szCs w:val="24"/>
        </w:rPr>
        <w:t>palmeri</w:t>
      </w:r>
      <w:proofErr w:type="spellEnd"/>
      <w:r w:rsidR="00892313" w:rsidRPr="00892313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3E4D91" w:rsidRDefault="005F64F8" w:rsidP="008529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4F8">
        <w:rPr>
          <w:rFonts w:ascii="Times New Roman" w:eastAsia="Times New Roman" w:hAnsi="Times New Roman"/>
          <w:b/>
          <w:i/>
          <w:sz w:val="24"/>
          <w:szCs w:val="24"/>
          <w:u w:val="single"/>
        </w:rPr>
        <w:t>Summary:</w:t>
      </w:r>
      <w:r>
        <w:t xml:space="preserve"> </w:t>
      </w:r>
      <w:r w:rsidR="00892313">
        <w:rPr>
          <w:rFonts w:ascii="Times New Roman" w:hAnsi="Times New Roman" w:cs="Times New Roman"/>
          <w:sz w:val="24"/>
          <w:szCs w:val="24"/>
        </w:rPr>
        <w:t>Non-target-site herbicide resistance was evaluated in commercially available herbicides labeled for the management of Palm</w:t>
      </w:r>
      <w:r w:rsidR="00E07B0B">
        <w:rPr>
          <w:rFonts w:ascii="Times New Roman" w:hAnsi="Times New Roman" w:cs="Times New Roman"/>
          <w:sz w:val="24"/>
          <w:szCs w:val="24"/>
        </w:rPr>
        <w:t>e</w:t>
      </w:r>
      <w:r w:rsidR="00892313">
        <w:rPr>
          <w:rFonts w:ascii="Times New Roman" w:hAnsi="Times New Roman" w:cs="Times New Roman"/>
          <w:sz w:val="24"/>
          <w:szCs w:val="24"/>
        </w:rPr>
        <w:t xml:space="preserve">r Amaranth </w:t>
      </w:r>
      <w:r w:rsidR="00892313" w:rsidRPr="00892313">
        <w:rPr>
          <w:rFonts w:ascii="Times New Roman" w:hAnsi="Times New Roman" w:cs="Times New Roman"/>
          <w:sz w:val="24"/>
          <w:szCs w:val="24"/>
        </w:rPr>
        <w:t>(</w:t>
      </w:r>
      <w:r w:rsidR="00892313" w:rsidRPr="00157CF6">
        <w:rPr>
          <w:rFonts w:ascii="Times New Roman" w:hAnsi="Times New Roman" w:cs="Times New Roman"/>
          <w:i/>
          <w:sz w:val="24"/>
          <w:szCs w:val="24"/>
        </w:rPr>
        <w:t xml:space="preserve">Amaranthus </w:t>
      </w:r>
      <w:proofErr w:type="spellStart"/>
      <w:r w:rsidR="00892313" w:rsidRPr="00157CF6">
        <w:rPr>
          <w:rFonts w:ascii="Times New Roman" w:hAnsi="Times New Roman" w:cs="Times New Roman"/>
          <w:i/>
          <w:sz w:val="24"/>
          <w:szCs w:val="24"/>
        </w:rPr>
        <w:t>palmeri</w:t>
      </w:r>
      <w:proofErr w:type="spellEnd"/>
      <w:r w:rsidR="00892313" w:rsidRPr="00892313">
        <w:rPr>
          <w:rFonts w:ascii="Times New Roman" w:hAnsi="Times New Roman" w:cs="Times New Roman"/>
          <w:sz w:val="24"/>
          <w:szCs w:val="24"/>
        </w:rPr>
        <w:t>)</w:t>
      </w:r>
      <w:r w:rsidR="00892313">
        <w:rPr>
          <w:rFonts w:ascii="Times New Roman" w:hAnsi="Times New Roman" w:cs="Times New Roman"/>
          <w:sz w:val="24"/>
          <w:szCs w:val="24"/>
        </w:rPr>
        <w:t xml:space="preserve">. Eight treatments (T1: Control, T2: </w:t>
      </w:r>
      <w:proofErr w:type="spellStart"/>
      <w:r w:rsidR="00892313" w:rsidRPr="00892313">
        <w:rPr>
          <w:rFonts w:ascii="Times New Roman" w:hAnsi="Times New Roman" w:cs="Times New Roman"/>
          <w:sz w:val="24"/>
          <w:szCs w:val="24"/>
        </w:rPr>
        <w:t>Flexstar</w:t>
      </w:r>
      <w:proofErr w:type="spellEnd"/>
      <w:r w:rsidR="00892313" w:rsidRPr="00892313">
        <w:rPr>
          <w:rFonts w:ascii="Times New Roman" w:hAnsi="Times New Roman" w:cs="Times New Roman"/>
          <w:sz w:val="24"/>
          <w:szCs w:val="24"/>
        </w:rPr>
        <w:t xml:space="preserve"> (22.1%)</w:t>
      </w:r>
      <w:r w:rsidR="00892313" w:rsidRPr="00892313">
        <w:rPr>
          <w:rFonts w:ascii="Times New Roman" w:hAnsi="Times New Roman" w:cs="Times New Roman"/>
          <w:sz w:val="24"/>
          <w:szCs w:val="24"/>
        </w:rPr>
        <w:t xml:space="preserve">, T3: </w:t>
      </w:r>
      <w:r w:rsidR="00892313" w:rsidRPr="00892313">
        <w:rPr>
          <w:rFonts w:ascii="Times New Roman" w:hAnsi="Times New Roman" w:cs="Times New Roman"/>
          <w:sz w:val="24"/>
          <w:szCs w:val="24"/>
        </w:rPr>
        <w:t>Buccaneer 5 Extra (53.8%)</w:t>
      </w:r>
      <w:r w:rsidR="00892313" w:rsidRPr="00892313">
        <w:rPr>
          <w:rFonts w:ascii="Times New Roman" w:hAnsi="Times New Roman" w:cs="Times New Roman"/>
          <w:sz w:val="24"/>
          <w:szCs w:val="24"/>
        </w:rPr>
        <w:t xml:space="preserve">, T4: </w:t>
      </w:r>
      <w:proofErr w:type="spellStart"/>
      <w:r w:rsidR="00892313" w:rsidRPr="00892313">
        <w:rPr>
          <w:rFonts w:ascii="Times New Roman" w:hAnsi="Times New Roman" w:cs="Times New Roman"/>
          <w:sz w:val="24"/>
          <w:szCs w:val="24"/>
        </w:rPr>
        <w:t>Flexstar</w:t>
      </w:r>
      <w:proofErr w:type="spellEnd"/>
      <w:r w:rsidR="00892313" w:rsidRPr="00892313">
        <w:rPr>
          <w:rFonts w:ascii="Times New Roman" w:hAnsi="Times New Roman" w:cs="Times New Roman"/>
          <w:sz w:val="24"/>
          <w:szCs w:val="24"/>
        </w:rPr>
        <w:t xml:space="preserve"> (5.88%) GT3.5 with Glyphosate</w:t>
      </w:r>
      <w:r w:rsidR="00892313">
        <w:rPr>
          <w:rFonts w:ascii="Times New Roman" w:hAnsi="Times New Roman" w:cs="Times New Roman"/>
          <w:sz w:val="24"/>
          <w:szCs w:val="24"/>
        </w:rPr>
        <w:t xml:space="preserve"> </w:t>
      </w:r>
      <w:r w:rsidR="00892313" w:rsidRPr="00892313">
        <w:rPr>
          <w:rFonts w:ascii="Times New Roman" w:hAnsi="Times New Roman" w:cs="Times New Roman"/>
          <w:sz w:val="24"/>
          <w:szCs w:val="24"/>
        </w:rPr>
        <w:t>(22.40%)</w:t>
      </w:r>
      <w:r w:rsidR="00892313" w:rsidRPr="00892313">
        <w:rPr>
          <w:rFonts w:ascii="Times New Roman" w:hAnsi="Times New Roman" w:cs="Times New Roman"/>
          <w:sz w:val="24"/>
          <w:szCs w:val="24"/>
        </w:rPr>
        <w:t xml:space="preserve">, T5: </w:t>
      </w:r>
      <w:r w:rsidR="00892313" w:rsidRPr="00892313">
        <w:rPr>
          <w:rFonts w:ascii="Times New Roman" w:hAnsi="Times New Roman" w:cs="Times New Roman"/>
          <w:sz w:val="24"/>
          <w:szCs w:val="24"/>
        </w:rPr>
        <w:t>Defy LV-6 (88.4%): 2,4-D</w:t>
      </w:r>
      <w:r w:rsidR="00892313" w:rsidRPr="00892313">
        <w:rPr>
          <w:rFonts w:ascii="Times New Roman" w:hAnsi="Times New Roman" w:cs="Times New Roman"/>
          <w:sz w:val="24"/>
          <w:szCs w:val="24"/>
        </w:rPr>
        <w:t xml:space="preserve">, T6: </w:t>
      </w:r>
      <w:r w:rsidR="00892313" w:rsidRPr="00892313">
        <w:rPr>
          <w:rFonts w:ascii="Times New Roman" w:hAnsi="Times New Roman" w:cs="Times New Roman"/>
          <w:sz w:val="24"/>
          <w:szCs w:val="24"/>
        </w:rPr>
        <w:t>Enlist Duo (Glyphosate:</w:t>
      </w:r>
      <w:r w:rsidR="00892313">
        <w:rPr>
          <w:rFonts w:ascii="Times New Roman" w:hAnsi="Times New Roman" w:cs="Times New Roman"/>
          <w:sz w:val="24"/>
          <w:szCs w:val="24"/>
        </w:rPr>
        <w:t xml:space="preserve"> </w:t>
      </w:r>
      <w:r w:rsidR="00892313" w:rsidRPr="00892313">
        <w:rPr>
          <w:rFonts w:ascii="Times New Roman" w:hAnsi="Times New Roman" w:cs="Times New Roman"/>
          <w:sz w:val="24"/>
          <w:szCs w:val="24"/>
        </w:rPr>
        <w:t>22.1% + 2,4-D: 24.4%)</w:t>
      </w:r>
      <w:r w:rsidR="00892313" w:rsidRPr="00892313">
        <w:rPr>
          <w:rFonts w:ascii="Times New Roman" w:hAnsi="Times New Roman" w:cs="Times New Roman"/>
          <w:sz w:val="24"/>
          <w:szCs w:val="24"/>
        </w:rPr>
        <w:t>, T7: Dicamba,</w:t>
      </w:r>
      <w:r w:rsidR="00892313">
        <w:rPr>
          <w:rFonts w:ascii="Times New Roman" w:hAnsi="Times New Roman" w:cs="Times New Roman"/>
          <w:sz w:val="24"/>
          <w:szCs w:val="24"/>
        </w:rPr>
        <w:t xml:space="preserve"> and</w:t>
      </w:r>
      <w:r w:rsidR="00892313" w:rsidRPr="00892313">
        <w:rPr>
          <w:rFonts w:ascii="Times New Roman" w:hAnsi="Times New Roman" w:cs="Times New Roman"/>
          <w:sz w:val="24"/>
          <w:szCs w:val="24"/>
        </w:rPr>
        <w:t xml:space="preserve"> T8: VISOR S-MOC (83.7%)</w:t>
      </w:r>
      <w:r w:rsidR="00294457">
        <w:rPr>
          <w:rFonts w:ascii="Times New Roman" w:hAnsi="Times New Roman" w:cs="Times New Roman"/>
          <w:sz w:val="24"/>
          <w:szCs w:val="24"/>
        </w:rPr>
        <w:t xml:space="preserve"> were used with recommend rates as per label.</w:t>
      </w:r>
      <w:r w:rsidR="006749D6">
        <w:rPr>
          <w:rFonts w:ascii="Times New Roman" w:hAnsi="Times New Roman" w:cs="Times New Roman"/>
          <w:sz w:val="24"/>
          <w:szCs w:val="24"/>
        </w:rPr>
        <w:t xml:space="preserve"> Glutathione-S-Transferase (GST) and Glutathione Reductase (GR) activity was determined in leaf samples in all the treatments after 15 min of exposure in herbicides</w:t>
      </w:r>
      <w:r w:rsidR="00454179">
        <w:rPr>
          <w:rFonts w:ascii="Times New Roman" w:hAnsi="Times New Roman" w:cs="Times New Roman"/>
          <w:sz w:val="24"/>
          <w:szCs w:val="24"/>
        </w:rPr>
        <w:t xml:space="preserve"> </w:t>
      </w:r>
      <w:r w:rsidR="006749D6">
        <w:rPr>
          <w:rFonts w:ascii="Times New Roman" w:hAnsi="Times New Roman" w:cs="Times New Roman"/>
          <w:sz w:val="24"/>
          <w:szCs w:val="24"/>
        </w:rPr>
        <w:t>followed by incubation in water for 1 hr</w:t>
      </w:r>
      <w:r w:rsidR="005A58E1">
        <w:rPr>
          <w:rFonts w:ascii="Times New Roman" w:hAnsi="Times New Roman" w:cs="Times New Roman"/>
          <w:sz w:val="24"/>
          <w:szCs w:val="24"/>
        </w:rPr>
        <w:t>.</w:t>
      </w:r>
      <w:r w:rsidR="006749D6">
        <w:rPr>
          <w:rFonts w:ascii="Times New Roman" w:hAnsi="Times New Roman" w:cs="Times New Roman"/>
          <w:sz w:val="24"/>
          <w:szCs w:val="24"/>
        </w:rPr>
        <w:t xml:space="preserve"> GST activity was the highest in glyphosate treated leaves and followed by </w:t>
      </w:r>
      <w:r w:rsidR="006749D6" w:rsidRPr="006749D6">
        <w:rPr>
          <w:rFonts w:ascii="Times New Roman" w:hAnsi="Times New Roman" w:cs="Times New Roman"/>
          <w:sz w:val="24"/>
          <w:szCs w:val="24"/>
        </w:rPr>
        <w:t>Glyphosat</w:t>
      </w:r>
      <w:r w:rsidR="006749D6">
        <w:rPr>
          <w:rFonts w:ascii="Times New Roman" w:hAnsi="Times New Roman" w:cs="Times New Roman"/>
          <w:sz w:val="24"/>
          <w:szCs w:val="24"/>
        </w:rPr>
        <w:t>e &gt;</w:t>
      </w:r>
      <w:r w:rsidR="006749D6" w:rsidRPr="00674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9D6" w:rsidRPr="006749D6">
        <w:rPr>
          <w:rFonts w:ascii="Times New Roman" w:hAnsi="Times New Roman" w:cs="Times New Roman"/>
          <w:sz w:val="24"/>
          <w:szCs w:val="24"/>
        </w:rPr>
        <w:t>Fomesafen</w:t>
      </w:r>
      <w:proofErr w:type="spellEnd"/>
      <w:r w:rsidR="006749D6" w:rsidRPr="006749D6">
        <w:rPr>
          <w:rFonts w:ascii="Times New Roman" w:hAnsi="Times New Roman" w:cs="Times New Roman"/>
          <w:sz w:val="24"/>
          <w:szCs w:val="24"/>
        </w:rPr>
        <w:t xml:space="preserve"> &gt;</w:t>
      </w:r>
      <w:r w:rsidR="00674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9D6" w:rsidRPr="006749D6">
        <w:rPr>
          <w:rFonts w:ascii="Times New Roman" w:hAnsi="Times New Roman" w:cs="Times New Roman"/>
          <w:sz w:val="24"/>
          <w:szCs w:val="24"/>
        </w:rPr>
        <w:t>Fomesafen</w:t>
      </w:r>
      <w:proofErr w:type="spellEnd"/>
      <w:r w:rsidR="006749D6">
        <w:rPr>
          <w:rFonts w:ascii="Times New Roman" w:hAnsi="Times New Roman" w:cs="Times New Roman"/>
          <w:sz w:val="24"/>
          <w:szCs w:val="24"/>
        </w:rPr>
        <w:t xml:space="preserve"> </w:t>
      </w:r>
      <w:r w:rsidR="006749D6" w:rsidRPr="006749D6">
        <w:rPr>
          <w:rFonts w:ascii="Times New Roman" w:hAnsi="Times New Roman" w:cs="Times New Roman"/>
          <w:sz w:val="24"/>
          <w:szCs w:val="24"/>
        </w:rPr>
        <w:t>+</w:t>
      </w:r>
      <w:r w:rsidR="006749D6">
        <w:rPr>
          <w:rFonts w:ascii="Times New Roman" w:hAnsi="Times New Roman" w:cs="Times New Roman"/>
          <w:sz w:val="24"/>
          <w:szCs w:val="24"/>
        </w:rPr>
        <w:t xml:space="preserve"> </w:t>
      </w:r>
      <w:r w:rsidR="006749D6" w:rsidRPr="006749D6">
        <w:rPr>
          <w:rFonts w:ascii="Times New Roman" w:hAnsi="Times New Roman" w:cs="Times New Roman"/>
          <w:sz w:val="24"/>
          <w:szCs w:val="24"/>
        </w:rPr>
        <w:t>Glyphosate</w:t>
      </w:r>
      <w:r w:rsidR="006749D6">
        <w:rPr>
          <w:rFonts w:ascii="Times New Roman" w:hAnsi="Times New Roman" w:cs="Times New Roman"/>
          <w:sz w:val="24"/>
          <w:szCs w:val="24"/>
        </w:rPr>
        <w:t xml:space="preserve"> </w:t>
      </w:r>
      <w:r w:rsidR="006749D6" w:rsidRPr="006749D6">
        <w:rPr>
          <w:rFonts w:ascii="Times New Roman" w:hAnsi="Times New Roman" w:cs="Times New Roman"/>
          <w:sz w:val="24"/>
          <w:szCs w:val="24"/>
        </w:rPr>
        <w:t>&gt; 2,4-D &gt;</w:t>
      </w:r>
      <w:r w:rsidR="006749D6">
        <w:rPr>
          <w:rFonts w:ascii="Times New Roman" w:hAnsi="Times New Roman" w:cs="Times New Roman"/>
          <w:sz w:val="24"/>
          <w:szCs w:val="24"/>
        </w:rPr>
        <w:t xml:space="preserve"> </w:t>
      </w:r>
      <w:r w:rsidR="006749D6" w:rsidRPr="006749D6">
        <w:rPr>
          <w:rFonts w:ascii="Times New Roman" w:hAnsi="Times New Roman" w:cs="Times New Roman"/>
          <w:sz w:val="24"/>
          <w:szCs w:val="24"/>
        </w:rPr>
        <w:t>Dicamba &gt;</w:t>
      </w:r>
      <w:r w:rsidR="006749D6">
        <w:rPr>
          <w:rFonts w:ascii="Times New Roman" w:hAnsi="Times New Roman" w:cs="Times New Roman"/>
          <w:sz w:val="24"/>
          <w:szCs w:val="24"/>
        </w:rPr>
        <w:t xml:space="preserve"> </w:t>
      </w:r>
      <w:r w:rsidR="006749D6" w:rsidRPr="006749D6">
        <w:rPr>
          <w:rFonts w:ascii="Times New Roman" w:hAnsi="Times New Roman" w:cs="Times New Roman"/>
          <w:sz w:val="24"/>
          <w:szCs w:val="24"/>
        </w:rPr>
        <w:t>2,4-D</w:t>
      </w:r>
      <w:r w:rsidR="006749D6">
        <w:rPr>
          <w:rFonts w:ascii="Times New Roman" w:hAnsi="Times New Roman" w:cs="Times New Roman"/>
          <w:sz w:val="24"/>
          <w:szCs w:val="24"/>
        </w:rPr>
        <w:t xml:space="preserve"> </w:t>
      </w:r>
      <w:r w:rsidR="006749D6" w:rsidRPr="006749D6">
        <w:rPr>
          <w:rFonts w:ascii="Times New Roman" w:hAnsi="Times New Roman" w:cs="Times New Roman"/>
          <w:sz w:val="24"/>
          <w:szCs w:val="24"/>
        </w:rPr>
        <w:t>+</w:t>
      </w:r>
      <w:r w:rsidR="006749D6">
        <w:rPr>
          <w:rFonts w:ascii="Times New Roman" w:hAnsi="Times New Roman" w:cs="Times New Roman"/>
          <w:sz w:val="24"/>
          <w:szCs w:val="24"/>
        </w:rPr>
        <w:t xml:space="preserve"> </w:t>
      </w:r>
      <w:r w:rsidR="006749D6" w:rsidRPr="006749D6">
        <w:rPr>
          <w:rFonts w:ascii="Times New Roman" w:hAnsi="Times New Roman" w:cs="Times New Roman"/>
          <w:sz w:val="24"/>
          <w:szCs w:val="24"/>
        </w:rPr>
        <w:t>Glyphosate</w:t>
      </w:r>
      <w:r w:rsidR="006749D6">
        <w:rPr>
          <w:rFonts w:ascii="Times New Roman" w:hAnsi="Times New Roman" w:cs="Times New Roman"/>
          <w:sz w:val="24"/>
          <w:szCs w:val="24"/>
        </w:rPr>
        <w:t xml:space="preserve"> </w:t>
      </w:r>
      <w:r w:rsidR="006749D6" w:rsidRPr="006749D6">
        <w:rPr>
          <w:rFonts w:ascii="Times New Roman" w:hAnsi="Times New Roman" w:cs="Times New Roman"/>
          <w:sz w:val="24"/>
          <w:szCs w:val="24"/>
        </w:rPr>
        <w:t>&gt; Metolachlor</w:t>
      </w:r>
      <w:r w:rsidR="006749D6">
        <w:rPr>
          <w:rFonts w:ascii="Times New Roman" w:hAnsi="Times New Roman" w:cs="Times New Roman"/>
          <w:sz w:val="24"/>
          <w:szCs w:val="24"/>
        </w:rPr>
        <w:t>. The lowest GST activity was observed in T6 (</w:t>
      </w:r>
      <w:r w:rsidR="006749D6" w:rsidRPr="006749D6">
        <w:rPr>
          <w:rFonts w:ascii="Times New Roman" w:hAnsi="Times New Roman" w:cs="Times New Roman"/>
          <w:sz w:val="24"/>
          <w:szCs w:val="24"/>
        </w:rPr>
        <w:t>2,4-D</w:t>
      </w:r>
      <w:r w:rsidR="006749D6">
        <w:rPr>
          <w:rFonts w:ascii="Times New Roman" w:hAnsi="Times New Roman" w:cs="Times New Roman"/>
          <w:sz w:val="24"/>
          <w:szCs w:val="24"/>
        </w:rPr>
        <w:t xml:space="preserve"> </w:t>
      </w:r>
      <w:r w:rsidR="006749D6" w:rsidRPr="006749D6">
        <w:rPr>
          <w:rFonts w:ascii="Times New Roman" w:hAnsi="Times New Roman" w:cs="Times New Roman"/>
          <w:sz w:val="24"/>
          <w:szCs w:val="24"/>
        </w:rPr>
        <w:t>+</w:t>
      </w:r>
      <w:r w:rsidR="006749D6">
        <w:rPr>
          <w:rFonts w:ascii="Times New Roman" w:hAnsi="Times New Roman" w:cs="Times New Roman"/>
          <w:sz w:val="24"/>
          <w:szCs w:val="24"/>
        </w:rPr>
        <w:t xml:space="preserve"> </w:t>
      </w:r>
      <w:r w:rsidR="006749D6" w:rsidRPr="006749D6">
        <w:rPr>
          <w:rFonts w:ascii="Times New Roman" w:hAnsi="Times New Roman" w:cs="Times New Roman"/>
          <w:sz w:val="24"/>
          <w:szCs w:val="24"/>
        </w:rPr>
        <w:t>Glyphosate</w:t>
      </w:r>
      <w:r w:rsidR="006749D6">
        <w:rPr>
          <w:rFonts w:ascii="Times New Roman" w:hAnsi="Times New Roman" w:cs="Times New Roman"/>
          <w:sz w:val="24"/>
          <w:szCs w:val="24"/>
        </w:rPr>
        <w:t>) and T8 (</w:t>
      </w:r>
      <w:r w:rsidR="006749D6" w:rsidRPr="006749D6">
        <w:rPr>
          <w:rFonts w:ascii="Times New Roman" w:hAnsi="Times New Roman" w:cs="Times New Roman"/>
          <w:sz w:val="24"/>
          <w:szCs w:val="24"/>
        </w:rPr>
        <w:t>Metolachlor</w:t>
      </w:r>
      <w:r w:rsidR="006749D6">
        <w:rPr>
          <w:rFonts w:ascii="Times New Roman" w:hAnsi="Times New Roman" w:cs="Times New Roman"/>
          <w:sz w:val="24"/>
          <w:szCs w:val="24"/>
        </w:rPr>
        <w:t>). Levels of GST were higher in herbicide treatment</w:t>
      </w:r>
      <w:r w:rsidR="00852944">
        <w:rPr>
          <w:rFonts w:ascii="Times New Roman" w:hAnsi="Times New Roman" w:cs="Times New Roman"/>
          <w:sz w:val="24"/>
          <w:szCs w:val="24"/>
        </w:rPr>
        <w:t>s</w:t>
      </w:r>
      <w:r w:rsidR="006749D6">
        <w:rPr>
          <w:rFonts w:ascii="Times New Roman" w:hAnsi="Times New Roman" w:cs="Times New Roman"/>
          <w:sz w:val="24"/>
          <w:szCs w:val="24"/>
        </w:rPr>
        <w:t xml:space="preserve"> with single mode of action</w:t>
      </w:r>
      <w:r w:rsidR="00852944">
        <w:rPr>
          <w:rFonts w:ascii="Times New Roman" w:hAnsi="Times New Roman" w:cs="Times New Roman"/>
          <w:sz w:val="24"/>
          <w:szCs w:val="24"/>
        </w:rPr>
        <w:t xml:space="preserve"> except T8 </w:t>
      </w:r>
      <w:r w:rsidR="00852944">
        <w:rPr>
          <w:rFonts w:ascii="Times New Roman" w:hAnsi="Times New Roman" w:cs="Times New Roman"/>
          <w:sz w:val="24"/>
          <w:szCs w:val="24"/>
        </w:rPr>
        <w:t>(</w:t>
      </w:r>
      <w:r w:rsidR="00852944" w:rsidRPr="006749D6">
        <w:rPr>
          <w:rFonts w:ascii="Times New Roman" w:hAnsi="Times New Roman" w:cs="Times New Roman"/>
          <w:sz w:val="24"/>
          <w:szCs w:val="24"/>
        </w:rPr>
        <w:t>Metolachlor</w:t>
      </w:r>
      <w:r w:rsidR="00852944">
        <w:rPr>
          <w:rFonts w:ascii="Times New Roman" w:hAnsi="Times New Roman" w:cs="Times New Roman"/>
          <w:sz w:val="24"/>
          <w:szCs w:val="24"/>
        </w:rPr>
        <w:t>)</w:t>
      </w:r>
      <w:r w:rsidR="00852944">
        <w:rPr>
          <w:rFonts w:ascii="Times New Roman" w:hAnsi="Times New Roman" w:cs="Times New Roman"/>
          <w:sz w:val="24"/>
          <w:szCs w:val="24"/>
        </w:rPr>
        <w:t xml:space="preserve"> while lower in herbicide treatments with more than one mode of action. Treatments with lower levels of GST </w:t>
      </w:r>
      <w:r w:rsidR="005A58E1">
        <w:rPr>
          <w:rFonts w:ascii="Times New Roman" w:hAnsi="Times New Roman" w:cs="Times New Roman"/>
          <w:sz w:val="24"/>
          <w:szCs w:val="24"/>
        </w:rPr>
        <w:t xml:space="preserve">can slow down the evolution </w:t>
      </w:r>
      <w:r w:rsidR="00852944">
        <w:rPr>
          <w:rFonts w:ascii="Times New Roman" w:hAnsi="Times New Roman" w:cs="Times New Roman"/>
          <w:sz w:val="24"/>
          <w:szCs w:val="24"/>
        </w:rPr>
        <w:t xml:space="preserve">of non-target-site resistance in comparison to treatments with higher GST levels. Higher GR levels were also associated with the lower levels of GST </w:t>
      </w:r>
      <w:r w:rsidR="00852944" w:rsidRPr="00852944">
        <w:rPr>
          <w:rFonts w:ascii="Times New Roman" w:hAnsi="Times New Roman" w:cs="Times New Roman"/>
          <w:sz w:val="24"/>
          <w:szCs w:val="24"/>
        </w:rPr>
        <w:t xml:space="preserve">except </w:t>
      </w:r>
      <w:r w:rsidR="005A58E1">
        <w:rPr>
          <w:rFonts w:ascii="Times New Roman" w:hAnsi="Times New Roman" w:cs="Times New Roman"/>
          <w:sz w:val="24"/>
          <w:szCs w:val="24"/>
        </w:rPr>
        <w:t xml:space="preserve">in </w:t>
      </w:r>
      <w:r w:rsidR="00852944" w:rsidRPr="00852944">
        <w:rPr>
          <w:rFonts w:ascii="Times New Roman" w:hAnsi="Times New Roman" w:cs="Times New Roman"/>
          <w:sz w:val="24"/>
          <w:szCs w:val="24"/>
        </w:rPr>
        <w:t>T8 (Metolachlor).</w:t>
      </w:r>
      <w:r w:rsidR="00852944">
        <w:rPr>
          <w:rFonts w:ascii="Times New Roman" w:hAnsi="Times New Roman" w:cs="Times New Roman"/>
          <w:sz w:val="24"/>
          <w:szCs w:val="24"/>
        </w:rPr>
        <w:t xml:space="preserve"> Based on these findings, it is evident that </w:t>
      </w:r>
      <w:r w:rsidR="005A58E1">
        <w:rPr>
          <w:rFonts w:ascii="Times New Roman" w:hAnsi="Times New Roman" w:cs="Times New Roman"/>
          <w:sz w:val="24"/>
          <w:szCs w:val="24"/>
        </w:rPr>
        <w:t xml:space="preserve">the </w:t>
      </w:r>
      <w:r w:rsidR="00852944">
        <w:rPr>
          <w:rFonts w:ascii="Times New Roman" w:hAnsi="Times New Roman" w:cs="Times New Roman"/>
          <w:sz w:val="24"/>
          <w:szCs w:val="24"/>
        </w:rPr>
        <w:t xml:space="preserve">use of herbicides with single mode of action must be </w:t>
      </w:r>
      <w:r w:rsidR="005A58E1">
        <w:rPr>
          <w:rFonts w:ascii="Times New Roman" w:hAnsi="Times New Roman" w:cs="Times New Roman"/>
          <w:sz w:val="24"/>
          <w:szCs w:val="24"/>
        </w:rPr>
        <w:t>avoided</w:t>
      </w:r>
      <w:r w:rsidR="00852944">
        <w:rPr>
          <w:rFonts w:ascii="Times New Roman" w:hAnsi="Times New Roman" w:cs="Times New Roman"/>
          <w:sz w:val="24"/>
          <w:szCs w:val="24"/>
        </w:rPr>
        <w:t xml:space="preserve"> while a mixture application is beneficial to </w:t>
      </w:r>
      <w:r w:rsidR="005A58E1">
        <w:rPr>
          <w:rFonts w:ascii="Times New Roman" w:hAnsi="Times New Roman" w:cs="Times New Roman"/>
          <w:sz w:val="24"/>
          <w:szCs w:val="24"/>
        </w:rPr>
        <w:t>slow down</w:t>
      </w:r>
      <w:r w:rsidR="00852944">
        <w:rPr>
          <w:rFonts w:ascii="Times New Roman" w:hAnsi="Times New Roman" w:cs="Times New Roman"/>
          <w:sz w:val="24"/>
          <w:szCs w:val="24"/>
        </w:rPr>
        <w:t xml:space="preserve"> the occurrence of non-target site resistance in Palm</w:t>
      </w:r>
      <w:r w:rsidR="00E07B0B">
        <w:rPr>
          <w:rFonts w:ascii="Times New Roman" w:hAnsi="Times New Roman" w:cs="Times New Roman"/>
          <w:sz w:val="24"/>
          <w:szCs w:val="24"/>
        </w:rPr>
        <w:t>e</w:t>
      </w:r>
      <w:r w:rsidR="00852944">
        <w:rPr>
          <w:rFonts w:ascii="Times New Roman" w:hAnsi="Times New Roman" w:cs="Times New Roman"/>
          <w:sz w:val="24"/>
          <w:szCs w:val="24"/>
        </w:rPr>
        <w:t xml:space="preserve">r Amaranth. </w:t>
      </w:r>
    </w:p>
    <w:p w:rsidR="00A129E4" w:rsidRPr="00F34414" w:rsidRDefault="003E4D91" w:rsidP="00852944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64F8">
        <w:rPr>
          <w:rFonts w:ascii="Times New Roman" w:eastAsia="Times New Roman" w:hAnsi="Times New Roman"/>
          <w:b/>
          <w:i/>
          <w:sz w:val="24"/>
          <w:szCs w:val="24"/>
          <w:u w:val="single"/>
        </w:rPr>
        <w:t>Overview of Activities/Project:</w:t>
      </w:r>
      <w:r>
        <w:t xml:space="preserve"> </w:t>
      </w:r>
      <w:r w:rsidR="00571254">
        <w:t xml:space="preserve"> </w:t>
      </w:r>
      <w:r w:rsidR="00F34414" w:rsidRPr="00F34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Palmer Amaranth seeds were collected from the soybean field at UMES and grown in a greenhouse using germinating trays. Once seedlings reached 2 to 4 leaf stages were transferred to individual pots containing potting medium. Leaf samples were collected at 4-leaf stage and incubated for 15 min. in commercially available herbicides ((T1: Control, T2: </w:t>
      </w:r>
      <w:proofErr w:type="spellStart"/>
      <w:r w:rsidR="00F34414" w:rsidRPr="00F34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Flexstar</w:t>
      </w:r>
      <w:proofErr w:type="spellEnd"/>
      <w:r w:rsidR="00F34414" w:rsidRPr="00F34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(22.1%), T3: Buccaneer 5 Extra (53.8%), T4: </w:t>
      </w:r>
      <w:proofErr w:type="spellStart"/>
      <w:r w:rsidR="00F34414" w:rsidRPr="00F34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Flexstar</w:t>
      </w:r>
      <w:proofErr w:type="spellEnd"/>
      <w:r w:rsidR="00F34414" w:rsidRPr="00F34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(5.88%) GT3.5 with Glyphosate (22.40%), T5: Defy LV-6 (88.4%): 2,4-D, T6: Enlist Duo (Glyphosate: 22.1% + 2,4-D: 24.4%), T7: Dicamba, and T8: VISOR S-MOC (83.7%) recommended for the control of Palmer Amaranth. Leaf samples were exposed to herbicides in petri dishes in laboratory conditions followed by incubation in distilled water for 1 </w:t>
      </w:r>
      <w:proofErr w:type="spellStart"/>
      <w:r w:rsidR="00F34414" w:rsidRPr="00F34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hr</w:t>
      </w:r>
      <w:proofErr w:type="spellEnd"/>
      <w:r w:rsidR="00F34414" w:rsidRPr="00F34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450 µ mole photons m</w:t>
      </w:r>
      <w:r w:rsidR="00F34414" w:rsidRPr="00F34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-2</w:t>
      </w:r>
      <w:r w:rsidR="00F34414" w:rsidRPr="00F34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s</w:t>
      </w:r>
      <w:r w:rsidR="00F34414" w:rsidRPr="00F34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-1 </w:t>
      </w:r>
      <w:r w:rsidR="00F34414" w:rsidRPr="00F34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(Fig.1)</w:t>
      </w:r>
      <w:r w:rsidR="00F34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A129E4">
        <w:rPr>
          <w:noProof/>
        </w:rPr>
        <w:drawing>
          <wp:inline distT="0" distB="0" distL="0" distR="0">
            <wp:extent cx="5830215" cy="303835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677" cy="304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A3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129E4" w:rsidRPr="00F34414" w:rsidRDefault="00A129E4" w:rsidP="008529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414">
        <w:rPr>
          <w:rFonts w:ascii="Times New Roman" w:hAnsi="Times New Roman" w:cs="Times New Roman"/>
          <w:b/>
          <w:sz w:val="24"/>
          <w:szCs w:val="24"/>
        </w:rPr>
        <w:t>Fig.1. Palmer Amaranth seed germination, seedling growth, and herbicide treatment.</w:t>
      </w:r>
    </w:p>
    <w:p w:rsidR="00892313" w:rsidRDefault="0096668C" w:rsidP="00616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Leaf samples were pr</w:t>
      </w:r>
      <w:r w:rsidR="00F34414">
        <w:rPr>
          <w:rFonts w:ascii="Times New Roman" w:hAnsi="Times New Roman" w:cs="Times New Roman"/>
          <w:sz w:val="24"/>
          <w:szCs w:val="24"/>
        </w:rPr>
        <w:t>epared</w:t>
      </w:r>
      <w:r>
        <w:rPr>
          <w:rFonts w:ascii="Times New Roman" w:hAnsi="Times New Roman" w:cs="Times New Roman"/>
          <w:sz w:val="24"/>
          <w:szCs w:val="24"/>
        </w:rPr>
        <w:t xml:space="preserve"> for the estimation of GST and GR activities.</w:t>
      </w:r>
      <w:r w:rsidR="006168D0">
        <w:rPr>
          <w:rFonts w:ascii="Times New Roman" w:hAnsi="Times New Roman" w:cs="Times New Roman"/>
          <w:sz w:val="24"/>
          <w:szCs w:val="24"/>
        </w:rPr>
        <w:t xml:space="preserve"> </w:t>
      </w:r>
      <w:r w:rsidR="006168D0" w:rsidRPr="006168D0">
        <w:rPr>
          <w:rFonts w:ascii="Times New Roman" w:hAnsi="Times New Roman" w:cs="Times New Roman"/>
          <w:sz w:val="24"/>
          <w:szCs w:val="24"/>
        </w:rPr>
        <w:t>Leaf samples (0.</w:t>
      </w:r>
      <w:r w:rsidR="006168D0">
        <w:rPr>
          <w:rFonts w:ascii="Times New Roman" w:hAnsi="Times New Roman" w:cs="Times New Roman"/>
          <w:sz w:val="24"/>
          <w:szCs w:val="24"/>
        </w:rPr>
        <w:t>25</w:t>
      </w:r>
      <w:r w:rsidR="006168D0" w:rsidRPr="006168D0">
        <w:rPr>
          <w:rFonts w:ascii="Times New Roman" w:hAnsi="Times New Roman" w:cs="Times New Roman"/>
          <w:sz w:val="24"/>
          <w:szCs w:val="24"/>
        </w:rPr>
        <w:t xml:space="preserve"> g) w</w:t>
      </w:r>
      <w:r w:rsidR="00F34414">
        <w:rPr>
          <w:rFonts w:ascii="Times New Roman" w:hAnsi="Times New Roman" w:cs="Times New Roman"/>
          <w:sz w:val="24"/>
          <w:szCs w:val="24"/>
        </w:rPr>
        <w:t>ere</w:t>
      </w:r>
      <w:r w:rsidR="006168D0" w:rsidRPr="006168D0">
        <w:rPr>
          <w:rFonts w:ascii="Times New Roman" w:hAnsi="Times New Roman" w:cs="Times New Roman"/>
          <w:sz w:val="24"/>
          <w:szCs w:val="24"/>
        </w:rPr>
        <w:t xml:space="preserve"> macerated in 10 ml 0.1 M potassium phosphate buffer, pH 7.5 containing 0.5 mM EDTA and filtered through cheesecloth. The filtrate w</w:t>
      </w:r>
      <w:r w:rsidR="00F34414">
        <w:rPr>
          <w:rFonts w:ascii="Times New Roman" w:hAnsi="Times New Roman" w:cs="Times New Roman"/>
          <w:sz w:val="24"/>
          <w:szCs w:val="24"/>
        </w:rPr>
        <w:t>as</w:t>
      </w:r>
      <w:r w:rsidR="006168D0" w:rsidRPr="006168D0">
        <w:rPr>
          <w:rFonts w:ascii="Times New Roman" w:hAnsi="Times New Roman" w:cs="Times New Roman"/>
          <w:sz w:val="24"/>
          <w:szCs w:val="24"/>
        </w:rPr>
        <w:t xml:space="preserve"> centrifuged at 15,000g for 15 min. GST activity w</w:t>
      </w:r>
      <w:r w:rsidR="00F34414">
        <w:rPr>
          <w:rFonts w:ascii="Times New Roman" w:hAnsi="Times New Roman" w:cs="Times New Roman"/>
          <w:sz w:val="24"/>
          <w:szCs w:val="24"/>
        </w:rPr>
        <w:t>as</w:t>
      </w:r>
      <w:r w:rsidR="006168D0" w:rsidRPr="006168D0">
        <w:rPr>
          <w:rFonts w:ascii="Times New Roman" w:hAnsi="Times New Roman" w:cs="Times New Roman"/>
          <w:sz w:val="24"/>
          <w:szCs w:val="24"/>
        </w:rPr>
        <w:t xml:space="preserve"> measured using 2,4-Dinitrochlorobenzene (CDNB) in a 1-mL reaction mixture containing 20 </w:t>
      </w:r>
      <w:proofErr w:type="spellStart"/>
      <w:r w:rsidR="006168D0" w:rsidRPr="006168D0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6168D0" w:rsidRPr="006168D0">
        <w:rPr>
          <w:rFonts w:ascii="Times New Roman" w:hAnsi="Times New Roman" w:cs="Times New Roman"/>
          <w:sz w:val="24"/>
          <w:szCs w:val="24"/>
        </w:rPr>
        <w:t xml:space="preserve"> of leaf extract, 1.0 mm GSH, 1.0 mm CDNB, and 0.1 m potassium phosphate buffer (pH 7.5). The protein extract w</w:t>
      </w:r>
      <w:r w:rsidR="006B58CF">
        <w:rPr>
          <w:rFonts w:ascii="Times New Roman" w:hAnsi="Times New Roman" w:cs="Times New Roman"/>
          <w:sz w:val="24"/>
          <w:szCs w:val="24"/>
        </w:rPr>
        <w:t>as</w:t>
      </w:r>
      <w:r w:rsidR="006168D0" w:rsidRPr="006168D0">
        <w:rPr>
          <w:rFonts w:ascii="Times New Roman" w:hAnsi="Times New Roman" w:cs="Times New Roman"/>
          <w:sz w:val="24"/>
          <w:szCs w:val="24"/>
        </w:rPr>
        <w:t xml:space="preserve"> added in last and absorption w</w:t>
      </w:r>
      <w:r w:rsidR="006B58CF">
        <w:rPr>
          <w:rFonts w:ascii="Times New Roman" w:hAnsi="Times New Roman" w:cs="Times New Roman"/>
          <w:sz w:val="24"/>
          <w:szCs w:val="24"/>
        </w:rPr>
        <w:t>as</w:t>
      </w:r>
      <w:r w:rsidR="006168D0" w:rsidRPr="006168D0">
        <w:rPr>
          <w:rFonts w:ascii="Times New Roman" w:hAnsi="Times New Roman" w:cs="Times New Roman"/>
          <w:sz w:val="24"/>
          <w:szCs w:val="24"/>
        </w:rPr>
        <w:t xml:space="preserve"> measured at A340 for 300 s using a spectrophotometer</w:t>
      </w:r>
      <w:r w:rsidR="006168D0">
        <w:rPr>
          <w:rFonts w:ascii="Times New Roman" w:hAnsi="Times New Roman" w:cs="Times New Roman"/>
          <w:sz w:val="24"/>
          <w:szCs w:val="24"/>
        </w:rPr>
        <w:t xml:space="preserve">. </w:t>
      </w:r>
      <w:r w:rsidR="006168D0" w:rsidRPr="006168D0">
        <w:rPr>
          <w:rFonts w:ascii="Times New Roman" w:hAnsi="Times New Roman" w:cs="Times New Roman"/>
          <w:sz w:val="24"/>
          <w:szCs w:val="24"/>
        </w:rPr>
        <w:t>GR activity was assayed in a reaction mixture containing 50 mM potassium phosphate buffer (pH 7.5), 3 mM DNTB (5,5-dithio-bis-2-nitrobenzoic acid), 0.1 mM EDTA, 2 mM NADPH, and enzyme. The reaction was initiated by adding 0.67 mM GSSG (oxidized glutathione). The increase in absorbance at 412 nm was recorded at 25°C over a period of 5 min. GR specific activity was expressed as nmole min</w:t>
      </w:r>
      <w:r w:rsidR="006168D0" w:rsidRPr="006168D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168D0" w:rsidRPr="006168D0">
        <w:rPr>
          <w:rFonts w:ascii="Times New Roman" w:hAnsi="Times New Roman" w:cs="Times New Roman"/>
          <w:sz w:val="24"/>
          <w:szCs w:val="24"/>
        </w:rPr>
        <w:t xml:space="preserve"> mg</w:t>
      </w:r>
      <w:r w:rsidR="006168D0" w:rsidRPr="006168D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168D0" w:rsidRPr="006168D0">
        <w:rPr>
          <w:rFonts w:ascii="Times New Roman" w:hAnsi="Times New Roman" w:cs="Times New Roman"/>
          <w:sz w:val="24"/>
          <w:szCs w:val="24"/>
        </w:rPr>
        <w:t xml:space="preserve"> protein. Protein content was determined by the method of Bradford (1976) using BSA as the standard</w:t>
      </w:r>
      <w:r w:rsidR="006168D0" w:rsidRPr="006168D0">
        <w:rPr>
          <w:rFonts w:ascii="Times New Roman" w:hAnsi="Times New Roman" w:cs="Times New Roman"/>
          <w:sz w:val="24"/>
          <w:szCs w:val="24"/>
        </w:rPr>
        <w:t xml:space="preserve">. </w:t>
      </w:r>
      <w:r w:rsidR="006168D0" w:rsidRPr="006168D0">
        <w:rPr>
          <w:rFonts w:ascii="Times New Roman" w:hAnsi="Times New Roman" w:cs="Times New Roman"/>
          <w:sz w:val="24"/>
          <w:szCs w:val="24"/>
        </w:rPr>
        <w:t xml:space="preserve">Three experiments were conducted </w:t>
      </w:r>
      <w:r w:rsidR="006168D0" w:rsidRPr="006168D0">
        <w:rPr>
          <w:rFonts w:ascii="Times New Roman" w:hAnsi="Times New Roman" w:cs="Times New Roman"/>
          <w:sz w:val="24"/>
          <w:szCs w:val="24"/>
        </w:rPr>
        <w:lastRenderedPageBreak/>
        <w:t>as a completely randomized design and fifteen replicates</w:t>
      </w:r>
      <w:r w:rsidR="006168D0">
        <w:rPr>
          <w:rFonts w:ascii="Times New Roman" w:hAnsi="Times New Roman" w:cs="Times New Roman"/>
          <w:sz w:val="24"/>
          <w:szCs w:val="24"/>
        </w:rPr>
        <w:t>.</w:t>
      </w:r>
      <w:r w:rsidR="006168D0" w:rsidRPr="006168D0">
        <w:rPr>
          <w:rFonts w:ascii="Times New Roman" w:hAnsi="Times New Roman" w:cs="Times New Roman"/>
          <w:sz w:val="24"/>
          <w:szCs w:val="24"/>
        </w:rPr>
        <w:t xml:space="preserve"> All biochemical assays were repeated 3 times with five replicates on each </w:t>
      </w:r>
      <w:r w:rsidR="00792E3F">
        <w:rPr>
          <w:rFonts w:ascii="Times New Roman" w:hAnsi="Times New Roman" w:cs="Times New Roman"/>
          <w:sz w:val="24"/>
          <w:szCs w:val="24"/>
        </w:rPr>
        <w:t>plant</w:t>
      </w:r>
      <w:r w:rsidR="006168D0" w:rsidRPr="006168D0">
        <w:rPr>
          <w:rFonts w:ascii="Times New Roman" w:hAnsi="Times New Roman" w:cs="Times New Roman"/>
          <w:sz w:val="24"/>
          <w:szCs w:val="24"/>
        </w:rPr>
        <w:t xml:space="preserve"> (n = 15)</w:t>
      </w:r>
      <w:r w:rsidR="00792E3F">
        <w:rPr>
          <w:rFonts w:ascii="Times New Roman" w:hAnsi="Times New Roman" w:cs="Times New Roman"/>
          <w:sz w:val="24"/>
          <w:szCs w:val="24"/>
        </w:rPr>
        <w:t xml:space="preserve">. </w:t>
      </w:r>
      <w:r w:rsidR="006168D0" w:rsidRPr="006168D0">
        <w:rPr>
          <w:rFonts w:ascii="Times New Roman" w:hAnsi="Times New Roman" w:cs="Times New Roman"/>
          <w:sz w:val="24"/>
          <w:szCs w:val="24"/>
        </w:rPr>
        <w:t>The means per plant were determined and subjected to analysis of variance (SAS OnDemand for Academics) and separated using a protected least significant difference (LSD) at P &lt; 0.05. The standard error (SE) of the mean was also calculated</w:t>
      </w:r>
    </w:p>
    <w:p w:rsidR="00593187" w:rsidRPr="00852264" w:rsidRDefault="005F64F8" w:rsidP="00852264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5070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Detailed Description of How Objectives Have Been Met:</w:t>
      </w:r>
      <w:r w:rsidRPr="008507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12020" w:rsidRPr="008507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12020" w:rsidRPr="00A53C9F">
        <w:rPr>
          <w:rFonts w:ascii="Times New Roman" w:eastAsia="Times New Roman" w:hAnsi="Times New Roman" w:cs="Times New Roman"/>
          <w:sz w:val="24"/>
          <w:szCs w:val="24"/>
        </w:rPr>
        <w:t>GST</w:t>
      </w:r>
      <w:r w:rsidR="00866AA7" w:rsidRPr="00A53C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70B" w:rsidRPr="00A53C9F">
        <w:rPr>
          <w:rFonts w:ascii="Times New Roman" w:eastAsia="Times New Roman" w:hAnsi="Times New Roman" w:cs="Times New Roman"/>
          <w:sz w:val="24"/>
          <w:szCs w:val="24"/>
        </w:rPr>
        <w:t>activity increased in all the treatments</w:t>
      </w:r>
      <w:r w:rsidR="006B58CF">
        <w:rPr>
          <w:rFonts w:ascii="Times New Roman" w:eastAsia="Times New Roman" w:hAnsi="Times New Roman" w:cs="Times New Roman"/>
          <w:sz w:val="24"/>
          <w:szCs w:val="24"/>
        </w:rPr>
        <w:t xml:space="preserve"> in comparison to control</w:t>
      </w:r>
      <w:r w:rsidR="0085070B" w:rsidRPr="00A53C9F">
        <w:rPr>
          <w:rFonts w:ascii="Times New Roman" w:eastAsia="Times New Roman" w:hAnsi="Times New Roman" w:cs="Times New Roman"/>
          <w:sz w:val="24"/>
          <w:szCs w:val="24"/>
        </w:rPr>
        <w:t xml:space="preserve"> (Fig.2). The highest GST activity (36.98 nmole min</w:t>
      </w:r>
      <w:r w:rsidR="0085070B" w:rsidRPr="00A53C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85070B" w:rsidRPr="00A53C9F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  <w:r w:rsidR="0085070B" w:rsidRPr="00A53C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85070B" w:rsidRPr="00A53C9F">
        <w:rPr>
          <w:rFonts w:ascii="Times New Roman" w:eastAsia="Times New Roman" w:hAnsi="Times New Roman" w:cs="Times New Roman"/>
          <w:sz w:val="24"/>
          <w:szCs w:val="24"/>
        </w:rPr>
        <w:t xml:space="preserve"> protein) was observed in T3 (</w:t>
      </w:r>
      <w:r w:rsidR="0085070B" w:rsidRPr="00850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Buccaneer 5 Extra (53.8%)</w:t>
      </w:r>
      <w:r w:rsidR="0085070B" w:rsidRPr="00A53C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The activity was 67.5% more in</w:t>
      </w:r>
      <w:r w:rsidR="00C77B0B" w:rsidRPr="00A53C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leaves of T3 plants in</w:t>
      </w:r>
      <w:r w:rsidR="0085070B" w:rsidRPr="00A53C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77B0B" w:rsidRPr="00A53C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comparison to control. The lower increase in GST was observed </w:t>
      </w:r>
      <w:r w:rsidR="00C77B0B" w:rsidRPr="00A53C9F">
        <w:rPr>
          <w:rFonts w:ascii="Times New Roman" w:eastAsia="Times New Roman" w:hAnsi="Times New Roman" w:cs="Times New Roman"/>
          <w:sz w:val="24"/>
          <w:szCs w:val="24"/>
        </w:rPr>
        <w:t>in T6 (</w:t>
      </w:r>
      <w:r w:rsidR="00A53C9F" w:rsidRPr="0085070B">
        <w:rPr>
          <w:rFonts w:ascii="Times New Roman" w:eastAsia="Times New Roman" w:hAnsi="Times New Roman" w:cs="Times New Roman"/>
          <w:sz w:val="24"/>
          <w:szCs w:val="24"/>
        </w:rPr>
        <w:t>Enlist Duo (Glyphosate:22.1% + 2,4-D: 24.4%)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</w:rPr>
        <w:t xml:space="preserve">; 18.49 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</w:rPr>
        <w:t>nmole min</w:t>
      </w:r>
      <w:r w:rsidR="00A53C9F" w:rsidRPr="006B58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  <w:r w:rsidR="00A53C9F" w:rsidRPr="006B58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</w:rPr>
        <w:t xml:space="preserve"> protein</w:t>
      </w:r>
      <w:r w:rsidR="00C77B0B" w:rsidRPr="00A53C9F">
        <w:rPr>
          <w:rFonts w:ascii="Times New Roman" w:eastAsia="Times New Roman" w:hAnsi="Times New Roman" w:cs="Times New Roman"/>
          <w:sz w:val="24"/>
          <w:szCs w:val="24"/>
        </w:rPr>
        <w:t>) and T8 (</w:t>
      </w:r>
      <w:r w:rsidR="00A53C9F" w:rsidRPr="0085070B">
        <w:rPr>
          <w:rFonts w:ascii="Times New Roman" w:eastAsia="Times New Roman" w:hAnsi="Times New Roman" w:cs="Times New Roman"/>
          <w:sz w:val="24"/>
          <w:szCs w:val="24"/>
        </w:rPr>
        <w:t>VISOR S-MOC (83.7%)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</w:rPr>
        <w:t xml:space="preserve">, Metolachlor; 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</w:rPr>
        <w:t>18.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</w:rPr>
        <w:t xml:space="preserve"> nmole min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</w:rPr>
        <w:t xml:space="preserve"> protein</w:t>
      </w:r>
      <w:r w:rsidR="00C77B0B" w:rsidRPr="00A53C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A53C9F" w:rsidRPr="00A53C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3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26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GST activity was higher </w:t>
      </w:r>
      <w:r w:rsidR="006B58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 the </w:t>
      </w:r>
      <w:r w:rsidR="0085226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herbicide</w:t>
      </w:r>
      <w:r w:rsidR="006B58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treatments</w:t>
      </w:r>
      <w:r w:rsidR="0085226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with single mode of action such as in T2 (</w:t>
      </w:r>
      <w:proofErr w:type="spellStart"/>
      <w:r w:rsidR="00852264" w:rsidRPr="00850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Flexstar</w:t>
      </w:r>
      <w:proofErr w:type="spellEnd"/>
      <w:r w:rsidR="00852264" w:rsidRPr="00850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(22.1%)</w:t>
      </w:r>
      <w:r w:rsidR="0085226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 30.75</w:t>
      </w:r>
      <w:r w:rsidR="006B58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>nmole min</w:t>
      </w:r>
      <w:r w:rsidR="006B58CF" w:rsidRPr="006B58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  <w:r w:rsidR="006B58CF" w:rsidRPr="006B58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 xml:space="preserve"> protein</w:t>
      </w:r>
      <w:r w:rsidR="0085226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), T5 (</w:t>
      </w:r>
      <w:r w:rsidR="00852264" w:rsidRPr="00850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Defy LV-6 (88.4%) 2,4-D</w:t>
      </w:r>
      <w:r w:rsidR="0085226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26.81 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>nmole min</w:t>
      </w:r>
      <w:r w:rsidR="006B58CF" w:rsidRPr="006B58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  <w:r w:rsidR="006B58CF" w:rsidRPr="006B58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 xml:space="preserve"> protein</w:t>
      </w:r>
      <w:r w:rsidR="0085226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), and T7 (</w:t>
      </w:r>
      <w:r w:rsidR="00852264" w:rsidRPr="00850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Dicamba (48.2%)</w:t>
      </w:r>
      <w:r w:rsidR="0085226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26.91 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>nmole min</w:t>
      </w:r>
      <w:r w:rsidR="006B58CF" w:rsidRPr="006B58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  <w:r w:rsidR="006B58CF" w:rsidRPr="006B58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 xml:space="preserve"> protein</w:t>
      </w:r>
      <w:r w:rsidR="0085226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except T8.</w:t>
      </w:r>
      <w:r w:rsid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However, the GST activity was low in herbicide mixtures with more than 1 mode of action in comparison to herbicide with single mode of action such as </w:t>
      </w:r>
      <w:r w:rsidR="006B58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 </w:t>
      </w:r>
      <w:r w:rsid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T4 (</w:t>
      </w:r>
      <w:proofErr w:type="spellStart"/>
      <w:r w:rsidR="00852264" w:rsidRPr="00850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Flexstar</w:t>
      </w:r>
      <w:proofErr w:type="spellEnd"/>
      <w:r w:rsidR="00852264" w:rsidRPr="00850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(5.88%) GT3.5 with Glyphosate</w:t>
      </w:r>
      <w:r w:rsid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2264" w:rsidRPr="00850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(22.40%)</w:t>
      </w:r>
      <w:r w:rsidR="0085226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28.73 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>nmole min</w:t>
      </w:r>
      <w:r w:rsidR="006B58CF" w:rsidRPr="006B58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  <w:r w:rsidR="006B58CF" w:rsidRPr="006B58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 xml:space="preserve"> protein</w:t>
      </w:r>
      <w:r w:rsid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and T6 (</w:t>
      </w:r>
      <w:r w:rsidR="00852264" w:rsidRPr="00850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Enlist Duo (Glyphosate:22.1% + 2,4-D: 24.4%)</w:t>
      </w:r>
      <w:r w:rsidR="0085226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18.49 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>nmole min</w:t>
      </w:r>
      <w:r w:rsidR="006B58CF" w:rsidRPr="006B58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  <w:r w:rsidR="006B58CF" w:rsidRPr="006B58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B58CF" w:rsidRPr="00A53C9F">
        <w:rPr>
          <w:rFonts w:ascii="Times New Roman" w:eastAsia="Times New Roman" w:hAnsi="Times New Roman" w:cs="Times New Roman"/>
          <w:sz w:val="24"/>
          <w:szCs w:val="24"/>
        </w:rPr>
        <w:t xml:space="preserve"> protein</w:t>
      </w:r>
      <w:r w:rsid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).    </w:t>
      </w:r>
    </w:p>
    <w:p w:rsidR="00593187" w:rsidRDefault="00593187" w:rsidP="00FE08D8">
      <w:pPr>
        <w:spacing w:line="480" w:lineRule="auto"/>
        <w:jc w:val="both"/>
      </w:pPr>
      <w:r>
        <w:rPr>
          <w:noProof/>
        </w:rPr>
        <w:drawing>
          <wp:inline distT="0" distB="0" distL="0" distR="0" wp14:anchorId="45F640F9" wp14:editId="5BFEF261">
            <wp:extent cx="5887085" cy="2792099"/>
            <wp:effectExtent l="0" t="0" r="18415" b="825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8D2F85BE-5950-4FCB-9E55-D4864F5C89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070B" w:rsidRPr="006B58CF" w:rsidRDefault="0085070B" w:rsidP="008507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8CF">
        <w:rPr>
          <w:rFonts w:ascii="Times New Roman" w:hAnsi="Times New Roman" w:cs="Times New Roman"/>
          <w:b/>
          <w:sz w:val="24"/>
          <w:szCs w:val="24"/>
        </w:rPr>
        <w:t>Fig.</w:t>
      </w:r>
      <w:r w:rsidRPr="006B58CF">
        <w:rPr>
          <w:rFonts w:ascii="Times New Roman" w:hAnsi="Times New Roman" w:cs="Times New Roman"/>
          <w:b/>
          <w:sz w:val="24"/>
          <w:szCs w:val="24"/>
        </w:rPr>
        <w:t>2</w:t>
      </w:r>
      <w:r w:rsidRPr="006B58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B58CF">
        <w:rPr>
          <w:rFonts w:ascii="Times New Roman" w:hAnsi="Times New Roman" w:cs="Times New Roman"/>
          <w:b/>
          <w:sz w:val="24"/>
          <w:szCs w:val="24"/>
        </w:rPr>
        <w:t xml:space="preserve">Effect of herbicides on GST activity in </w:t>
      </w:r>
      <w:r w:rsidRPr="006B58CF">
        <w:rPr>
          <w:rFonts w:ascii="Times New Roman" w:hAnsi="Times New Roman" w:cs="Times New Roman"/>
          <w:b/>
          <w:sz w:val="24"/>
          <w:szCs w:val="24"/>
        </w:rPr>
        <w:t>Palmer Amaranth</w:t>
      </w:r>
      <w:r w:rsidRPr="006B58CF">
        <w:rPr>
          <w:rFonts w:ascii="Times New Roman" w:hAnsi="Times New Roman" w:cs="Times New Roman"/>
          <w:b/>
          <w:sz w:val="24"/>
          <w:szCs w:val="24"/>
        </w:rPr>
        <w:t>.</w:t>
      </w:r>
    </w:p>
    <w:p w:rsidR="00852264" w:rsidRPr="00747F47" w:rsidRDefault="00524163" w:rsidP="008507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4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Higher GR activity observed in </w:t>
      </w:r>
      <w:r w:rsidR="00D01614">
        <w:rPr>
          <w:rFonts w:ascii="Times New Roman" w:hAnsi="Times New Roman" w:cs="Times New Roman"/>
          <w:bCs/>
          <w:sz w:val="24"/>
          <w:szCs w:val="24"/>
        </w:rPr>
        <w:t xml:space="preserve">treatments T5 (433 nmole </w:t>
      </w:r>
      <w:r w:rsidR="00D0161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min</w:t>
      </w:r>
      <w:r w:rsidR="00D01614" w:rsidRPr="006B58C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-1</w:t>
      </w:r>
      <w:r w:rsidR="00D0161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mg</w:t>
      </w:r>
      <w:r w:rsidR="00D01614" w:rsidRPr="006B58C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-1</w:t>
      </w:r>
      <w:r w:rsidR="00D0161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protein</w:t>
      </w:r>
      <w:r w:rsidR="00D01614">
        <w:rPr>
          <w:rFonts w:ascii="Times New Roman" w:hAnsi="Times New Roman" w:cs="Times New Roman"/>
          <w:bCs/>
          <w:sz w:val="24"/>
          <w:szCs w:val="24"/>
        </w:rPr>
        <w:t xml:space="preserve">) and T6 (441 </w:t>
      </w:r>
      <w:r w:rsidR="00D01614">
        <w:rPr>
          <w:rFonts w:ascii="Times New Roman" w:hAnsi="Times New Roman" w:cs="Times New Roman"/>
          <w:bCs/>
          <w:sz w:val="24"/>
          <w:szCs w:val="24"/>
        </w:rPr>
        <w:t xml:space="preserve">nmole </w:t>
      </w:r>
      <w:r w:rsidR="00D0161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min</w:t>
      </w:r>
      <w:r w:rsidR="00D01614" w:rsidRPr="006B58C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-1</w:t>
      </w:r>
      <w:r w:rsidR="00D0161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mg</w:t>
      </w:r>
      <w:r w:rsidR="00D01614" w:rsidRPr="006B58C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-1</w:t>
      </w:r>
      <w:r w:rsidR="00D0161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protein</w:t>
      </w:r>
      <w:r w:rsidR="00D0161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747F47">
        <w:rPr>
          <w:rFonts w:ascii="Times New Roman" w:hAnsi="Times New Roman" w:cs="Times New Roman"/>
          <w:bCs/>
          <w:sz w:val="24"/>
          <w:szCs w:val="24"/>
        </w:rPr>
        <w:t xml:space="preserve">with minimum GST </w:t>
      </w:r>
      <w:r w:rsidR="00D01614">
        <w:rPr>
          <w:rFonts w:ascii="Times New Roman" w:hAnsi="Times New Roman" w:cs="Times New Roman"/>
          <w:bCs/>
          <w:sz w:val="24"/>
          <w:szCs w:val="24"/>
        </w:rPr>
        <w:t xml:space="preserve">(T5 (26.81 </w:t>
      </w:r>
      <w:r w:rsidR="00D01614">
        <w:rPr>
          <w:rFonts w:ascii="Times New Roman" w:hAnsi="Times New Roman" w:cs="Times New Roman"/>
          <w:bCs/>
          <w:sz w:val="24"/>
          <w:szCs w:val="24"/>
        </w:rPr>
        <w:t xml:space="preserve">nmole </w:t>
      </w:r>
      <w:r w:rsidR="00D0161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min</w:t>
      </w:r>
      <w:r w:rsidR="00D01614" w:rsidRPr="006B58C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-1</w:t>
      </w:r>
      <w:r w:rsidR="00D0161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mg</w:t>
      </w:r>
      <w:r w:rsidR="00D01614" w:rsidRPr="006B58C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-1</w:t>
      </w:r>
      <w:r w:rsidR="00D0161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protein</w:t>
      </w:r>
      <w:r w:rsidR="00D01614">
        <w:rPr>
          <w:rFonts w:ascii="Times New Roman" w:hAnsi="Times New Roman" w:cs="Times New Roman"/>
          <w:bCs/>
          <w:sz w:val="24"/>
          <w:szCs w:val="24"/>
        </w:rPr>
        <w:t xml:space="preserve">) and T6 (18.49 </w:t>
      </w:r>
      <w:r w:rsidR="00D01614">
        <w:rPr>
          <w:rFonts w:ascii="Times New Roman" w:hAnsi="Times New Roman" w:cs="Times New Roman"/>
          <w:bCs/>
          <w:sz w:val="24"/>
          <w:szCs w:val="24"/>
        </w:rPr>
        <w:t xml:space="preserve">nmole </w:t>
      </w:r>
      <w:r w:rsidR="00D0161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min</w:t>
      </w:r>
      <w:r w:rsidR="00D01614" w:rsidRPr="006B58C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-1</w:t>
      </w:r>
      <w:r w:rsidR="00D0161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mg</w:t>
      </w:r>
      <w:r w:rsidR="00D01614" w:rsidRPr="006B58C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-1</w:t>
      </w:r>
      <w:r w:rsidR="00D01614" w:rsidRPr="008522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protein</w:t>
      </w:r>
      <w:r w:rsidR="00D0161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747F47">
        <w:rPr>
          <w:rFonts w:ascii="Times New Roman" w:hAnsi="Times New Roman" w:cs="Times New Roman"/>
          <w:bCs/>
          <w:sz w:val="24"/>
          <w:szCs w:val="24"/>
        </w:rPr>
        <w:t>activity except</w:t>
      </w:r>
      <w:r w:rsidR="006B58CF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Pr="00747F47">
        <w:rPr>
          <w:rFonts w:ascii="Times New Roman" w:hAnsi="Times New Roman" w:cs="Times New Roman"/>
          <w:bCs/>
          <w:sz w:val="24"/>
          <w:szCs w:val="24"/>
        </w:rPr>
        <w:t xml:space="preserve"> T8 (Metolachlor). Higher GR</w:t>
      </w:r>
      <w:r w:rsidR="006B58CF">
        <w:rPr>
          <w:rFonts w:ascii="Times New Roman" w:hAnsi="Times New Roman" w:cs="Times New Roman"/>
          <w:bCs/>
          <w:sz w:val="24"/>
          <w:szCs w:val="24"/>
        </w:rPr>
        <w:t xml:space="preserve"> levels</w:t>
      </w:r>
      <w:r w:rsidRPr="00747F47">
        <w:rPr>
          <w:rFonts w:ascii="Times New Roman" w:hAnsi="Times New Roman" w:cs="Times New Roman"/>
          <w:bCs/>
          <w:sz w:val="24"/>
          <w:szCs w:val="24"/>
        </w:rPr>
        <w:t xml:space="preserve"> indicate</w:t>
      </w:r>
      <w:r w:rsidR="006B58CF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747F47">
        <w:rPr>
          <w:rFonts w:ascii="Times New Roman" w:hAnsi="Times New Roman" w:cs="Times New Roman"/>
          <w:bCs/>
          <w:sz w:val="24"/>
          <w:szCs w:val="24"/>
        </w:rPr>
        <w:t xml:space="preserve"> use of </w:t>
      </w:r>
      <w:r w:rsidR="00747F47">
        <w:rPr>
          <w:rFonts w:ascii="Times New Roman" w:hAnsi="Times New Roman" w:cs="Times New Roman"/>
          <w:bCs/>
          <w:sz w:val="24"/>
          <w:szCs w:val="24"/>
        </w:rPr>
        <w:t>reduced glutathione (</w:t>
      </w:r>
      <w:r w:rsidRPr="00747F47">
        <w:rPr>
          <w:rFonts w:ascii="Times New Roman" w:hAnsi="Times New Roman" w:cs="Times New Roman"/>
          <w:bCs/>
          <w:sz w:val="24"/>
          <w:szCs w:val="24"/>
        </w:rPr>
        <w:t>GSH</w:t>
      </w:r>
      <w:r w:rsidR="00747F47">
        <w:rPr>
          <w:rFonts w:ascii="Times New Roman" w:hAnsi="Times New Roman" w:cs="Times New Roman"/>
          <w:bCs/>
          <w:sz w:val="24"/>
          <w:szCs w:val="24"/>
        </w:rPr>
        <w:t>)</w:t>
      </w:r>
      <w:r w:rsidRPr="00747F47">
        <w:rPr>
          <w:rFonts w:ascii="Times New Roman" w:hAnsi="Times New Roman" w:cs="Times New Roman"/>
          <w:bCs/>
          <w:sz w:val="24"/>
          <w:szCs w:val="24"/>
        </w:rPr>
        <w:t xml:space="preserve"> in removal of Hydrogen Peroxide, therefore divert</w:t>
      </w:r>
      <w:r w:rsidR="006B58CF">
        <w:rPr>
          <w:rFonts w:ascii="Times New Roman" w:hAnsi="Times New Roman" w:cs="Times New Roman"/>
          <w:bCs/>
          <w:sz w:val="24"/>
          <w:szCs w:val="24"/>
        </w:rPr>
        <w:t>ing</w:t>
      </w:r>
      <w:r w:rsidRPr="00747F47">
        <w:rPr>
          <w:rFonts w:ascii="Times New Roman" w:hAnsi="Times New Roman" w:cs="Times New Roman"/>
          <w:bCs/>
          <w:sz w:val="24"/>
          <w:szCs w:val="24"/>
        </w:rPr>
        <w:t xml:space="preserve"> GSH away from GST and keep</w:t>
      </w:r>
      <w:r w:rsidR="006B58CF">
        <w:rPr>
          <w:rFonts w:ascii="Times New Roman" w:hAnsi="Times New Roman" w:cs="Times New Roman"/>
          <w:bCs/>
          <w:sz w:val="24"/>
          <w:szCs w:val="24"/>
        </w:rPr>
        <w:t>ing</w:t>
      </w:r>
      <w:r w:rsidRPr="00747F47">
        <w:rPr>
          <w:rFonts w:ascii="Times New Roman" w:hAnsi="Times New Roman" w:cs="Times New Roman"/>
          <w:bCs/>
          <w:sz w:val="24"/>
          <w:szCs w:val="24"/>
        </w:rPr>
        <w:t xml:space="preserve"> its activity at lower levels</w:t>
      </w:r>
      <w:r w:rsidR="00F02572">
        <w:rPr>
          <w:rFonts w:ascii="Times New Roman" w:hAnsi="Times New Roman" w:cs="Times New Roman"/>
          <w:bCs/>
          <w:sz w:val="24"/>
          <w:szCs w:val="24"/>
        </w:rPr>
        <w:t>.</w:t>
      </w:r>
      <w:r w:rsidRPr="00747F47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593187" w:rsidRDefault="00D70AD8" w:rsidP="00FE08D8">
      <w:pPr>
        <w:spacing w:line="480" w:lineRule="auto"/>
        <w:jc w:val="both"/>
      </w:pPr>
      <w:r>
        <w:rPr>
          <w:noProof/>
        </w:rPr>
        <w:drawing>
          <wp:inline distT="0" distB="0" distL="0" distR="0" wp14:anchorId="3E2E7FB8" wp14:editId="08219614">
            <wp:extent cx="5943600" cy="3343910"/>
            <wp:effectExtent l="0" t="0" r="0" b="889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62CF9F8C-A439-4ADE-8E84-C57E55BFFF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02572" w:rsidRPr="008B5CF4" w:rsidRDefault="0085070B" w:rsidP="00F025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CF4">
        <w:rPr>
          <w:rFonts w:ascii="Times New Roman" w:hAnsi="Times New Roman" w:cs="Times New Roman"/>
          <w:b/>
          <w:sz w:val="24"/>
          <w:szCs w:val="24"/>
        </w:rPr>
        <w:t>Fig.</w:t>
      </w:r>
      <w:r w:rsidRPr="008B5CF4">
        <w:rPr>
          <w:rFonts w:ascii="Times New Roman" w:hAnsi="Times New Roman" w:cs="Times New Roman"/>
          <w:b/>
          <w:sz w:val="24"/>
          <w:szCs w:val="24"/>
        </w:rPr>
        <w:t>3</w:t>
      </w:r>
      <w:r w:rsidRPr="008B5CF4">
        <w:rPr>
          <w:rFonts w:ascii="Times New Roman" w:hAnsi="Times New Roman" w:cs="Times New Roman"/>
          <w:b/>
          <w:sz w:val="24"/>
          <w:szCs w:val="24"/>
        </w:rPr>
        <w:t>. Effect of herbicides on G</w:t>
      </w:r>
      <w:r w:rsidRPr="008B5CF4">
        <w:rPr>
          <w:rFonts w:ascii="Times New Roman" w:hAnsi="Times New Roman" w:cs="Times New Roman"/>
          <w:b/>
          <w:sz w:val="24"/>
          <w:szCs w:val="24"/>
        </w:rPr>
        <w:t>R</w:t>
      </w:r>
      <w:r w:rsidRPr="008B5CF4">
        <w:rPr>
          <w:rFonts w:ascii="Times New Roman" w:hAnsi="Times New Roman" w:cs="Times New Roman"/>
          <w:b/>
          <w:sz w:val="24"/>
          <w:szCs w:val="24"/>
        </w:rPr>
        <w:t xml:space="preserve"> activity in Palmer Amaranth.</w:t>
      </w:r>
      <w:r w:rsidR="00F02572" w:rsidRPr="008B5C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2EBA" w:rsidRPr="00272EBA" w:rsidRDefault="00FE08D8" w:rsidP="00272E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8C">
        <w:rPr>
          <w:rFonts w:ascii="Times New Roman" w:hAnsi="Times New Roman" w:cs="Times New Roman"/>
          <w:sz w:val="24"/>
          <w:szCs w:val="24"/>
        </w:rPr>
        <w:t>Correlation between GST and GR showed the dependence of GST on GR as GR generates reduced glutathione</w:t>
      </w:r>
      <w:r w:rsidR="00F02572">
        <w:rPr>
          <w:rFonts w:ascii="Times New Roman" w:hAnsi="Times New Roman" w:cs="Times New Roman"/>
          <w:sz w:val="24"/>
          <w:szCs w:val="24"/>
        </w:rPr>
        <w:t xml:space="preserve"> (GSH)</w:t>
      </w:r>
      <w:r w:rsidRPr="0045738C">
        <w:rPr>
          <w:rFonts w:ascii="Times New Roman" w:hAnsi="Times New Roman" w:cs="Times New Roman"/>
          <w:sz w:val="24"/>
          <w:szCs w:val="24"/>
        </w:rPr>
        <w:t>, which is used by GST.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38C">
        <w:rPr>
          <w:rFonts w:ascii="Times New Roman" w:hAnsi="Times New Roman" w:cs="Times New Roman"/>
          <w:sz w:val="24"/>
          <w:szCs w:val="24"/>
        </w:rPr>
        <w:t xml:space="preserve">GR produced </w:t>
      </w:r>
      <w:r>
        <w:rPr>
          <w:rFonts w:ascii="Times New Roman" w:hAnsi="Times New Roman" w:cs="Times New Roman"/>
          <w:sz w:val="24"/>
          <w:szCs w:val="24"/>
        </w:rPr>
        <w:t>reduced glutathione, which can be diverted to s</w:t>
      </w:r>
      <w:r w:rsidRPr="0045738C">
        <w:rPr>
          <w:rFonts w:ascii="Times New Roman" w:hAnsi="Times New Roman" w:cs="Times New Roman"/>
          <w:sz w:val="24"/>
          <w:szCs w:val="24"/>
        </w:rPr>
        <w:t>cavenge reactive oxygen species such as H</w:t>
      </w:r>
      <w:r w:rsidRPr="0045738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738C">
        <w:rPr>
          <w:rFonts w:ascii="Times New Roman" w:hAnsi="Times New Roman" w:cs="Times New Roman"/>
          <w:sz w:val="24"/>
          <w:szCs w:val="24"/>
        </w:rPr>
        <w:t>O</w:t>
      </w:r>
      <w:r w:rsidRPr="0045738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738C">
        <w:rPr>
          <w:rFonts w:ascii="Times New Roman" w:hAnsi="Times New Roman" w:cs="Times New Roman"/>
          <w:sz w:val="24"/>
          <w:szCs w:val="24"/>
        </w:rPr>
        <w:t xml:space="preserve"> and thus </w:t>
      </w:r>
      <w:r>
        <w:rPr>
          <w:rFonts w:ascii="Times New Roman" w:hAnsi="Times New Roman" w:cs="Times New Roman"/>
          <w:sz w:val="24"/>
          <w:szCs w:val="24"/>
        </w:rPr>
        <w:t xml:space="preserve">can </w:t>
      </w:r>
      <w:r w:rsidRPr="0045738C">
        <w:rPr>
          <w:rFonts w:ascii="Times New Roman" w:hAnsi="Times New Roman" w:cs="Times New Roman"/>
          <w:sz w:val="24"/>
          <w:szCs w:val="24"/>
        </w:rPr>
        <w:t xml:space="preserve">cause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5738C">
        <w:rPr>
          <w:rFonts w:ascii="Times New Roman" w:hAnsi="Times New Roman" w:cs="Times New Roman"/>
          <w:sz w:val="24"/>
          <w:szCs w:val="24"/>
        </w:rPr>
        <w:t>reduction in GST activity and concomitant decline in herbicide par</w:t>
      </w:r>
      <w:r>
        <w:rPr>
          <w:rFonts w:ascii="Times New Roman" w:hAnsi="Times New Roman" w:cs="Times New Roman"/>
          <w:sz w:val="24"/>
          <w:szCs w:val="24"/>
        </w:rPr>
        <w:t>titioning towards cell vacuole. Herbicides</w:t>
      </w:r>
      <w:r w:rsidRPr="0045738C">
        <w:rPr>
          <w:rFonts w:ascii="Times New Roman" w:hAnsi="Times New Roman" w:cs="Times New Roman"/>
          <w:sz w:val="24"/>
          <w:szCs w:val="24"/>
        </w:rPr>
        <w:t xml:space="preserve"> with higher </w:t>
      </w:r>
      <w:r>
        <w:rPr>
          <w:rFonts w:ascii="Times New Roman" w:hAnsi="Times New Roman" w:cs="Times New Roman"/>
          <w:sz w:val="24"/>
          <w:szCs w:val="24"/>
        </w:rPr>
        <w:t xml:space="preserve">reactive oxygen species (ROS) </w:t>
      </w:r>
      <w:r w:rsidRPr="0045738C">
        <w:rPr>
          <w:rFonts w:ascii="Times New Roman" w:hAnsi="Times New Roman" w:cs="Times New Roman"/>
          <w:sz w:val="24"/>
          <w:szCs w:val="24"/>
        </w:rPr>
        <w:t>production can slow non-targeted herbicide resistance</w:t>
      </w:r>
      <w:r>
        <w:rPr>
          <w:rFonts w:ascii="Times New Roman" w:hAnsi="Times New Roman" w:cs="Times New Roman"/>
          <w:sz w:val="24"/>
          <w:szCs w:val="24"/>
        </w:rPr>
        <w:t xml:space="preserve"> in weeds</w:t>
      </w:r>
      <w:r w:rsidRPr="0045738C">
        <w:rPr>
          <w:rFonts w:ascii="Times New Roman" w:hAnsi="Times New Roman" w:cs="Times New Roman"/>
          <w:sz w:val="24"/>
          <w:szCs w:val="24"/>
        </w:rPr>
        <w:t>. A combination of single, double and triple herbicide mixture with higher ROS generation capacity can slow down herb</w:t>
      </w:r>
      <w:r>
        <w:rPr>
          <w:rFonts w:ascii="Times New Roman" w:hAnsi="Times New Roman" w:cs="Times New Roman"/>
          <w:sz w:val="24"/>
          <w:szCs w:val="24"/>
        </w:rPr>
        <w:t xml:space="preserve">icide resistance. </w:t>
      </w:r>
      <w:r w:rsidR="00272EBA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E665A0">
        <w:rPr>
          <w:rFonts w:ascii="Times New Roman" w:hAnsi="Times New Roman" w:cs="Times New Roman"/>
          <w:sz w:val="24"/>
          <w:szCs w:val="24"/>
        </w:rPr>
        <w:t>s</w:t>
      </w:r>
      <w:r w:rsidR="00272EBA" w:rsidRPr="00272EBA">
        <w:rPr>
          <w:rFonts w:ascii="Times New Roman" w:hAnsi="Times New Roman" w:cs="Times New Roman"/>
          <w:sz w:val="24"/>
          <w:szCs w:val="24"/>
        </w:rPr>
        <w:t xml:space="preserve">ingle </w:t>
      </w:r>
      <w:r w:rsidR="00E665A0">
        <w:rPr>
          <w:rFonts w:ascii="Times New Roman" w:hAnsi="Times New Roman" w:cs="Times New Roman"/>
          <w:sz w:val="24"/>
          <w:szCs w:val="24"/>
        </w:rPr>
        <w:t>h</w:t>
      </w:r>
      <w:r w:rsidR="00272EBA" w:rsidRPr="00272EBA">
        <w:rPr>
          <w:rFonts w:ascii="Times New Roman" w:hAnsi="Times New Roman" w:cs="Times New Roman"/>
          <w:sz w:val="24"/>
          <w:szCs w:val="24"/>
        </w:rPr>
        <w:t>erbicide use cause</w:t>
      </w:r>
      <w:r w:rsidR="008B5CF4">
        <w:rPr>
          <w:rFonts w:ascii="Times New Roman" w:hAnsi="Times New Roman" w:cs="Times New Roman"/>
          <w:sz w:val="24"/>
          <w:szCs w:val="24"/>
        </w:rPr>
        <w:t>s</w:t>
      </w:r>
      <w:r w:rsidR="00272EBA" w:rsidRPr="00272EBA">
        <w:rPr>
          <w:rFonts w:ascii="Times New Roman" w:hAnsi="Times New Roman" w:cs="Times New Roman"/>
          <w:sz w:val="24"/>
          <w:szCs w:val="24"/>
        </w:rPr>
        <w:t xml:space="preserve"> higher GST activity except Metolachlor and can promote non-target herbicide resistance</w:t>
      </w:r>
      <w:r w:rsidR="00272EBA">
        <w:rPr>
          <w:rFonts w:ascii="Times New Roman" w:hAnsi="Times New Roman" w:cs="Times New Roman"/>
          <w:sz w:val="24"/>
          <w:szCs w:val="24"/>
        </w:rPr>
        <w:t>.</w:t>
      </w:r>
      <w:r w:rsidR="00E665A0">
        <w:rPr>
          <w:rFonts w:ascii="Times New Roman" w:hAnsi="Times New Roman" w:cs="Times New Roman"/>
          <w:sz w:val="24"/>
          <w:szCs w:val="24"/>
        </w:rPr>
        <w:t xml:space="preserve"> </w:t>
      </w:r>
      <w:r w:rsidR="00272EBA" w:rsidRPr="00272EBA">
        <w:rPr>
          <w:rFonts w:ascii="Times New Roman" w:hAnsi="Times New Roman" w:cs="Times New Roman"/>
          <w:sz w:val="24"/>
          <w:szCs w:val="24"/>
        </w:rPr>
        <w:t xml:space="preserve">Mixture of </w:t>
      </w:r>
      <w:r w:rsidR="00E665A0">
        <w:rPr>
          <w:rFonts w:ascii="Times New Roman" w:hAnsi="Times New Roman" w:cs="Times New Roman"/>
          <w:sz w:val="24"/>
          <w:szCs w:val="24"/>
        </w:rPr>
        <w:t>h</w:t>
      </w:r>
      <w:r w:rsidR="00272EBA" w:rsidRPr="00272EBA">
        <w:rPr>
          <w:rFonts w:ascii="Times New Roman" w:hAnsi="Times New Roman" w:cs="Times New Roman"/>
          <w:sz w:val="24"/>
          <w:szCs w:val="24"/>
        </w:rPr>
        <w:t>erbicide treatment showed lower GST activity.</w:t>
      </w:r>
      <w:r w:rsidR="00272EBA">
        <w:rPr>
          <w:rFonts w:ascii="Times New Roman" w:hAnsi="Times New Roman" w:cs="Times New Roman"/>
          <w:sz w:val="24"/>
          <w:szCs w:val="24"/>
        </w:rPr>
        <w:t xml:space="preserve"> </w:t>
      </w:r>
      <w:r w:rsidR="00272EBA" w:rsidRPr="00272EBA">
        <w:rPr>
          <w:rFonts w:ascii="Times New Roman" w:hAnsi="Times New Roman" w:cs="Times New Roman"/>
          <w:sz w:val="24"/>
          <w:szCs w:val="24"/>
        </w:rPr>
        <w:t xml:space="preserve">GR activity was higher in </w:t>
      </w:r>
      <w:r w:rsidR="00E665A0">
        <w:rPr>
          <w:rFonts w:ascii="Times New Roman" w:hAnsi="Times New Roman" w:cs="Times New Roman"/>
          <w:sz w:val="24"/>
          <w:szCs w:val="24"/>
        </w:rPr>
        <w:t>t</w:t>
      </w:r>
      <w:r w:rsidR="00272EBA" w:rsidRPr="00272EBA">
        <w:rPr>
          <w:rFonts w:ascii="Times New Roman" w:hAnsi="Times New Roman" w:cs="Times New Roman"/>
          <w:sz w:val="24"/>
          <w:szCs w:val="24"/>
        </w:rPr>
        <w:t>reatments with lower GST except</w:t>
      </w:r>
      <w:r w:rsidR="00E665A0">
        <w:rPr>
          <w:rFonts w:ascii="Times New Roman" w:hAnsi="Times New Roman" w:cs="Times New Roman"/>
          <w:sz w:val="24"/>
          <w:szCs w:val="24"/>
        </w:rPr>
        <w:t xml:space="preserve"> </w:t>
      </w:r>
      <w:r w:rsidR="008B5CF4">
        <w:rPr>
          <w:rFonts w:ascii="Times New Roman" w:hAnsi="Times New Roman" w:cs="Times New Roman"/>
          <w:sz w:val="24"/>
          <w:szCs w:val="24"/>
        </w:rPr>
        <w:t xml:space="preserve">in </w:t>
      </w:r>
      <w:r w:rsidR="00272EBA" w:rsidRPr="00272EBA">
        <w:rPr>
          <w:rFonts w:ascii="Times New Roman" w:hAnsi="Times New Roman" w:cs="Times New Roman"/>
          <w:sz w:val="24"/>
          <w:szCs w:val="24"/>
        </w:rPr>
        <w:t>T8 (Metolachlor)</w:t>
      </w:r>
      <w:r w:rsidR="00272EBA">
        <w:rPr>
          <w:rFonts w:ascii="Times New Roman" w:hAnsi="Times New Roman" w:cs="Times New Roman"/>
          <w:sz w:val="24"/>
          <w:szCs w:val="24"/>
        </w:rPr>
        <w:t xml:space="preserve">. </w:t>
      </w:r>
      <w:r w:rsidR="00E665A0">
        <w:rPr>
          <w:rFonts w:ascii="Times New Roman" w:hAnsi="Times New Roman" w:cs="Times New Roman"/>
          <w:sz w:val="24"/>
          <w:szCs w:val="24"/>
        </w:rPr>
        <w:t xml:space="preserve">Based on this data, it is evident that </w:t>
      </w:r>
      <w:r w:rsidR="009363E0">
        <w:rPr>
          <w:rFonts w:ascii="Times New Roman" w:hAnsi="Times New Roman" w:cs="Times New Roman"/>
          <w:sz w:val="24"/>
          <w:szCs w:val="24"/>
        </w:rPr>
        <w:t xml:space="preserve">the </w:t>
      </w:r>
      <w:r w:rsidR="00272EBA" w:rsidRPr="00272EBA">
        <w:rPr>
          <w:rFonts w:ascii="Times New Roman" w:hAnsi="Times New Roman" w:cs="Times New Roman"/>
          <w:sz w:val="24"/>
          <w:szCs w:val="24"/>
        </w:rPr>
        <w:t xml:space="preserve">use of herbicide with </w:t>
      </w:r>
      <w:r w:rsidR="008B5CF4">
        <w:rPr>
          <w:rFonts w:ascii="Times New Roman" w:hAnsi="Times New Roman" w:cs="Times New Roman"/>
          <w:sz w:val="24"/>
          <w:szCs w:val="24"/>
        </w:rPr>
        <w:t xml:space="preserve">a </w:t>
      </w:r>
      <w:r w:rsidR="00272EBA" w:rsidRPr="00272EBA">
        <w:rPr>
          <w:rFonts w:ascii="Times New Roman" w:hAnsi="Times New Roman" w:cs="Times New Roman"/>
          <w:sz w:val="24"/>
          <w:szCs w:val="24"/>
        </w:rPr>
        <w:lastRenderedPageBreak/>
        <w:t>single mode of action</w:t>
      </w:r>
      <w:r w:rsidR="00E665A0">
        <w:rPr>
          <w:rFonts w:ascii="Times New Roman" w:hAnsi="Times New Roman" w:cs="Times New Roman"/>
          <w:sz w:val="24"/>
          <w:szCs w:val="24"/>
        </w:rPr>
        <w:t xml:space="preserve"> must be avoided to slow down the evolution of non-target-site resistance</w:t>
      </w:r>
      <w:r w:rsidR="00DD7B6C">
        <w:rPr>
          <w:rFonts w:ascii="Times New Roman" w:hAnsi="Times New Roman" w:cs="Times New Roman"/>
          <w:sz w:val="24"/>
          <w:szCs w:val="24"/>
        </w:rPr>
        <w:t xml:space="preserve">. It is also advised to </w:t>
      </w:r>
      <w:r w:rsidR="00E665A0">
        <w:rPr>
          <w:rFonts w:ascii="Times New Roman" w:hAnsi="Times New Roman" w:cs="Times New Roman"/>
          <w:sz w:val="24"/>
          <w:szCs w:val="24"/>
        </w:rPr>
        <w:t>u</w:t>
      </w:r>
      <w:r w:rsidR="00272EBA" w:rsidRPr="00272EBA">
        <w:rPr>
          <w:rFonts w:ascii="Times New Roman" w:hAnsi="Times New Roman" w:cs="Times New Roman"/>
          <w:sz w:val="24"/>
          <w:szCs w:val="24"/>
        </w:rPr>
        <w:t xml:space="preserve">se </w:t>
      </w:r>
      <w:r w:rsidR="00DD7B6C">
        <w:rPr>
          <w:rFonts w:ascii="Times New Roman" w:hAnsi="Times New Roman" w:cs="Times New Roman"/>
          <w:sz w:val="24"/>
          <w:szCs w:val="24"/>
        </w:rPr>
        <w:t xml:space="preserve">the </w:t>
      </w:r>
      <w:r w:rsidR="00272EBA" w:rsidRPr="00272EBA">
        <w:rPr>
          <w:rFonts w:ascii="Times New Roman" w:hAnsi="Times New Roman" w:cs="Times New Roman"/>
          <w:sz w:val="24"/>
          <w:szCs w:val="24"/>
        </w:rPr>
        <w:t>glyphosate in association with other herbicides</w:t>
      </w:r>
      <w:r w:rsidR="00232B60">
        <w:rPr>
          <w:rFonts w:ascii="Times New Roman" w:hAnsi="Times New Roman" w:cs="Times New Roman"/>
          <w:sz w:val="24"/>
          <w:szCs w:val="24"/>
        </w:rPr>
        <w:t>.</w:t>
      </w:r>
    </w:p>
    <w:p w:rsidR="00272EBA" w:rsidRPr="00272EBA" w:rsidRDefault="00272EBA" w:rsidP="00272E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572" w:rsidRDefault="00F02572" w:rsidP="00F025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4E9" w:rsidRPr="00272EBA" w:rsidRDefault="003914E9">
      <w:pPr>
        <w:rPr>
          <w:rFonts w:ascii="Times New Roman" w:hAnsi="Times New Roman" w:cs="Times New Roman"/>
          <w:sz w:val="24"/>
          <w:szCs w:val="24"/>
        </w:rPr>
      </w:pPr>
    </w:p>
    <w:sectPr w:rsidR="003914E9" w:rsidRPr="00272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D8"/>
    <w:rsid w:val="000E3648"/>
    <w:rsid w:val="00157CF6"/>
    <w:rsid w:val="00196AC1"/>
    <w:rsid w:val="00211AFC"/>
    <w:rsid w:val="00222F33"/>
    <w:rsid w:val="00232B60"/>
    <w:rsid w:val="00272EBA"/>
    <w:rsid w:val="00294457"/>
    <w:rsid w:val="00375F67"/>
    <w:rsid w:val="003914E9"/>
    <w:rsid w:val="003E4D91"/>
    <w:rsid w:val="00454179"/>
    <w:rsid w:val="004674D4"/>
    <w:rsid w:val="00524163"/>
    <w:rsid w:val="0054242C"/>
    <w:rsid w:val="00571254"/>
    <w:rsid w:val="00593187"/>
    <w:rsid w:val="005A25BB"/>
    <w:rsid w:val="005A58E1"/>
    <w:rsid w:val="005F64F8"/>
    <w:rsid w:val="006168D0"/>
    <w:rsid w:val="00641A3F"/>
    <w:rsid w:val="006749D6"/>
    <w:rsid w:val="006B58CF"/>
    <w:rsid w:val="007212A3"/>
    <w:rsid w:val="007239D6"/>
    <w:rsid w:val="00747F47"/>
    <w:rsid w:val="007605DF"/>
    <w:rsid w:val="00792E3F"/>
    <w:rsid w:val="007D1DC2"/>
    <w:rsid w:val="00812020"/>
    <w:rsid w:val="0082435C"/>
    <w:rsid w:val="0085070B"/>
    <w:rsid w:val="00852264"/>
    <w:rsid w:val="00852944"/>
    <w:rsid w:val="00866AA7"/>
    <w:rsid w:val="00892313"/>
    <w:rsid w:val="008B5CF4"/>
    <w:rsid w:val="009363E0"/>
    <w:rsid w:val="0096668C"/>
    <w:rsid w:val="00A129E4"/>
    <w:rsid w:val="00A53C9F"/>
    <w:rsid w:val="00B738F2"/>
    <w:rsid w:val="00B822C5"/>
    <w:rsid w:val="00BD60E7"/>
    <w:rsid w:val="00C77B0B"/>
    <w:rsid w:val="00C951E7"/>
    <w:rsid w:val="00CF1E32"/>
    <w:rsid w:val="00D01614"/>
    <w:rsid w:val="00D70AD8"/>
    <w:rsid w:val="00DD53D2"/>
    <w:rsid w:val="00DD7B6C"/>
    <w:rsid w:val="00E07B0B"/>
    <w:rsid w:val="00E665A0"/>
    <w:rsid w:val="00F02572"/>
    <w:rsid w:val="00F040C5"/>
    <w:rsid w:val="00F04B63"/>
    <w:rsid w:val="00F34414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1967"/>
  <w15:chartTrackingRefBased/>
  <w15:docId w15:val="{6E0633B6-93FD-4ABC-A03C-657FC301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8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7239D6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7239D6"/>
    <w:rPr>
      <w:rFonts w:ascii="Calibri" w:eastAsia="Calibri" w:hAnsi="Calibri" w:cs="Times New Roman"/>
      <w:szCs w:val="21"/>
      <w:lang w:val="x-none" w:eastAsia="x-none"/>
    </w:rPr>
  </w:style>
  <w:style w:type="paragraph" w:styleId="BodyText">
    <w:name w:val="Body Text"/>
    <w:basedOn w:val="Normal"/>
    <w:link w:val="BodyTextChar"/>
    <w:rsid w:val="007239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239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PI31text">
    <w:name w:val="MDPI_3.1_text"/>
    <w:qFormat/>
    <w:rsid w:val="006168D0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2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naveenkumar\Desktop\DSB-Herbicide-2022-Report\Book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naveenkumar\Desktop\DSB-Herbicide-2022-Report\Book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Sheet9!$E$5:$E$12</c:f>
                <c:numCache>
                  <c:formatCode>General</c:formatCode>
                  <c:ptCount val="8"/>
                  <c:pt idx="0">
                    <c:v>1.2</c:v>
                  </c:pt>
                  <c:pt idx="1">
                    <c:v>2</c:v>
                  </c:pt>
                  <c:pt idx="2">
                    <c:v>3</c:v>
                  </c:pt>
                  <c:pt idx="3">
                    <c:v>1.2</c:v>
                  </c:pt>
                  <c:pt idx="4">
                    <c:v>1.3</c:v>
                  </c:pt>
                  <c:pt idx="5">
                    <c:v>1.4</c:v>
                  </c:pt>
                  <c:pt idx="6">
                    <c:v>1.23</c:v>
                  </c:pt>
                  <c:pt idx="7">
                    <c:v>2.12</c:v>
                  </c:pt>
                </c:numCache>
              </c:numRef>
            </c:plus>
            <c:minus>
              <c:numRef>
                <c:f>Sheet9!$E$5:$E$12</c:f>
                <c:numCache>
                  <c:formatCode>General</c:formatCode>
                  <c:ptCount val="8"/>
                  <c:pt idx="0">
                    <c:v>1.2</c:v>
                  </c:pt>
                  <c:pt idx="1">
                    <c:v>2</c:v>
                  </c:pt>
                  <c:pt idx="2">
                    <c:v>3</c:v>
                  </c:pt>
                  <c:pt idx="3">
                    <c:v>1.2</c:v>
                  </c:pt>
                  <c:pt idx="4">
                    <c:v>1.3</c:v>
                  </c:pt>
                  <c:pt idx="5">
                    <c:v>1.4</c:v>
                  </c:pt>
                  <c:pt idx="6">
                    <c:v>1.23</c:v>
                  </c:pt>
                  <c:pt idx="7">
                    <c:v>2.12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Sheet9!$C$5:$C$12</c:f>
              <c:strCache>
                <c:ptCount val="8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T6</c:v>
                </c:pt>
                <c:pt idx="6">
                  <c:v>T7</c:v>
                </c:pt>
                <c:pt idx="7">
                  <c:v>T8</c:v>
                </c:pt>
              </c:strCache>
            </c:strRef>
          </c:cat>
          <c:val>
            <c:numRef>
              <c:f>Sheet9!$D$5:$D$12</c:f>
              <c:numCache>
                <c:formatCode>0</c:formatCode>
                <c:ptCount val="8"/>
                <c:pt idx="0">
                  <c:v>12.02312138728324</c:v>
                </c:pt>
                <c:pt idx="1">
                  <c:v>30.748004336257015</c:v>
                </c:pt>
                <c:pt idx="2">
                  <c:v>36.977777777777781</c:v>
                </c:pt>
                <c:pt idx="3">
                  <c:v>28.726636589632623</c:v>
                </c:pt>
                <c:pt idx="4">
                  <c:v>26.80757829617221</c:v>
                </c:pt>
                <c:pt idx="5">
                  <c:v>18.488888888888905</c:v>
                </c:pt>
                <c:pt idx="6">
                  <c:v>26.910470933241328</c:v>
                </c:pt>
                <c:pt idx="7">
                  <c:v>18.232819074333783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A2-4BAB-8035-247A7A9337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4600191"/>
        <c:axId val="819011631"/>
      </c:barChart>
      <c:catAx>
        <c:axId val="130460019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 i="0" baseline="0">
                    <a:solidFill>
                      <a:sysClr val="windowText" lastClr="000000"/>
                    </a:solidFill>
                    <a:effectLst/>
                  </a:rPr>
                  <a:t>Treatments: T1: Control, T2: Fomesafen, T3: Glyphosate, T4: Fomesafen+Glyphosate, T5: 2,4-D, T6: 2,4-D+Glyphosate, T7: Dicamba, T8: S-Metolachlor   </a:t>
                </a:r>
                <a:endParaRPr lang="en-US" sz="900">
                  <a:solidFill>
                    <a:sysClr val="windowText" lastClr="000000"/>
                  </a:solidFill>
                  <a:effectLst/>
                </a:endParaRPr>
              </a:p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defRPr>
                </a:pPr>
                <a:endParaRPr lang="en-US"/>
              </a:p>
            </c:rich>
          </c:tx>
          <c:layout>
            <c:manualLayout>
              <c:xMode val="edge"/>
              <c:yMode val="edge"/>
              <c:x val="0.14755689785352175"/>
              <c:y val="0.826358701978263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9011631"/>
        <c:crosses val="autoZero"/>
        <c:auto val="1"/>
        <c:lblAlgn val="ctr"/>
        <c:lblOffset val="100"/>
        <c:noMultiLvlLbl val="0"/>
      </c:catAx>
      <c:valAx>
        <c:axId val="81901163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>
                    <a:solidFill>
                      <a:sysClr val="windowText" lastClr="000000"/>
                    </a:solidFill>
                  </a:rPr>
                  <a:t>Glutathione-S-Transferase</a:t>
                </a:r>
                <a:r>
                  <a:rPr lang="en-US" sz="1100" b="1" baseline="0">
                    <a:solidFill>
                      <a:sysClr val="windowText" lastClr="000000"/>
                    </a:solidFill>
                  </a:rPr>
                  <a:t> Activity (n mole/min/mg Protein)</a:t>
                </a:r>
                <a:endParaRPr lang="en-US" sz="1100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in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46001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Sheet10!$E$6:$E$13</c:f>
                <c:numCache>
                  <c:formatCode>General</c:formatCode>
                  <c:ptCount val="8"/>
                  <c:pt idx="0">
                    <c:v>2</c:v>
                  </c:pt>
                  <c:pt idx="1">
                    <c:v>3</c:v>
                  </c:pt>
                  <c:pt idx="2">
                    <c:v>4</c:v>
                  </c:pt>
                  <c:pt idx="3">
                    <c:v>2</c:v>
                  </c:pt>
                  <c:pt idx="4">
                    <c:v>3</c:v>
                  </c:pt>
                  <c:pt idx="5">
                    <c:v>3</c:v>
                  </c:pt>
                  <c:pt idx="6">
                    <c:v>3</c:v>
                  </c:pt>
                  <c:pt idx="7">
                    <c:v>2</c:v>
                  </c:pt>
                </c:numCache>
              </c:numRef>
            </c:plus>
            <c:minus>
              <c:numRef>
                <c:f>Sheet10!$E$6:$E$13</c:f>
                <c:numCache>
                  <c:formatCode>General</c:formatCode>
                  <c:ptCount val="8"/>
                  <c:pt idx="0">
                    <c:v>2</c:v>
                  </c:pt>
                  <c:pt idx="1">
                    <c:v>3</c:v>
                  </c:pt>
                  <c:pt idx="2">
                    <c:v>4</c:v>
                  </c:pt>
                  <c:pt idx="3">
                    <c:v>2</c:v>
                  </c:pt>
                  <c:pt idx="4">
                    <c:v>3</c:v>
                  </c:pt>
                  <c:pt idx="5">
                    <c:v>3</c:v>
                  </c:pt>
                  <c:pt idx="6">
                    <c:v>3</c:v>
                  </c:pt>
                  <c:pt idx="7">
                    <c:v>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Sheet10!$C$6:$C$13</c:f>
              <c:strCache>
                <c:ptCount val="8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T6</c:v>
                </c:pt>
                <c:pt idx="6">
                  <c:v>T7</c:v>
                </c:pt>
                <c:pt idx="7">
                  <c:v>T8</c:v>
                </c:pt>
              </c:strCache>
            </c:strRef>
          </c:cat>
          <c:val>
            <c:numRef>
              <c:f>Sheet10!$D$6:$D$13</c:f>
              <c:numCache>
                <c:formatCode>0</c:formatCode>
                <c:ptCount val="8"/>
                <c:pt idx="0">
                  <c:v>212.71676300578034</c:v>
                </c:pt>
                <c:pt idx="1">
                  <c:v>268.05952498275349</c:v>
                </c:pt>
                <c:pt idx="2">
                  <c:v>227.55555555555557</c:v>
                </c:pt>
                <c:pt idx="3">
                  <c:v>309</c:v>
                </c:pt>
                <c:pt idx="4">
                  <c:v>433.04549555355055</c:v>
                </c:pt>
                <c:pt idx="5">
                  <c:v>441</c:v>
                </c:pt>
                <c:pt idx="6">
                  <c:v>289.80507158875287</c:v>
                </c:pt>
                <c:pt idx="7">
                  <c:v>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D0-420F-803C-EACC230144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4847119"/>
        <c:axId val="1295636447"/>
      </c:barChart>
      <c:catAx>
        <c:axId val="82484711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 i="0" baseline="0">
                    <a:solidFill>
                      <a:sysClr val="windowText" lastClr="000000"/>
                    </a:solidFill>
                    <a:effectLst/>
                  </a:rPr>
                  <a:t>Treatments: T1: Control, T2: Fomesafen, T3: Glyphosate, T4: Fomesafen+Glyphosate, T5: 2,4-D, T6: 2,4-D+Glyphosate, T7: Dicamba, T8: S-Metolachlor   </a:t>
                </a:r>
                <a:endParaRPr lang="en-US" sz="900">
                  <a:solidFill>
                    <a:sysClr val="windowText" lastClr="000000"/>
                  </a:solidFill>
                  <a:effectLst/>
                </a:endParaRPr>
              </a:p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>
                    <a:solidFill>
                      <a:sysClr val="windowText" lastClr="000000"/>
                    </a:solidFill>
                  </a:defRPr>
                </a:pP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5636447"/>
        <c:crosses val="autoZero"/>
        <c:auto val="1"/>
        <c:lblAlgn val="ctr"/>
        <c:lblOffset val="100"/>
        <c:noMultiLvlLbl val="0"/>
      </c:catAx>
      <c:valAx>
        <c:axId val="129563644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>
                    <a:solidFill>
                      <a:sysClr val="windowText" lastClr="000000"/>
                    </a:solidFill>
                  </a:rPr>
                  <a:t>Glutathione</a:t>
                </a:r>
                <a:r>
                  <a:rPr lang="en-US" sz="1100" b="1" baseline="0">
                    <a:solidFill>
                      <a:sysClr val="windowText" lastClr="000000"/>
                    </a:solidFill>
                  </a:rPr>
                  <a:t> Reductase Activity (n mole/min/mg Protein</a:t>
                </a:r>
                <a:endParaRPr lang="en-US" sz="1100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in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48471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Eastern Shore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Naveenkumar, Fnu</dc:creator>
  <cp:keywords/>
  <dc:description/>
  <cp:lastModifiedBy>Naveenkumar, Fnu</cp:lastModifiedBy>
  <cp:revision>39</cp:revision>
  <dcterms:created xsi:type="dcterms:W3CDTF">2023-02-14T19:02:00Z</dcterms:created>
  <dcterms:modified xsi:type="dcterms:W3CDTF">2023-02-15T02:51:00Z</dcterms:modified>
</cp:coreProperties>
</file>