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05C403" w14:textId="77777777" w:rsidR="00093C63" w:rsidRPr="00847242" w:rsidRDefault="00093C63" w:rsidP="00093C6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7242">
        <w:rPr>
          <w:rFonts w:ascii="Times New Roman" w:hAnsi="Times New Roman" w:cs="Times New Roman"/>
          <w:b/>
          <w:bCs/>
          <w:sz w:val="24"/>
          <w:szCs w:val="24"/>
        </w:rPr>
        <w:t>Enhancing Profitability of Soybean Production and Soil Health through Livestock Integration</w:t>
      </w:r>
    </w:p>
    <w:p w14:paraId="763D60B5" w14:textId="77777777" w:rsidR="00093C63" w:rsidRPr="00847242" w:rsidRDefault="00093C63" w:rsidP="00093C6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7242">
        <w:rPr>
          <w:rFonts w:ascii="Times New Roman" w:hAnsi="Times New Roman" w:cs="Times New Roman"/>
          <w:sz w:val="24"/>
          <w:szCs w:val="24"/>
        </w:rPr>
        <w:t>Joshua Wianecki</w:t>
      </w:r>
      <w:r w:rsidRPr="0084724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47242">
        <w:rPr>
          <w:rFonts w:ascii="Times New Roman" w:hAnsi="Times New Roman" w:cs="Times New Roman"/>
          <w:sz w:val="24"/>
          <w:szCs w:val="24"/>
        </w:rPr>
        <w:t>, Miranda Meehan</w:t>
      </w:r>
      <w:r w:rsidRPr="0084724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47242">
        <w:rPr>
          <w:rFonts w:ascii="Times New Roman" w:hAnsi="Times New Roman" w:cs="Times New Roman"/>
          <w:sz w:val="24"/>
          <w:szCs w:val="24"/>
        </w:rPr>
        <w:t>, Lindsay Chamberlain Malone</w:t>
      </w:r>
      <w:r w:rsidRPr="0084724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47242">
        <w:rPr>
          <w:rFonts w:ascii="Times New Roman" w:hAnsi="Times New Roman" w:cs="Times New Roman"/>
          <w:sz w:val="24"/>
          <w:szCs w:val="24"/>
        </w:rPr>
        <w:t>, Zachary Carlson</w:t>
      </w:r>
      <w:r w:rsidRPr="0084724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47242">
        <w:rPr>
          <w:rFonts w:ascii="Times New Roman" w:hAnsi="Times New Roman" w:cs="Times New Roman"/>
          <w:sz w:val="24"/>
          <w:szCs w:val="24"/>
        </w:rPr>
        <w:t>, Kevin Sedivec</w:t>
      </w:r>
      <w:r w:rsidRPr="00847242">
        <w:rPr>
          <w:rFonts w:ascii="Times New Roman" w:hAnsi="Times New Roman" w:cs="Times New Roman"/>
          <w:sz w:val="24"/>
          <w:szCs w:val="24"/>
          <w:vertAlign w:val="superscript"/>
        </w:rPr>
        <w:t>2,3</w:t>
      </w:r>
      <w:r w:rsidRPr="00847242">
        <w:rPr>
          <w:rFonts w:ascii="Times New Roman" w:hAnsi="Times New Roman" w:cs="Times New Roman"/>
          <w:sz w:val="24"/>
          <w:szCs w:val="24"/>
        </w:rPr>
        <w:t>, Colin Tobin</w:t>
      </w:r>
      <w:r w:rsidRPr="00847242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847242">
        <w:rPr>
          <w:rFonts w:ascii="Times New Roman" w:hAnsi="Times New Roman" w:cs="Times New Roman"/>
          <w:sz w:val="24"/>
          <w:szCs w:val="24"/>
        </w:rPr>
        <w:t>, Michael Ostlie</w:t>
      </w:r>
      <w:r w:rsidRPr="00847242">
        <w:rPr>
          <w:rFonts w:ascii="Times New Roman" w:hAnsi="Times New Roman" w:cs="Times New Roman"/>
          <w:sz w:val="24"/>
          <w:szCs w:val="24"/>
          <w:vertAlign w:val="superscript"/>
        </w:rPr>
        <w:t>4</w:t>
      </w:r>
    </w:p>
    <w:p w14:paraId="2BB3F3BF" w14:textId="77777777" w:rsidR="00093C63" w:rsidRPr="00847242" w:rsidRDefault="00093C63" w:rsidP="00093C6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724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47242">
        <w:rPr>
          <w:rFonts w:ascii="Times New Roman" w:hAnsi="Times New Roman" w:cs="Times New Roman"/>
          <w:sz w:val="24"/>
          <w:szCs w:val="24"/>
        </w:rPr>
        <w:t xml:space="preserve">Department of Animal Sciences, North Dakota State University, Fargo ND. </w:t>
      </w:r>
      <w:r w:rsidRPr="0084724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47242">
        <w:rPr>
          <w:rFonts w:ascii="Times New Roman" w:hAnsi="Times New Roman" w:cs="Times New Roman"/>
          <w:sz w:val="24"/>
          <w:szCs w:val="24"/>
        </w:rPr>
        <w:t xml:space="preserve">School of Natural Resource Sciences, North Dakota State University, Fargo ND. </w:t>
      </w:r>
      <w:r w:rsidRPr="0084724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847242">
        <w:rPr>
          <w:rFonts w:ascii="Times New Roman" w:hAnsi="Times New Roman" w:cs="Times New Roman"/>
          <w:sz w:val="24"/>
          <w:szCs w:val="24"/>
        </w:rPr>
        <w:t xml:space="preserve">Central Grasslands Research Extension Center, Streeter ND. </w:t>
      </w:r>
      <w:r w:rsidRPr="00847242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847242">
        <w:rPr>
          <w:rFonts w:ascii="Times New Roman" w:hAnsi="Times New Roman" w:cs="Times New Roman"/>
          <w:sz w:val="24"/>
          <w:szCs w:val="24"/>
        </w:rPr>
        <w:t>Carrington Research Extension Center, Carrington ND.</w:t>
      </w:r>
    </w:p>
    <w:p w14:paraId="0F74FC75" w14:textId="77777777" w:rsidR="00093C63" w:rsidRDefault="00093C63">
      <w:pPr>
        <w:rPr>
          <w:b/>
          <w:bCs/>
        </w:rPr>
      </w:pPr>
    </w:p>
    <w:p w14:paraId="7908961A" w14:textId="51B45D88" w:rsidR="0050118F" w:rsidRDefault="00FA180C">
      <w:pPr>
        <w:rPr>
          <w:b/>
          <w:bCs/>
        </w:rPr>
      </w:pPr>
      <w:r>
        <w:rPr>
          <w:b/>
          <w:bCs/>
        </w:rPr>
        <w:t>Why the Research is Important to ND Soybean Farmers</w:t>
      </w:r>
    </w:p>
    <w:p w14:paraId="533910A0" w14:textId="5F0688A8" w:rsidR="00FA180C" w:rsidRDefault="004E09A1">
      <w:r>
        <w:t xml:space="preserve">Integrated crop livestock systems (ICLS) </w:t>
      </w:r>
      <w:r w:rsidR="002023B3">
        <w:t xml:space="preserve">may provide additional income </w:t>
      </w:r>
      <w:r w:rsidR="003804A7">
        <w:t xml:space="preserve">and soil health benefits </w:t>
      </w:r>
      <w:r w:rsidR="002023B3">
        <w:t xml:space="preserve">to producers utilizing winter cover crops. </w:t>
      </w:r>
      <w:r w:rsidR="003804A7">
        <w:t xml:space="preserve"> </w:t>
      </w:r>
      <w:r w:rsidR="00715EC2">
        <w:t xml:space="preserve">The </w:t>
      </w:r>
      <w:r w:rsidR="00291A2B">
        <w:t>impact</w:t>
      </w:r>
      <w:r w:rsidR="00715EC2">
        <w:t xml:space="preserve"> of ICLS on row crop production has been demonstrated to be influenced by both crop and livestock management strategies</w:t>
      </w:r>
      <w:r w:rsidR="00A1536A">
        <w:t xml:space="preserve"> with p</w:t>
      </w:r>
      <w:r w:rsidR="00C65556">
        <w:t xml:space="preserve">revious research </w:t>
      </w:r>
      <w:r w:rsidR="00A1536A">
        <w:t xml:space="preserve">showing </w:t>
      </w:r>
      <w:r w:rsidR="00342F23">
        <w:t xml:space="preserve">both crop rotation and seasonality of grazing </w:t>
      </w:r>
      <w:r w:rsidR="003D3D6F">
        <w:t xml:space="preserve">can sway the production benefits of </w:t>
      </w:r>
      <w:r w:rsidR="00260E2F">
        <w:t xml:space="preserve">ICLS. </w:t>
      </w:r>
      <w:r w:rsidR="004E544E">
        <w:t>This project aims to determine the effects of ICLS and cover crop management on soil health, crop production, and livestock performance within North Dakota.</w:t>
      </w:r>
    </w:p>
    <w:p w14:paraId="39919940" w14:textId="5695F2F0" w:rsidR="00A572AE" w:rsidRDefault="00A572AE">
      <w:pPr>
        <w:rPr>
          <w:b/>
          <w:bCs/>
        </w:rPr>
      </w:pPr>
      <w:r>
        <w:rPr>
          <w:b/>
          <w:bCs/>
        </w:rPr>
        <w:t>Research Conducted</w:t>
      </w:r>
    </w:p>
    <w:p w14:paraId="7831ED57" w14:textId="44F30586" w:rsidR="00A572AE" w:rsidRDefault="00A572AE">
      <w:r>
        <w:t xml:space="preserve">Two </w:t>
      </w:r>
      <w:r w:rsidR="00757EB5">
        <w:t xml:space="preserve">locations were </w:t>
      </w:r>
      <w:r w:rsidR="008E2CF0">
        <w:t xml:space="preserve">selected to </w:t>
      </w:r>
      <w:r w:rsidR="00A821E6">
        <w:t>integrate</w:t>
      </w:r>
      <w:r w:rsidR="008E2CF0">
        <w:t xml:space="preserve"> livestock grazing into winter cover crop management. Management strategies include dual season (fall and spring) grazing, spring grazing, no grazing, and no cover crop.</w:t>
      </w:r>
      <w:r w:rsidR="002E0A03">
        <w:t xml:space="preserve"> Soil health</w:t>
      </w:r>
      <w:r w:rsidR="00A729E9">
        <w:t xml:space="preserve"> was evaluated through </w:t>
      </w:r>
      <w:r w:rsidR="008E4CE4">
        <w:t xml:space="preserve">nutrient analysis and physical health indicators including bulk density and </w:t>
      </w:r>
      <w:r w:rsidR="00D606B2">
        <w:t>aggregate stability. S</w:t>
      </w:r>
      <w:r w:rsidR="00B80FC2">
        <w:t xml:space="preserve">oybean production was evaluated through soybean yield. Livestock performance was determined by average daily gain during the grazing period. </w:t>
      </w:r>
      <w:r w:rsidR="00D606B2">
        <w:t xml:space="preserve"> </w:t>
      </w:r>
    </w:p>
    <w:p w14:paraId="5E07B38B" w14:textId="42009699" w:rsidR="002E0A03" w:rsidRDefault="002E0A03">
      <w:r>
        <w:rPr>
          <w:b/>
          <w:bCs/>
        </w:rPr>
        <w:t>Findings of Research</w:t>
      </w:r>
    </w:p>
    <w:p w14:paraId="73A03D78" w14:textId="2839F182" w:rsidR="002E0A03" w:rsidRDefault="000167A9">
      <w:r>
        <w:t xml:space="preserve">Grazing livestock caused no negative impacts to crop production or soil health. </w:t>
      </w:r>
      <w:r w:rsidR="0061268E">
        <w:t xml:space="preserve">Soil nutrients </w:t>
      </w:r>
      <w:r w:rsidR="005567EA">
        <w:t xml:space="preserve">and aggregate stability </w:t>
      </w:r>
      <w:r w:rsidR="0061268E">
        <w:t>did not differ between strategies.</w:t>
      </w:r>
      <w:r w:rsidR="005567EA">
        <w:t xml:space="preserve"> Only </w:t>
      </w:r>
      <w:r w:rsidR="0052522B">
        <w:t xml:space="preserve">the spring graze treatment saw statistically </w:t>
      </w:r>
      <w:r w:rsidR="007E69D5">
        <w:t>higher bulk density, however all bulk densities were below</w:t>
      </w:r>
      <w:r w:rsidR="00E035C7">
        <w:t xml:space="preserve"> levels that may harm root growth.</w:t>
      </w:r>
      <w:r w:rsidR="0061268E">
        <w:t xml:space="preserve"> </w:t>
      </w:r>
      <w:r w:rsidR="00D31BD6">
        <w:t xml:space="preserve">Despite soybeans within the no cover crop plots attaining larger size during staging, </w:t>
      </w:r>
      <w:r w:rsidR="005567EA">
        <w:t>soybean yield</w:t>
      </w:r>
      <w:r w:rsidR="00EC5E7A">
        <w:t xml:space="preserve"> (</w:t>
      </w:r>
      <w:r w:rsidR="00DD4984">
        <w:t>Figure</w:t>
      </w:r>
      <w:r w:rsidR="00EC5E7A">
        <w:t xml:space="preserve"> 1)</w:t>
      </w:r>
      <w:r w:rsidR="005567EA">
        <w:t xml:space="preserve"> did not differ;</w:t>
      </w:r>
      <w:r w:rsidR="004E071A">
        <w:t xml:space="preserve"> likely due to soil moisture and nutrient</w:t>
      </w:r>
      <w:r w:rsidR="00ED6AC5">
        <w:t xml:space="preserve">s being retained within cover crop residues during late season. </w:t>
      </w:r>
      <w:r w:rsidR="001A4416">
        <w:t xml:space="preserve">Grazing duration and animal performance was variable, being highly dependent on </w:t>
      </w:r>
      <w:r w:rsidR="0091575E">
        <w:t>precipitation and temperature during the cover crop growing season.</w:t>
      </w:r>
    </w:p>
    <w:p w14:paraId="28FAC3BA" w14:textId="61021E4C" w:rsidR="00B64B0F" w:rsidRDefault="00B64B0F">
      <w:pPr>
        <w:rPr>
          <w:b/>
          <w:bCs/>
        </w:rPr>
      </w:pPr>
      <w:r>
        <w:rPr>
          <w:b/>
          <w:bCs/>
        </w:rPr>
        <w:t>Benefits and Recommendations to North Dakota Soybean Farmers and Industry:</w:t>
      </w:r>
    </w:p>
    <w:p w14:paraId="2CF43479" w14:textId="2BE371A4" w:rsidR="00B64B0F" w:rsidRPr="00FF0679" w:rsidRDefault="00DE0F64">
      <w:pPr>
        <w:rPr>
          <w:rFonts w:ascii="Times New Roman" w:hAnsi="Times New Roman" w:cs="Times New Roman"/>
          <w:sz w:val="24"/>
          <w:szCs w:val="24"/>
        </w:rPr>
      </w:pPr>
      <w:r>
        <w:t>Livestock integration did not negatively affect soil health prior to soybean planting</w:t>
      </w:r>
      <w:r w:rsidR="008379D4">
        <w:t xml:space="preserve">. Both cover crop practices and livestock integration have been shown to positively impact soil physical health over </w:t>
      </w:r>
      <w:r w:rsidR="00F7770C">
        <w:t>extended periods of time, which may not have been captured within this study.</w:t>
      </w:r>
      <w:r w:rsidR="00834C49">
        <w:t xml:space="preserve"> Planting date, temperature, and precipitation all heavily influenced </w:t>
      </w:r>
      <w:r w:rsidR="0009654F">
        <w:t>rye stands and the duration of grazing.</w:t>
      </w:r>
      <w:r w:rsidR="00F7770C">
        <w:t xml:space="preserve"> </w:t>
      </w:r>
      <w:r w:rsidR="00DB5C35">
        <w:t>R</w:t>
      </w:r>
      <w:r w:rsidR="000A7E88">
        <w:t xml:space="preserve">ye provided </w:t>
      </w:r>
      <w:r w:rsidR="00147399">
        <w:t>up to</w:t>
      </w:r>
      <w:r w:rsidR="00D9107A">
        <w:t xml:space="preserve"> 0.84 animal use months </w:t>
      </w:r>
      <w:r w:rsidR="00DB5C35">
        <w:t>per acre</w:t>
      </w:r>
      <w:r w:rsidR="00803524">
        <w:t xml:space="preserve"> during early spring, which can reduce pressure on other grazing systems and increase flexibility </w:t>
      </w:r>
      <w:r w:rsidR="008A0370">
        <w:t xml:space="preserve">to producers interested in both crop and livestock </w:t>
      </w:r>
      <w:r w:rsidR="008A0370" w:rsidRPr="00FF0679">
        <w:rPr>
          <w:rFonts w:ascii="Times New Roman" w:hAnsi="Times New Roman" w:cs="Times New Roman"/>
          <w:sz w:val="24"/>
          <w:szCs w:val="24"/>
        </w:rPr>
        <w:t>production.</w:t>
      </w:r>
    </w:p>
    <w:p w14:paraId="4F660887" w14:textId="77777777" w:rsidR="009A5F27" w:rsidRPr="00FF0679" w:rsidRDefault="009A5F27">
      <w:pPr>
        <w:rPr>
          <w:rFonts w:ascii="Times New Roman" w:hAnsi="Times New Roman" w:cs="Times New Roman"/>
          <w:sz w:val="24"/>
          <w:szCs w:val="24"/>
        </w:rPr>
      </w:pPr>
    </w:p>
    <w:p w14:paraId="5D8C1891" w14:textId="5002249C" w:rsidR="00FF0679" w:rsidRPr="00FF0679" w:rsidRDefault="00FF0679" w:rsidP="00FF0679">
      <w:pPr>
        <w:pStyle w:val="Caption"/>
        <w:keepNext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lastRenderedPageBreak/>
        <w:t xml:space="preserve">Figure </w:t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fldChar w:fldCharType="begin"/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instrText xml:space="preserve"> SEQ Figure \* ARABIC </w:instrText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fldChar w:fldCharType="separate"/>
      </w:r>
      <w:r w:rsidRPr="00FF0679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t>1</w:t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fldChar w:fldCharType="end"/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Soybean Yield in Streeter N</w:t>
      </w:r>
      <w:r w:rsidR="005634FD">
        <w:rPr>
          <w:rFonts w:ascii="Times New Roman" w:hAnsi="Times New Roman" w:cs="Times New Roman"/>
          <w:i w:val="0"/>
          <w:iCs w:val="0"/>
          <w:sz w:val="24"/>
          <w:szCs w:val="24"/>
        </w:rPr>
        <w:t>.</w:t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t>D</w:t>
      </w:r>
      <w:r w:rsidR="005634FD">
        <w:rPr>
          <w:rFonts w:ascii="Times New Roman" w:hAnsi="Times New Roman" w:cs="Times New Roman"/>
          <w:i w:val="0"/>
          <w:iCs w:val="0"/>
          <w:sz w:val="24"/>
          <w:szCs w:val="24"/>
        </w:rPr>
        <w:t>.</w:t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and Carrington N</w:t>
      </w:r>
      <w:r w:rsidR="005634FD">
        <w:rPr>
          <w:rFonts w:ascii="Times New Roman" w:hAnsi="Times New Roman" w:cs="Times New Roman"/>
          <w:i w:val="0"/>
          <w:iCs w:val="0"/>
          <w:sz w:val="24"/>
          <w:szCs w:val="24"/>
        </w:rPr>
        <w:t>.</w:t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t>D</w:t>
      </w:r>
      <w:r w:rsidR="005634FD">
        <w:rPr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14:paraId="29C5CADE" w14:textId="36ECEF57" w:rsidR="009A5F27" w:rsidRPr="00FF0679" w:rsidRDefault="00857F03">
      <w:pPr>
        <w:rPr>
          <w:rFonts w:ascii="Times New Roman" w:hAnsi="Times New Roman" w:cs="Times New Roman"/>
          <w:sz w:val="24"/>
          <w:szCs w:val="24"/>
        </w:rPr>
      </w:pPr>
      <w:r w:rsidRPr="00FF067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AA6B6D2" wp14:editId="564B244A">
            <wp:extent cx="6298565" cy="3342411"/>
            <wp:effectExtent l="0" t="0" r="6985" b="0"/>
            <wp:docPr id="1386221475" name="Picture 6" descr="A graph of a number of patien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221475" name="Picture 6" descr="A graph of a number of patients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2329" cy="334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986EC" w14:textId="77777777" w:rsidR="00FF0679" w:rsidRPr="00FF0679" w:rsidRDefault="00FF0679" w:rsidP="00FF0679">
      <w:pPr>
        <w:rPr>
          <w:rFonts w:ascii="Times New Roman" w:hAnsi="Times New Roman" w:cs="Times New Roman"/>
          <w:sz w:val="24"/>
          <w:szCs w:val="24"/>
        </w:rPr>
      </w:pPr>
    </w:p>
    <w:p w14:paraId="05C20B1D" w14:textId="77777777" w:rsidR="00FF0679" w:rsidRPr="00FF0679" w:rsidRDefault="00FF0679" w:rsidP="00FF0679">
      <w:pPr>
        <w:rPr>
          <w:rFonts w:ascii="Times New Roman" w:hAnsi="Times New Roman" w:cs="Times New Roman"/>
          <w:sz w:val="24"/>
          <w:szCs w:val="24"/>
        </w:rPr>
      </w:pPr>
    </w:p>
    <w:p w14:paraId="5D64EE69" w14:textId="0DB1B03F" w:rsidR="00FF0679" w:rsidRPr="00FF0679" w:rsidRDefault="00FF0679" w:rsidP="00FF0679">
      <w:pPr>
        <w:pStyle w:val="Caption"/>
        <w:keepNext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Figure </w:t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fldChar w:fldCharType="begin"/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instrText xml:space="preserve"> SEQ Figure \* ARABIC </w:instrText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fldChar w:fldCharType="separate"/>
      </w:r>
      <w:r w:rsidRPr="00FF0679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t>2</w:t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fldChar w:fldCharType="end"/>
      </w:r>
      <w:r w:rsidRPr="00FF0679">
        <w:rPr>
          <w:rFonts w:ascii="Times New Roman" w:hAnsi="Times New Roman" w:cs="Times New Roman"/>
          <w:i w:val="0"/>
          <w:iCs w:val="0"/>
          <w:sz w:val="24"/>
          <w:szCs w:val="24"/>
        </w:rPr>
        <w:t>.</w:t>
      </w:r>
      <w:r w:rsidR="0070196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5634FD">
        <w:rPr>
          <w:rFonts w:ascii="Times New Roman" w:hAnsi="Times New Roman" w:cs="Times New Roman"/>
          <w:i w:val="0"/>
          <w:iCs w:val="0"/>
          <w:sz w:val="24"/>
          <w:szCs w:val="24"/>
        </w:rPr>
        <w:t>Remaining</w:t>
      </w:r>
      <w:r w:rsidR="0070196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winter rye residue within</w:t>
      </w:r>
      <w:r w:rsidR="009D796B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a</w:t>
      </w:r>
      <w:r w:rsidR="0070196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877F90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spring grazed </w:t>
      </w:r>
      <w:r w:rsidR="00040793">
        <w:rPr>
          <w:rFonts w:ascii="Times New Roman" w:hAnsi="Times New Roman" w:cs="Times New Roman"/>
          <w:i w:val="0"/>
          <w:iCs w:val="0"/>
          <w:sz w:val="24"/>
          <w:szCs w:val="24"/>
        </w:rPr>
        <w:t>paddock immediately following removal of grazing cattle at Streeter</w:t>
      </w:r>
      <w:r w:rsidR="00647747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in Spring 2024</w:t>
      </w:r>
      <w:r w:rsidR="00040793">
        <w:rPr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14:paraId="73A5CD96" w14:textId="648E09B5" w:rsidR="00FF0679" w:rsidRPr="00FF0679" w:rsidRDefault="00FF0679" w:rsidP="00FF0679">
      <w:r>
        <w:rPr>
          <w:noProof/>
        </w:rPr>
        <w:drawing>
          <wp:inline distT="0" distB="0" distL="0" distR="0" wp14:anchorId="38175825" wp14:editId="0B36A96B">
            <wp:extent cx="4172664" cy="3141980"/>
            <wp:effectExtent l="0" t="0" r="0" b="1270"/>
            <wp:docPr id="1749975143" name="Picture 8" descr="A field of grass with blu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975143" name="Picture 8" descr="A field of grass with blue sky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664" cy="314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0679" w:rsidRPr="00FF06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669"/>
    <w:rsid w:val="00006DA8"/>
    <w:rsid w:val="00013C21"/>
    <w:rsid w:val="000167A9"/>
    <w:rsid w:val="00027626"/>
    <w:rsid w:val="00040793"/>
    <w:rsid w:val="000660D9"/>
    <w:rsid w:val="00085F05"/>
    <w:rsid w:val="00093C63"/>
    <w:rsid w:val="0009654F"/>
    <w:rsid w:val="000A7E88"/>
    <w:rsid w:val="000F3E2F"/>
    <w:rsid w:val="00122A9F"/>
    <w:rsid w:val="00147399"/>
    <w:rsid w:val="00166BC2"/>
    <w:rsid w:val="001A4416"/>
    <w:rsid w:val="001B5669"/>
    <w:rsid w:val="002023B3"/>
    <w:rsid w:val="00226B3D"/>
    <w:rsid w:val="00241240"/>
    <w:rsid w:val="002454CD"/>
    <w:rsid w:val="00260E2F"/>
    <w:rsid w:val="00291A2B"/>
    <w:rsid w:val="002E0A03"/>
    <w:rsid w:val="00342F23"/>
    <w:rsid w:val="003804A7"/>
    <w:rsid w:val="003D3D6F"/>
    <w:rsid w:val="00401645"/>
    <w:rsid w:val="00451753"/>
    <w:rsid w:val="00462CAC"/>
    <w:rsid w:val="004E071A"/>
    <w:rsid w:val="004E09A1"/>
    <w:rsid w:val="004E544E"/>
    <w:rsid w:val="0050118F"/>
    <w:rsid w:val="0052522B"/>
    <w:rsid w:val="005567EA"/>
    <w:rsid w:val="005634FD"/>
    <w:rsid w:val="0061268E"/>
    <w:rsid w:val="00647747"/>
    <w:rsid w:val="0066767E"/>
    <w:rsid w:val="006D7B45"/>
    <w:rsid w:val="0070196A"/>
    <w:rsid w:val="00703DC2"/>
    <w:rsid w:val="00715EC2"/>
    <w:rsid w:val="00750E33"/>
    <w:rsid w:val="00757EB5"/>
    <w:rsid w:val="00777E4D"/>
    <w:rsid w:val="007E4F3E"/>
    <w:rsid w:val="007E69D5"/>
    <w:rsid w:val="00803524"/>
    <w:rsid w:val="00834C49"/>
    <w:rsid w:val="008379D4"/>
    <w:rsid w:val="00857F03"/>
    <w:rsid w:val="00867FFA"/>
    <w:rsid w:val="00877F90"/>
    <w:rsid w:val="00894AED"/>
    <w:rsid w:val="008A0370"/>
    <w:rsid w:val="008B7C66"/>
    <w:rsid w:val="008E2CF0"/>
    <w:rsid w:val="008E4CE4"/>
    <w:rsid w:val="008F398A"/>
    <w:rsid w:val="0091575E"/>
    <w:rsid w:val="009A5F27"/>
    <w:rsid w:val="009D796B"/>
    <w:rsid w:val="00A1536A"/>
    <w:rsid w:val="00A572AE"/>
    <w:rsid w:val="00A729E9"/>
    <w:rsid w:val="00A821E6"/>
    <w:rsid w:val="00AC190D"/>
    <w:rsid w:val="00AE722E"/>
    <w:rsid w:val="00B64B0F"/>
    <w:rsid w:val="00B80FC2"/>
    <w:rsid w:val="00B86E05"/>
    <w:rsid w:val="00BE11D7"/>
    <w:rsid w:val="00C47B0D"/>
    <w:rsid w:val="00C65556"/>
    <w:rsid w:val="00CF111C"/>
    <w:rsid w:val="00D31BD6"/>
    <w:rsid w:val="00D32A2B"/>
    <w:rsid w:val="00D50605"/>
    <w:rsid w:val="00D606B2"/>
    <w:rsid w:val="00D9107A"/>
    <w:rsid w:val="00DB5C35"/>
    <w:rsid w:val="00DD4984"/>
    <w:rsid w:val="00DE0F64"/>
    <w:rsid w:val="00E035C7"/>
    <w:rsid w:val="00E0406E"/>
    <w:rsid w:val="00E765E7"/>
    <w:rsid w:val="00EC5E7A"/>
    <w:rsid w:val="00ED38F6"/>
    <w:rsid w:val="00ED6AC5"/>
    <w:rsid w:val="00EF38E0"/>
    <w:rsid w:val="00F7770C"/>
    <w:rsid w:val="00F90B8F"/>
    <w:rsid w:val="00F95133"/>
    <w:rsid w:val="00FA180C"/>
    <w:rsid w:val="00FA7A8F"/>
    <w:rsid w:val="00FC0302"/>
    <w:rsid w:val="00FF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28EF8"/>
  <w15:chartTrackingRefBased/>
  <w15:docId w15:val="{3692B1E3-FA8A-419A-9026-DCA321AF9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56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56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56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56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56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56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56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56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56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56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56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56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56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56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56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56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56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56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56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56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56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56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56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56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56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56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56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56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5669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F0679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c37a091-b9a6-47e5-98d0-903d4a419203}" enabled="0" method="" siteId="{ec37a091-b9a6-47e5-98d0-903d4a41920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2745</Characters>
  <Application>Microsoft Office Word</Application>
  <DocSecurity>4</DocSecurity>
  <Lines>22</Lines>
  <Paragraphs>6</Paragraphs>
  <ScaleCrop>false</ScaleCrop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Wianecki, Joshua</dc:creator>
  <cp:keywords/>
  <dc:description/>
  <cp:lastModifiedBy>Miki Miheguli</cp:lastModifiedBy>
  <cp:revision>2</cp:revision>
  <dcterms:created xsi:type="dcterms:W3CDTF">2024-08-05T13:02:00Z</dcterms:created>
  <dcterms:modified xsi:type="dcterms:W3CDTF">2024-08-05T13:02:00Z</dcterms:modified>
</cp:coreProperties>
</file>