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73B8" w:rsidRPr="00BE3FF2" w:rsidRDefault="007573B8" w:rsidP="007573B8">
      <w:pPr>
        <w:jc w:val="center"/>
        <w:rPr>
          <w:rFonts w:ascii="Times New Roman" w:hAnsi="Times New Roman" w:cs="Times New Roman"/>
          <w:b/>
          <w:sz w:val="24"/>
          <w:szCs w:val="24"/>
        </w:rPr>
      </w:pPr>
      <w:r w:rsidRPr="00BE3FF2">
        <w:rPr>
          <w:rFonts w:ascii="Times New Roman" w:hAnsi="Times New Roman" w:cs="Times New Roman"/>
          <w:b/>
          <w:sz w:val="24"/>
          <w:szCs w:val="24"/>
        </w:rPr>
        <w:t>FY 2021 Year</w:t>
      </w:r>
      <w:r w:rsidR="00EA717A" w:rsidRPr="00BE3FF2">
        <w:rPr>
          <w:rFonts w:ascii="Times New Roman" w:hAnsi="Times New Roman" w:cs="Times New Roman"/>
          <w:b/>
          <w:sz w:val="24"/>
          <w:szCs w:val="24"/>
        </w:rPr>
        <w:t>-End</w:t>
      </w:r>
      <w:r w:rsidRPr="00BE3FF2">
        <w:rPr>
          <w:rFonts w:ascii="Times New Roman" w:hAnsi="Times New Roman" w:cs="Times New Roman"/>
          <w:b/>
          <w:sz w:val="24"/>
          <w:szCs w:val="24"/>
        </w:rPr>
        <w:t xml:space="preserve"> </w:t>
      </w:r>
      <w:r w:rsidR="0049091E">
        <w:rPr>
          <w:rFonts w:ascii="Times New Roman" w:hAnsi="Times New Roman" w:cs="Times New Roman"/>
          <w:b/>
          <w:sz w:val="24"/>
          <w:szCs w:val="24"/>
        </w:rPr>
        <w:t>Executive Summary</w:t>
      </w:r>
      <w:r w:rsidRPr="00BE3FF2">
        <w:rPr>
          <w:rFonts w:ascii="Times New Roman" w:hAnsi="Times New Roman" w:cs="Times New Roman"/>
          <w:b/>
          <w:sz w:val="24"/>
          <w:szCs w:val="24"/>
        </w:rPr>
        <w:t xml:space="preserve"> ND Soybean Council</w:t>
      </w:r>
    </w:p>
    <w:p w:rsidR="007573B8" w:rsidRPr="00861269" w:rsidRDefault="00EA717A" w:rsidP="007573B8">
      <w:pPr>
        <w:jc w:val="center"/>
        <w:rPr>
          <w:rFonts w:ascii="Times New Roman" w:hAnsi="Times New Roman" w:cs="Times New Roman"/>
          <w:b/>
          <w:sz w:val="24"/>
          <w:szCs w:val="24"/>
        </w:rPr>
      </w:pPr>
      <w:r w:rsidRPr="00861269">
        <w:rPr>
          <w:rFonts w:ascii="Times New Roman" w:hAnsi="Times New Roman" w:cs="Times New Roman"/>
          <w:b/>
          <w:sz w:val="24"/>
          <w:szCs w:val="24"/>
        </w:rPr>
        <w:t>Ju</w:t>
      </w:r>
      <w:r w:rsidR="00C00856">
        <w:rPr>
          <w:rFonts w:ascii="Times New Roman" w:hAnsi="Times New Roman" w:cs="Times New Roman"/>
          <w:b/>
          <w:sz w:val="24"/>
          <w:szCs w:val="24"/>
        </w:rPr>
        <w:t>ly</w:t>
      </w:r>
      <w:r w:rsidRPr="00861269">
        <w:rPr>
          <w:rFonts w:ascii="Times New Roman" w:hAnsi="Times New Roman" w:cs="Times New Roman"/>
          <w:b/>
          <w:sz w:val="24"/>
          <w:szCs w:val="24"/>
        </w:rPr>
        <w:t xml:space="preserve"> </w:t>
      </w:r>
      <w:r w:rsidR="00C00856">
        <w:rPr>
          <w:rFonts w:ascii="Times New Roman" w:hAnsi="Times New Roman" w:cs="Times New Roman"/>
          <w:b/>
          <w:sz w:val="24"/>
          <w:szCs w:val="24"/>
        </w:rPr>
        <w:t>02</w:t>
      </w:r>
      <w:r w:rsidRPr="00861269">
        <w:rPr>
          <w:rFonts w:ascii="Times New Roman" w:hAnsi="Times New Roman" w:cs="Times New Roman"/>
          <w:b/>
          <w:sz w:val="24"/>
          <w:szCs w:val="24"/>
        </w:rPr>
        <w:t>, 202</w:t>
      </w:r>
      <w:r w:rsidR="0021621F">
        <w:rPr>
          <w:rFonts w:ascii="Times New Roman" w:hAnsi="Times New Roman" w:cs="Times New Roman"/>
          <w:b/>
          <w:sz w:val="24"/>
          <w:szCs w:val="24"/>
        </w:rPr>
        <w:t>4</w:t>
      </w:r>
    </w:p>
    <w:p w:rsidR="00C00856" w:rsidRPr="000D62DA" w:rsidRDefault="007573B8" w:rsidP="00C00856">
      <w:pPr>
        <w:rPr>
          <w:b/>
          <w:sz w:val="32"/>
        </w:rPr>
      </w:pPr>
      <w:r w:rsidRPr="00861269">
        <w:rPr>
          <w:rFonts w:ascii="Times New Roman" w:hAnsi="Times New Roman" w:cs="Times New Roman"/>
          <w:b/>
          <w:sz w:val="24"/>
          <w:szCs w:val="24"/>
        </w:rPr>
        <w:t>Title of Project:</w:t>
      </w:r>
      <w:r w:rsidRPr="00861269">
        <w:rPr>
          <w:rFonts w:ascii="Times New Roman" w:hAnsi="Times New Roman" w:cs="Times New Roman"/>
          <w:sz w:val="24"/>
          <w:szCs w:val="24"/>
        </w:rPr>
        <w:t xml:space="preserve"> </w:t>
      </w:r>
      <w:r w:rsidR="00C00856" w:rsidRPr="00C00856">
        <w:rPr>
          <w:rFonts w:ascii="Times New Roman" w:hAnsi="Times New Roman" w:cs="Times New Roman"/>
          <w:sz w:val="24"/>
          <w:szCs w:val="24"/>
        </w:rPr>
        <w:t>Optimal Respray Intervals for Glufosinate, 2,4-D, and Dicamba on Glyphosate-Resistant Waterhemp and Palmer amaranth</w:t>
      </w:r>
      <w:r w:rsidR="0019053C">
        <w:rPr>
          <w:rFonts w:ascii="Times New Roman" w:hAnsi="Times New Roman" w:cs="Times New Roman"/>
          <w:sz w:val="24"/>
          <w:szCs w:val="24"/>
        </w:rPr>
        <w:t xml:space="preserve"> (Year 2)</w:t>
      </w:r>
      <w:r w:rsidR="00C00856" w:rsidRPr="00C00856">
        <w:rPr>
          <w:rFonts w:ascii="Times New Roman" w:hAnsi="Times New Roman" w:cs="Times New Roman"/>
          <w:sz w:val="24"/>
          <w:szCs w:val="24"/>
        </w:rPr>
        <w:t>.</w:t>
      </w:r>
    </w:p>
    <w:p w:rsidR="007573B8" w:rsidRPr="00861269" w:rsidRDefault="007573B8" w:rsidP="007573B8">
      <w:pPr>
        <w:rPr>
          <w:rFonts w:ascii="Times New Roman" w:hAnsi="Times New Roman" w:cs="Times New Roman"/>
          <w:sz w:val="24"/>
          <w:szCs w:val="24"/>
        </w:rPr>
      </w:pPr>
    </w:p>
    <w:p w:rsidR="00655367" w:rsidRPr="00861269" w:rsidRDefault="007573B8">
      <w:pPr>
        <w:rPr>
          <w:rFonts w:ascii="Times New Roman" w:hAnsi="Times New Roman" w:cs="Times New Roman"/>
          <w:sz w:val="24"/>
          <w:szCs w:val="24"/>
        </w:rPr>
      </w:pPr>
      <w:r w:rsidRPr="00861269">
        <w:rPr>
          <w:rFonts w:ascii="Times New Roman" w:hAnsi="Times New Roman" w:cs="Times New Roman"/>
          <w:b/>
          <w:sz w:val="24"/>
          <w:szCs w:val="24"/>
        </w:rPr>
        <w:t>Principal Investigator:</w:t>
      </w:r>
      <w:r w:rsidRPr="00861269">
        <w:rPr>
          <w:rFonts w:ascii="Times New Roman" w:hAnsi="Times New Roman" w:cs="Times New Roman"/>
          <w:sz w:val="24"/>
          <w:szCs w:val="24"/>
        </w:rPr>
        <w:t xml:space="preserve"> Dr. </w:t>
      </w:r>
      <w:r w:rsidR="00655367" w:rsidRPr="00861269">
        <w:rPr>
          <w:rFonts w:ascii="Times New Roman" w:hAnsi="Times New Roman" w:cs="Times New Roman"/>
          <w:sz w:val="24"/>
          <w:szCs w:val="24"/>
        </w:rPr>
        <w:t>Joseph T Ikley</w:t>
      </w:r>
      <w:r w:rsidRPr="00861269">
        <w:rPr>
          <w:rFonts w:ascii="Times New Roman" w:hAnsi="Times New Roman" w:cs="Times New Roman"/>
          <w:sz w:val="24"/>
          <w:szCs w:val="24"/>
        </w:rPr>
        <w:t>, NDSU Extension Weed Scientist</w:t>
      </w:r>
    </w:p>
    <w:p w:rsidR="00F34A13" w:rsidRDefault="00F34A13" w:rsidP="00F34A13">
      <w:pPr>
        <w:rPr>
          <w:rFonts w:ascii="Times New Roman" w:hAnsi="Times New Roman" w:cs="Times New Roman"/>
          <w:b/>
          <w:sz w:val="24"/>
          <w:szCs w:val="24"/>
        </w:rPr>
      </w:pPr>
      <w:r>
        <w:rPr>
          <w:rFonts w:ascii="Times New Roman" w:hAnsi="Times New Roman" w:cs="Times New Roman"/>
          <w:b/>
          <w:sz w:val="24"/>
          <w:szCs w:val="24"/>
        </w:rPr>
        <w:t>Research Conducted</w:t>
      </w:r>
    </w:p>
    <w:p w:rsidR="00C00856" w:rsidRDefault="00C00856" w:rsidP="00F34A13">
      <w:pPr>
        <w:rPr>
          <w:rFonts w:ascii="Times New Roman" w:hAnsi="Times New Roman" w:cs="Times New Roman"/>
          <w:sz w:val="24"/>
          <w:szCs w:val="24"/>
        </w:rPr>
      </w:pPr>
      <w:r>
        <w:rPr>
          <w:rFonts w:ascii="Times New Roman" w:hAnsi="Times New Roman" w:cs="Times New Roman"/>
          <w:sz w:val="24"/>
          <w:szCs w:val="24"/>
        </w:rPr>
        <w:t xml:space="preserve">This research was conducted to determine the optimal timing to respray a failed initial application of 2,4-D, dicamba, or glufosinate, in soybean. This research was conducted on waterhemp in a non-crop setting, and on Palmer amaranth in the greenhouse. Initial treatment was applied when pigweeds were 3 inches in height, then respray applications were made 7, 14, and 21 days after the initial application. </w:t>
      </w:r>
      <w:r w:rsidR="00B44DA5">
        <w:rPr>
          <w:rFonts w:ascii="Times New Roman" w:hAnsi="Times New Roman" w:cs="Times New Roman"/>
          <w:sz w:val="24"/>
          <w:szCs w:val="24"/>
        </w:rPr>
        <w:t>Herbicides used were grouped according to which active ingredients can be used in herbicide resistant soybean (i.e. 2,4-D and glufosinate in E3 soybean; dicamba and glufosinate in Xtendflex soybean).</w:t>
      </w:r>
      <w:r>
        <w:rPr>
          <w:rFonts w:ascii="Times New Roman" w:hAnsi="Times New Roman" w:cs="Times New Roman"/>
          <w:sz w:val="24"/>
          <w:szCs w:val="24"/>
        </w:rPr>
        <w:t xml:space="preserve"> </w:t>
      </w:r>
    </w:p>
    <w:p w:rsidR="00BE3FF2" w:rsidRDefault="0049091E">
      <w:pPr>
        <w:rPr>
          <w:rFonts w:ascii="Times New Roman" w:hAnsi="Times New Roman" w:cs="Times New Roman"/>
          <w:b/>
          <w:sz w:val="24"/>
          <w:szCs w:val="24"/>
        </w:rPr>
      </w:pPr>
      <w:r>
        <w:rPr>
          <w:rFonts w:ascii="Times New Roman" w:hAnsi="Times New Roman" w:cs="Times New Roman"/>
          <w:b/>
          <w:sz w:val="24"/>
          <w:szCs w:val="24"/>
        </w:rPr>
        <w:t>Why the research is important to ND soybean farmers</w:t>
      </w:r>
    </w:p>
    <w:p w:rsidR="006122A1" w:rsidRDefault="006122A1">
      <w:pPr>
        <w:rPr>
          <w:rFonts w:ascii="Times New Roman" w:hAnsi="Times New Roman" w:cs="Times New Roman"/>
          <w:sz w:val="24"/>
          <w:szCs w:val="24"/>
        </w:rPr>
      </w:pPr>
      <w:r>
        <w:rPr>
          <w:rFonts w:ascii="Times New Roman" w:hAnsi="Times New Roman" w:cs="Times New Roman"/>
          <w:sz w:val="24"/>
          <w:szCs w:val="24"/>
        </w:rPr>
        <w:t xml:space="preserve">There are a number of factors that can cause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herbicide application to fail to control weeds, and optimal timing and herbicide to use</w:t>
      </w:r>
      <w:r w:rsidR="00641657">
        <w:rPr>
          <w:rFonts w:ascii="Times New Roman" w:hAnsi="Times New Roman" w:cs="Times New Roman"/>
          <w:sz w:val="24"/>
          <w:szCs w:val="24"/>
        </w:rPr>
        <w:t xml:space="preserve"> in the sequential treatment</w:t>
      </w:r>
      <w:r>
        <w:rPr>
          <w:rFonts w:ascii="Times New Roman" w:hAnsi="Times New Roman" w:cs="Times New Roman"/>
          <w:sz w:val="24"/>
          <w:szCs w:val="24"/>
        </w:rPr>
        <w:t xml:space="preserve"> are frequent questions during the summer spray season. </w:t>
      </w:r>
      <w:r w:rsidR="00641657">
        <w:rPr>
          <w:rFonts w:ascii="Times New Roman" w:hAnsi="Times New Roman" w:cs="Times New Roman"/>
          <w:sz w:val="24"/>
          <w:szCs w:val="24"/>
        </w:rPr>
        <w:t xml:space="preserve">This research was conducted to determine the answers to those questions on waterhemp and Palmer amaranth, two important weeds that are detrimental to soybean production. Results should help improve overall efficacy and reduce seed production of these weeds in cases where retreatments are necessary. </w:t>
      </w:r>
    </w:p>
    <w:p w:rsidR="0049091E" w:rsidRDefault="0049091E">
      <w:pPr>
        <w:rPr>
          <w:rFonts w:ascii="Times New Roman" w:hAnsi="Times New Roman" w:cs="Times New Roman"/>
          <w:b/>
          <w:sz w:val="24"/>
          <w:szCs w:val="24"/>
        </w:rPr>
      </w:pPr>
      <w:r>
        <w:rPr>
          <w:rFonts w:ascii="Times New Roman" w:hAnsi="Times New Roman" w:cs="Times New Roman"/>
          <w:b/>
          <w:sz w:val="24"/>
          <w:szCs w:val="24"/>
        </w:rPr>
        <w:t>Final findings of the research</w:t>
      </w:r>
    </w:p>
    <w:p w:rsidR="008F4148" w:rsidRDefault="00F96A05">
      <w:pPr>
        <w:rPr>
          <w:rFonts w:ascii="Times New Roman" w:hAnsi="Times New Roman" w:cs="Times New Roman"/>
          <w:sz w:val="24"/>
          <w:szCs w:val="24"/>
        </w:rPr>
      </w:pPr>
      <w:r>
        <w:rPr>
          <w:rFonts w:ascii="Times New Roman" w:hAnsi="Times New Roman" w:cs="Times New Roman"/>
          <w:sz w:val="24"/>
          <w:szCs w:val="24"/>
        </w:rPr>
        <w:t>In the E3 soybean system</w:t>
      </w:r>
      <w:r w:rsidR="00554665">
        <w:rPr>
          <w:rFonts w:ascii="Times New Roman" w:hAnsi="Times New Roman" w:cs="Times New Roman"/>
          <w:sz w:val="24"/>
          <w:szCs w:val="24"/>
        </w:rPr>
        <w:t xml:space="preserve"> in 2022</w:t>
      </w:r>
      <w:r>
        <w:rPr>
          <w:rFonts w:ascii="Times New Roman" w:hAnsi="Times New Roman" w:cs="Times New Roman"/>
          <w:sz w:val="24"/>
          <w:szCs w:val="24"/>
        </w:rPr>
        <w:t>, treatments on waterhemp were generally more consistent when 2,4-D was applied first. Final weed control ranged from 84 to 98% when 2,4-D was followed by another application of 2,4-D or glufosinate. There were no differences on timing of the follow up application. When glufosinate was applied first, the worst treatment was a sequential application of 2,4-D 7 days later (63% control), or glufosinate 21 days later (66%). All other combinations provided 83 to 94% control.</w:t>
      </w:r>
      <w:r w:rsidR="00554665">
        <w:rPr>
          <w:rFonts w:ascii="Times New Roman" w:hAnsi="Times New Roman" w:cs="Times New Roman"/>
          <w:sz w:val="24"/>
          <w:szCs w:val="24"/>
        </w:rPr>
        <w:t xml:space="preserve"> In 2023, all treatment combinations were similar and provided between 91 and 99% control of waterhemp.</w:t>
      </w:r>
    </w:p>
    <w:p w:rsidR="00554665" w:rsidRDefault="008F4148">
      <w:pPr>
        <w:rPr>
          <w:rFonts w:ascii="Times New Roman" w:hAnsi="Times New Roman" w:cs="Times New Roman"/>
          <w:sz w:val="24"/>
          <w:szCs w:val="24"/>
        </w:rPr>
      </w:pPr>
      <w:r>
        <w:rPr>
          <w:rFonts w:ascii="Times New Roman" w:hAnsi="Times New Roman" w:cs="Times New Roman"/>
          <w:sz w:val="24"/>
          <w:szCs w:val="24"/>
        </w:rPr>
        <w:t xml:space="preserve">Waterhemp control in the Xtendflex trial was generally </w:t>
      </w:r>
      <w:r w:rsidR="00554665">
        <w:rPr>
          <w:rFonts w:ascii="Times New Roman" w:hAnsi="Times New Roman" w:cs="Times New Roman"/>
          <w:sz w:val="24"/>
          <w:szCs w:val="24"/>
        </w:rPr>
        <w:t>less than the E3 trial</w:t>
      </w:r>
      <w:r>
        <w:rPr>
          <w:rFonts w:ascii="Times New Roman" w:hAnsi="Times New Roman" w:cs="Times New Roman"/>
          <w:sz w:val="24"/>
          <w:szCs w:val="24"/>
        </w:rPr>
        <w:t xml:space="preserve">. </w:t>
      </w:r>
      <w:r w:rsidR="00554665">
        <w:rPr>
          <w:rFonts w:ascii="Times New Roman" w:hAnsi="Times New Roman" w:cs="Times New Roman"/>
          <w:sz w:val="24"/>
          <w:szCs w:val="24"/>
        </w:rPr>
        <w:t xml:space="preserve">In 2022, </w:t>
      </w:r>
      <w:r>
        <w:rPr>
          <w:rFonts w:ascii="Times New Roman" w:hAnsi="Times New Roman" w:cs="Times New Roman"/>
          <w:sz w:val="24"/>
          <w:szCs w:val="24"/>
        </w:rPr>
        <w:t>When dicamba was the first herbicide applied, glufosinate applied 7 days later was the worst sequential treatment. All other combinations of dicamba or glufo</w:t>
      </w:r>
      <w:r w:rsidR="00554665">
        <w:rPr>
          <w:rFonts w:ascii="Times New Roman" w:hAnsi="Times New Roman" w:cs="Times New Roman"/>
          <w:sz w:val="24"/>
          <w:szCs w:val="24"/>
        </w:rPr>
        <w:t>s</w:t>
      </w:r>
      <w:r>
        <w:rPr>
          <w:rFonts w:ascii="Times New Roman" w:hAnsi="Times New Roman" w:cs="Times New Roman"/>
          <w:sz w:val="24"/>
          <w:szCs w:val="24"/>
        </w:rPr>
        <w:t>inate resulted in similar control. When glufosinate was applied first, glufosinate applied 14 days later resulted in the greatest control, with dicamba 14 days later providing a similar level of control. All other combinations following first glufosinate application resulted in poor waterhemp control.</w:t>
      </w:r>
      <w:r w:rsidR="00554665">
        <w:rPr>
          <w:rFonts w:ascii="Times New Roman" w:hAnsi="Times New Roman" w:cs="Times New Roman"/>
          <w:sz w:val="24"/>
          <w:szCs w:val="24"/>
        </w:rPr>
        <w:t xml:space="preserve"> In 2023, t</w:t>
      </w:r>
      <w:r w:rsidR="00554665">
        <w:rPr>
          <w:rFonts w:ascii="Times New Roman" w:hAnsi="Times New Roman" w:cs="Times New Roman"/>
          <w:sz w:val="24"/>
        </w:rPr>
        <w:t xml:space="preserve">he treatments with the greatest control were dicamba followed by dicamba at 7 and 14 DAT, dicamba followed by glufosinate at 7, 14, and 21 DAT, and glufosinate followed by glufosinate at 14 and 21 DAT. Of </w:t>
      </w:r>
      <w:r w:rsidR="00554665">
        <w:rPr>
          <w:rFonts w:ascii="Times New Roman" w:hAnsi="Times New Roman" w:cs="Times New Roman"/>
          <w:sz w:val="24"/>
        </w:rPr>
        <w:lastRenderedPageBreak/>
        <w:t>note, glufosinate followed by dicamba only provided 78 to 81% control across all respray timings.</w:t>
      </w:r>
    </w:p>
    <w:p w:rsidR="00554665" w:rsidRDefault="008F4148" w:rsidP="00554665">
      <w:pPr>
        <w:rPr>
          <w:rFonts w:ascii="Times New Roman" w:hAnsi="Times New Roman" w:cs="Times New Roman"/>
          <w:sz w:val="24"/>
        </w:rPr>
      </w:pPr>
      <w:r>
        <w:rPr>
          <w:rFonts w:ascii="Times New Roman" w:hAnsi="Times New Roman" w:cs="Times New Roman"/>
          <w:sz w:val="24"/>
          <w:szCs w:val="24"/>
        </w:rPr>
        <w:t xml:space="preserve">For Palmer amaranth </w:t>
      </w:r>
      <w:r w:rsidR="00554665">
        <w:rPr>
          <w:rFonts w:ascii="Times New Roman" w:hAnsi="Times New Roman" w:cs="Times New Roman"/>
          <w:sz w:val="24"/>
          <w:szCs w:val="24"/>
        </w:rPr>
        <w:t>trial in Enlist soybean, t</w:t>
      </w:r>
      <w:r w:rsidR="00554665">
        <w:rPr>
          <w:rFonts w:ascii="Times New Roman" w:hAnsi="Times New Roman" w:cs="Times New Roman"/>
          <w:sz w:val="24"/>
        </w:rPr>
        <w:t>hree treatments provided less control than the rest of the treatments: 2,4-D followed by glufosinate at 7 DAT, glufosinate followed by 2,4-D at 7 DAT, and glufosinate followed by glufosinate at 7 DAT. The 7 DAT treatment timing does not appear to be the best respray timing for Palmer amaranth in this system, as all respray timings at 14 and 21 days after initial treatment provided better control.</w:t>
      </w:r>
    </w:p>
    <w:p w:rsidR="00554665" w:rsidRPr="005843D7" w:rsidRDefault="00554665" w:rsidP="00554665">
      <w:pPr>
        <w:rPr>
          <w:rFonts w:ascii="Times New Roman" w:hAnsi="Times New Roman" w:cs="Times New Roman"/>
          <w:sz w:val="24"/>
        </w:rPr>
      </w:pPr>
      <w:r>
        <w:rPr>
          <w:rFonts w:ascii="Times New Roman" w:hAnsi="Times New Roman" w:cs="Times New Roman"/>
          <w:sz w:val="24"/>
        </w:rPr>
        <w:t xml:space="preserve">The Palmer amaranth in Xtendflex </w:t>
      </w:r>
      <w:r>
        <w:rPr>
          <w:rFonts w:ascii="Times New Roman" w:hAnsi="Times New Roman" w:cs="Times New Roman"/>
          <w:sz w:val="24"/>
        </w:rPr>
        <w:t>d</w:t>
      </w:r>
      <w:r>
        <w:rPr>
          <w:rFonts w:ascii="Times New Roman" w:hAnsi="Times New Roman" w:cs="Times New Roman"/>
          <w:sz w:val="24"/>
        </w:rPr>
        <w:t>ata from has a similar trend to the Enlist trial, where dicamba followed by glufosinate at 7 DAT, and glufosinate followed by either dicamba or glufosinate at 7 DAT provided some of the least control amongst all treatments. For Palmer amaranth, the only respray sequence at 7 DAT that provided equivalent control as the best treatments was the growth regulator followed by the growth regulator in both trials.</w:t>
      </w:r>
      <w:r>
        <w:rPr>
          <w:rFonts w:ascii="Times New Roman" w:hAnsi="Times New Roman" w:cs="Times New Roman"/>
          <w:sz w:val="24"/>
        </w:rPr>
        <w:t xml:space="preserve"> The Palmer amaranth trials </w:t>
      </w:r>
      <w:proofErr w:type="gramStart"/>
      <w:r>
        <w:rPr>
          <w:rFonts w:ascii="Times New Roman" w:hAnsi="Times New Roman" w:cs="Times New Roman"/>
          <w:sz w:val="24"/>
        </w:rPr>
        <w:t>was</w:t>
      </w:r>
      <w:proofErr w:type="gramEnd"/>
      <w:r>
        <w:rPr>
          <w:rFonts w:ascii="Times New Roman" w:hAnsi="Times New Roman" w:cs="Times New Roman"/>
          <w:sz w:val="24"/>
        </w:rPr>
        <w:t xml:space="preserve"> only conducted in the field in 2023.</w:t>
      </w:r>
    </w:p>
    <w:p w:rsidR="00F96A05" w:rsidRDefault="00F96A05" w:rsidP="00554665">
      <w:pPr>
        <w:rPr>
          <w:rFonts w:ascii="Times New Roman" w:hAnsi="Times New Roman" w:cs="Times New Roman"/>
          <w:sz w:val="24"/>
          <w:szCs w:val="24"/>
        </w:rPr>
      </w:pPr>
    </w:p>
    <w:p w:rsidR="0049091E" w:rsidRDefault="0049091E">
      <w:pPr>
        <w:rPr>
          <w:rFonts w:ascii="Times New Roman" w:hAnsi="Times New Roman" w:cs="Times New Roman"/>
          <w:b/>
          <w:sz w:val="24"/>
          <w:szCs w:val="24"/>
        </w:rPr>
      </w:pPr>
      <w:r>
        <w:rPr>
          <w:rFonts w:ascii="Times New Roman" w:hAnsi="Times New Roman" w:cs="Times New Roman"/>
          <w:b/>
          <w:sz w:val="24"/>
          <w:szCs w:val="24"/>
        </w:rPr>
        <w:t>Benefits/Recommendations to North Dakota soybean farmers and industry</w:t>
      </w:r>
    </w:p>
    <w:p w:rsidR="0004507F" w:rsidRPr="004D77E8" w:rsidRDefault="000E0B4F">
      <w:pPr>
        <w:rPr>
          <w:rFonts w:ascii="Times New Roman" w:hAnsi="Times New Roman" w:cs="Times New Roman"/>
          <w:sz w:val="24"/>
          <w:szCs w:val="24"/>
        </w:rPr>
      </w:pPr>
      <w:r>
        <w:rPr>
          <w:rFonts w:ascii="Times New Roman" w:hAnsi="Times New Roman" w:cs="Times New Roman"/>
          <w:sz w:val="24"/>
          <w:szCs w:val="24"/>
        </w:rPr>
        <w:t>This research did find treatment differences for respray timing and herbicide in case of a failed postemergence application. Though there are some variability in the data across pigweed species and herbicide treatment, in general a respray 14 days following a failed application was always amongst the best treatments. Fields should be scouted with 7 days of original application to determine the success and allow for time to line up another application targeting 14 days following the first application. It is important to note that no single treatment provided complete control of waterhemp and Palmer amaranth, so a more comprehensive, integrated management strategy is need</w:t>
      </w:r>
      <w:bookmarkStart w:id="0" w:name="_GoBack"/>
      <w:bookmarkEnd w:id="0"/>
      <w:r>
        <w:rPr>
          <w:rFonts w:ascii="Times New Roman" w:hAnsi="Times New Roman" w:cs="Times New Roman"/>
          <w:sz w:val="24"/>
          <w:szCs w:val="24"/>
        </w:rPr>
        <w:t xml:space="preserve">ed rather than relying only on use of postemergence herbicides. </w:t>
      </w:r>
      <w:r w:rsidR="00A612E2">
        <w:rPr>
          <w:rFonts w:ascii="Times New Roman" w:hAnsi="Times New Roman" w:cs="Times New Roman"/>
          <w:sz w:val="24"/>
          <w:szCs w:val="24"/>
        </w:rPr>
        <w:t xml:space="preserve">  </w:t>
      </w:r>
    </w:p>
    <w:sectPr w:rsidR="0004507F" w:rsidRPr="004D77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47E"/>
    <w:rsid w:val="00036282"/>
    <w:rsid w:val="0004507F"/>
    <w:rsid w:val="000D7ACD"/>
    <w:rsid w:val="000E0B4F"/>
    <w:rsid w:val="000E53D0"/>
    <w:rsid w:val="00110938"/>
    <w:rsid w:val="00124689"/>
    <w:rsid w:val="00141F17"/>
    <w:rsid w:val="00172E5A"/>
    <w:rsid w:val="0019053C"/>
    <w:rsid w:val="001C1606"/>
    <w:rsid w:val="001C5FA0"/>
    <w:rsid w:val="001E038A"/>
    <w:rsid w:val="0021621F"/>
    <w:rsid w:val="00263767"/>
    <w:rsid w:val="00273416"/>
    <w:rsid w:val="00290432"/>
    <w:rsid w:val="00354C72"/>
    <w:rsid w:val="003C33DD"/>
    <w:rsid w:val="004266B6"/>
    <w:rsid w:val="0048679C"/>
    <w:rsid w:val="0049091E"/>
    <w:rsid w:val="0049339D"/>
    <w:rsid w:val="004A66AE"/>
    <w:rsid w:val="004C1425"/>
    <w:rsid w:val="004D77E8"/>
    <w:rsid w:val="004F2852"/>
    <w:rsid w:val="00554665"/>
    <w:rsid w:val="006122A1"/>
    <w:rsid w:val="00641657"/>
    <w:rsid w:val="00655367"/>
    <w:rsid w:val="0066652F"/>
    <w:rsid w:val="00681D6F"/>
    <w:rsid w:val="006C507D"/>
    <w:rsid w:val="00722FE1"/>
    <w:rsid w:val="007573B8"/>
    <w:rsid w:val="007C7164"/>
    <w:rsid w:val="00807A6C"/>
    <w:rsid w:val="00815069"/>
    <w:rsid w:val="0084139F"/>
    <w:rsid w:val="008525A5"/>
    <w:rsid w:val="00854131"/>
    <w:rsid w:val="00861269"/>
    <w:rsid w:val="008D7CEC"/>
    <w:rsid w:val="008F4148"/>
    <w:rsid w:val="00980C63"/>
    <w:rsid w:val="009C1D6A"/>
    <w:rsid w:val="009F27FA"/>
    <w:rsid w:val="009F5C53"/>
    <w:rsid w:val="00A10C15"/>
    <w:rsid w:val="00A612E2"/>
    <w:rsid w:val="00AB1E01"/>
    <w:rsid w:val="00AB6811"/>
    <w:rsid w:val="00B07E48"/>
    <w:rsid w:val="00B23D88"/>
    <w:rsid w:val="00B44DA5"/>
    <w:rsid w:val="00B851AB"/>
    <w:rsid w:val="00B96265"/>
    <w:rsid w:val="00BB35AA"/>
    <w:rsid w:val="00BC3E83"/>
    <w:rsid w:val="00BE3FF2"/>
    <w:rsid w:val="00C00856"/>
    <w:rsid w:val="00C65CEC"/>
    <w:rsid w:val="00CE4677"/>
    <w:rsid w:val="00D107B1"/>
    <w:rsid w:val="00D7086A"/>
    <w:rsid w:val="00D76B58"/>
    <w:rsid w:val="00E20D70"/>
    <w:rsid w:val="00E5047E"/>
    <w:rsid w:val="00EA717A"/>
    <w:rsid w:val="00F34A13"/>
    <w:rsid w:val="00F74E31"/>
    <w:rsid w:val="00F96A05"/>
    <w:rsid w:val="00FB0575"/>
    <w:rsid w:val="00FB102C"/>
    <w:rsid w:val="00FE0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6D1C5"/>
  <w15:chartTrackingRefBased/>
  <w15:docId w15:val="{C167D029-4814-426F-9F5B-60B5A2C7A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E3FF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612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Ikley</dc:creator>
  <cp:keywords/>
  <dc:description/>
  <cp:lastModifiedBy>Joseph Ikley</cp:lastModifiedBy>
  <cp:revision>4</cp:revision>
  <dcterms:created xsi:type="dcterms:W3CDTF">2024-07-02T15:12:00Z</dcterms:created>
  <dcterms:modified xsi:type="dcterms:W3CDTF">2024-07-02T19:55:00Z</dcterms:modified>
</cp:coreProperties>
</file>