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160" w:rsidRDefault="003F5160" w:rsidP="003F5160">
      <w:pPr>
        <w:jc w:val="center"/>
        <w:rPr>
          <w:rFonts w:ascii="Times New Roman" w:hAnsi="Times New Roman" w:cs="Times New Roman"/>
          <w:b/>
          <w:sz w:val="24"/>
          <w:szCs w:val="24"/>
        </w:rPr>
      </w:pPr>
      <w:r w:rsidRPr="00B17A95">
        <w:rPr>
          <w:rFonts w:ascii="Times New Roman" w:hAnsi="Times New Roman" w:cs="Times New Roman"/>
          <w:b/>
          <w:sz w:val="24"/>
          <w:szCs w:val="24"/>
        </w:rPr>
        <w:t>Field Validation of Mineral N Cycling from Mixed Crop Residues in Long-term No-till Systems</w:t>
      </w:r>
      <w:r>
        <w:rPr>
          <w:rFonts w:ascii="Times New Roman" w:hAnsi="Times New Roman" w:cs="Times New Roman"/>
          <w:b/>
          <w:sz w:val="24"/>
          <w:szCs w:val="24"/>
        </w:rPr>
        <w:t xml:space="preserve"> </w:t>
      </w:r>
    </w:p>
    <w:p w:rsidR="003F5160" w:rsidRPr="00C60F65" w:rsidRDefault="003F5160" w:rsidP="003F5160">
      <w:pPr>
        <w:jc w:val="center"/>
        <w:rPr>
          <w:rFonts w:ascii="Times New Roman" w:hAnsi="Times New Roman" w:cs="Times New Roman"/>
          <w:b/>
          <w:sz w:val="24"/>
          <w:szCs w:val="24"/>
        </w:rPr>
      </w:pPr>
      <w:r w:rsidRPr="00B17A95">
        <w:rPr>
          <w:rFonts w:ascii="Times New Roman" w:hAnsi="Times New Roman" w:cs="Times New Roman"/>
          <w:sz w:val="24"/>
          <w:szCs w:val="24"/>
        </w:rPr>
        <w:t xml:space="preserve"> </w:t>
      </w:r>
      <w:bookmarkStart w:id="0" w:name="_GoBack"/>
      <w:r w:rsidRPr="00C60F65">
        <w:rPr>
          <w:rFonts w:ascii="Times New Roman" w:hAnsi="Times New Roman" w:cs="Times New Roman"/>
          <w:b/>
          <w:sz w:val="24"/>
          <w:szCs w:val="24"/>
        </w:rPr>
        <w:t xml:space="preserve">2022 </w:t>
      </w:r>
      <w:r w:rsidR="00C60F65" w:rsidRPr="00C60F65">
        <w:rPr>
          <w:rFonts w:ascii="Times New Roman" w:hAnsi="Times New Roman" w:cs="Times New Roman"/>
          <w:b/>
          <w:sz w:val="24"/>
          <w:szCs w:val="24"/>
        </w:rPr>
        <w:t>Final</w:t>
      </w:r>
      <w:r w:rsidRPr="00C60F65">
        <w:rPr>
          <w:rFonts w:ascii="Times New Roman" w:hAnsi="Times New Roman" w:cs="Times New Roman"/>
          <w:b/>
          <w:sz w:val="24"/>
          <w:szCs w:val="24"/>
        </w:rPr>
        <w:t xml:space="preserve"> Report </w:t>
      </w:r>
      <w:bookmarkEnd w:id="0"/>
    </w:p>
    <w:p w:rsidR="003F5160" w:rsidRDefault="003F5160" w:rsidP="003F5160">
      <w:pPr>
        <w:spacing w:after="0"/>
        <w:jc w:val="center"/>
        <w:rPr>
          <w:rFonts w:ascii="Times New Roman" w:hAnsi="Times New Roman" w:cs="Times New Roman"/>
          <w:sz w:val="24"/>
          <w:szCs w:val="24"/>
        </w:rPr>
      </w:pPr>
      <w:r w:rsidRPr="00B17A95">
        <w:rPr>
          <w:rFonts w:ascii="Times New Roman" w:hAnsi="Times New Roman" w:cs="Times New Roman"/>
          <w:sz w:val="24"/>
          <w:szCs w:val="24"/>
        </w:rPr>
        <w:t>Larry Cihacek and Rashad Alghamdi</w:t>
      </w:r>
    </w:p>
    <w:p w:rsidR="003F5160" w:rsidRDefault="003F5160" w:rsidP="003F5160">
      <w:pPr>
        <w:spacing w:after="0"/>
        <w:jc w:val="center"/>
        <w:rPr>
          <w:rFonts w:ascii="Times New Roman" w:hAnsi="Times New Roman" w:cs="Times New Roman"/>
          <w:sz w:val="24"/>
          <w:szCs w:val="24"/>
        </w:rPr>
      </w:pPr>
      <w:r w:rsidRPr="00B17A95">
        <w:rPr>
          <w:rFonts w:ascii="Times New Roman" w:hAnsi="Times New Roman" w:cs="Times New Roman"/>
          <w:sz w:val="24"/>
          <w:szCs w:val="24"/>
        </w:rPr>
        <w:t>N</w:t>
      </w:r>
      <w:r>
        <w:rPr>
          <w:rFonts w:ascii="Times New Roman" w:hAnsi="Times New Roman" w:cs="Times New Roman"/>
          <w:sz w:val="24"/>
          <w:szCs w:val="24"/>
        </w:rPr>
        <w:t xml:space="preserve">orth </w:t>
      </w:r>
      <w:r w:rsidRPr="00B17A95">
        <w:rPr>
          <w:rFonts w:ascii="Times New Roman" w:hAnsi="Times New Roman" w:cs="Times New Roman"/>
          <w:sz w:val="24"/>
          <w:szCs w:val="24"/>
        </w:rPr>
        <w:t>D</w:t>
      </w:r>
      <w:r>
        <w:rPr>
          <w:rFonts w:ascii="Times New Roman" w:hAnsi="Times New Roman" w:cs="Times New Roman"/>
          <w:sz w:val="24"/>
          <w:szCs w:val="24"/>
        </w:rPr>
        <w:t xml:space="preserve">akota </w:t>
      </w:r>
      <w:r w:rsidRPr="00B17A95">
        <w:rPr>
          <w:rFonts w:ascii="Times New Roman" w:hAnsi="Times New Roman" w:cs="Times New Roman"/>
          <w:sz w:val="24"/>
          <w:szCs w:val="24"/>
        </w:rPr>
        <w:t>S</w:t>
      </w:r>
      <w:r>
        <w:rPr>
          <w:rFonts w:ascii="Times New Roman" w:hAnsi="Times New Roman" w:cs="Times New Roman"/>
          <w:sz w:val="24"/>
          <w:szCs w:val="24"/>
        </w:rPr>
        <w:t xml:space="preserve">tate </w:t>
      </w:r>
      <w:r w:rsidRPr="00B17A95">
        <w:rPr>
          <w:rFonts w:ascii="Times New Roman" w:hAnsi="Times New Roman" w:cs="Times New Roman"/>
          <w:sz w:val="24"/>
          <w:szCs w:val="24"/>
        </w:rPr>
        <w:t>U</w:t>
      </w:r>
      <w:r>
        <w:rPr>
          <w:rFonts w:ascii="Times New Roman" w:hAnsi="Times New Roman" w:cs="Times New Roman"/>
          <w:sz w:val="24"/>
          <w:szCs w:val="24"/>
        </w:rPr>
        <w:t>niversity</w:t>
      </w:r>
    </w:p>
    <w:p w:rsidR="003F5160" w:rsidRDefault="003F5160" w:rsidP="003F5160">
      <w:pPr>
        <w:spacing w:after="0"/>
        <w:jc w:val="center"/>
        <w:rPr>
          <w:rFonts w:ascii="Times New Roman" w:hAnsi="Times New Roman" w:cs="Times New Roman"/>
          <w:sz w:val="24"/>
          <w:szCs w:val="24"/>
        </w:rPr>
      </w:pPr>
      <w:r w:rsidRPr="00B17A95">
        <w:rPr>
          <w:rFonts w:ascii="Times New Roman" w:hAnsi="Times New Roman" w:cs="Times New Roman"/>
          <w:sz w:val="24"/>
          <w:szCs w:val="24"/>
        </w:rPr>
        <w:t>SNRS – Soil Science</w:t>
      </w:r>
    </w:p>
    <w:p w:rsidR="003F5160" w:rsidRDefault="003F5160" w:rsidP="003F5160">
      <w:pPr>
        <w:spacing w:after="0"/>
        <w:jc w:val="center"/>
        <w:rPr>
          <w:rFonts w:ascii="Times New Roman" w:hAnsi="Times New Roman" w:cs="Times New Roman"/>
          <w:sz w:val="24"/>
          <w:szCs w:val="24"/>
        </w:rPr>
      </w:pPr>
      <w:r>
        <w:rPr>
          <w:rFonts w:ascii="Times New Roman" w:hAnsi="Times New Roman" w:cs="Times New Roman"/>
          <w:sz w:val="24"/>
          <w:szCs w:val="24"/>
        </w:rPr>
        <w:t>Fargo, ND 58108</w:t>
      </w:r>
    </w:p>
    <w:p w:rsidR="00DC03A7" w:rsidRDefault="00DC03A7"/>
    <w:p w:rsidR="003F5160" w:rsidRPr="00C60F65" w:rsidRDefault="003F5160" w:rsidP="003F5160">
      <w:pPr>
        <w:spacing w:after="0"/>
        <w:jc w:val="center"/>
        <w:rPr>
          <w:rFonts w:ascii="Times New Roman" w:hAnsi="Times New Roman" w:cs="Times New Roman"/>
          <w:b/>
          <w:sz w:val="24"/>
          <w:szCs w:val="24"/>
        </w:rPr>
      </w:pPr>
      <w:r w:rsidRPr="00C60F65">
        <w:rPr>
          <w:rFonts w:ascii="Times New Roman" w:hAnsi="Times New Roman" w:cs="Times New Roman"/>
          <w:b/>
          <w:sz w:val="24"/>
          <w:szCs w:val="24"/>
        </w:rPr>
        <w:t>Executive Summary</w:t>
      </w:r>
    </w:p>
    <w:p w:rsidR="003F5160" w:rsidRDefault="003F5160" w:rsidP="003F5160">
      <w:pPr>
        <w:spacing w:after="0"/>
        <w:rPr>
          <w:rFonts w:ascii="Times New Roman" w:hAnsi="Times New Roman" w:cs="Times New Roman"/>
          <w:sz w:val="24"/>
          <w:szCs w:val="24"/>
        </w:rPr>
      </w:pPr>
    </w:p>
    <w:p w:rsidR="004B1072" w:rsidRDefault="003F5160" w:rsidP="003F5160">
      <w:pPr>
        <w:spacing w:after="0"/>
        <w:rPr>
          <w:rFonts w:ascii="Times New Roman" w:hAnsi="Times New Roman" w:cs="Times New Roman"/>
          <w:sz w:val="24"/>
          <w:szCs w:val="24"/>
        </w:rPr>
      </w:pPr>
      <w:r>
        <w:rPr>
          <w:rFonts w:ascii="Times New Roman" w:hAnsi="Times New Roman" w:cs="Times New Roman"/>
          <w:sz w:val="24"/>
          <w:szCs w:val="24"/>
        </w:rPr>
        <w:tab/>
        <w:t xml:space="preserve">In previous work, we reported that wide C:N ratio post-harvest crop residues in long-term no-till systems promoted N immobilization by decomposing residues. However, including narrow C:N residues from cover crops like radish appeared to mitigate the immobilization. This research has moved to a field environment to evaluate what we observed in the laboratory under controlled environmental conditions could be observed under the highly variable environment in the field. Replicated microplots with temperature and moisture monitoring were established in the field. A rotation of corn, soybean, and spring wheat residues were applied at a rate of 6 T/A with or without 15 % or 30 % of the residue being radish residue. </w:t>
      </w:r>
      <w:r w:rsidR="004B1072">
        <w:rPr>
          <w:rFonts w:ascii="Times New Roman" w:hAnsi="Times New Roman" w:cs="Times New Roman"/>
          <w:sz w:val="24"/>
          <w:szCs w:val="24"/>
        </w:rPr>
        <w:t>So far, this study has shown that crop residue texture appears to influence moisture “conservation</w:t>
      </w:r>
      <w:r w:rsidR="00C60F65">
        <w:rPr>
          <w:rFonts w:ascii="Times New Roman" w:hAnsi="Times New Roman" w:cs="Times New Roman"/>
          <w:sz w:val="24"/>
          <w:szCs w:val="24"/>
        </w:rPr>
        <w:t>” when remaining on the soil surface as under no-till conditions. Spring wheat had the highest levels of moisture content when compared to other residues. This may be due to the spring wheat residue providing a more uniform surface cover due to its finer texture and ability to “flatten” over time when compared to corn or soybean. In an accompanying laboratory study, combining radish (30 % of weight mass) appears to offset N immobilization in mixed residue systems if combined with soybean or spring wheat residue. Repeated radish applications over years appears to have a cumulative effect on reducing N immobilization and may contribute to net N mineralization over time.</w:t>
      </w:r>
    </w:p>
    <w:p w:rsidR="004B1072" w:rsidRDefault="004B1072" w:rsidP="003F5160">
      <w:pPr>
        <w:spacing w:after="0"/>
        <w:rPr>
          <w:rFonts w:ascii="Times New Roman" w:hAnsi="Times New Roman" w:cs="Times New Roman"/>
          <w:sz w:val="24"/>
          <w:szCs w:val="24"/>
        </w:rPr>
      </w:pPr>
    </w:p>
    <w:sectPr w:rsidR="004B1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60"/>
    <w:rsid w:val="003F5160"/>
    <w:rsid w:val="003F7855"/>
    <w:rsid w:val="004B1072"/>
    <w:rsid w:val="00C60F65"/>
    <w:rsid w:val="00DC0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853"/>
  <w15:chartTrackingRefBased/>
  <w15:docId w15:val="{0D842607-357D-4408-8ACD-DF799BB4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160"/>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Cihacek</dc:creator>
  <cp:keywords/>
  <dc:description/>
  <cp:lastModifiedBy>Larry Cihacek</cp:lastModifiedBy>
  <cp:revision>2</cp:revision>
  <cp:lastPrinted>2022-12-14T21:49:00Z</cp:lastPrinted>
  <dcterms:created xsi:type="dcterms:W3CDTF">2022-12-14T22:06:00Z</dcterms:created>
  <dcterms:modified xsi:type="dcterms:W3CDTF">2022-12-14T22:06:00Z</dcterms:modified>
</cp:coreProperties>
</file>