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5B6669" w14:textId="5867DEDA" w:rsidR="00D43A67" w:rsidRPr="002F0992" w:rsidRDefault="00635A81" w:rsidP="00431C65">
      <w:pPr>
        <w:pStyle w:val="Prehead"/>
      </w:pPr>
      <w:r w:rsidRPr="009435FF">
        <w:t>NUTRIENT</w:t>
      </w:r>
      <w:r w:rsidR="00807357" w:rsidRPr="009435FF">
        <w:t xml:space="preserve"> Management</w:t>
      </w:r>
      <w:r w:rsidR="00217469" w:rsidRPr="009435FF">
        <w:t xml:space="preserve">  |  </w:t>
      </w:r>
      <w:r w:rsidR="000E3B74">
        <w:t xml:space="preserve">IDC </w:t>
      </w:r>
      <w:r w:rsidR="007A352C">
        <w:t xml:space="preserve">IN </w:t>
      </w:r>
      <w:r w:rsidR="000E3B74">
        <w:t>SOYBEAN</w:t>
      </w:r>
      <w:r w:rsidR="009435FF" w:rsidRPr="002F0992">
        <w:t xml:space="preserve"> </w:t>
      </w:r>
      <w:r w:rsidR="000E3B74">
        <w:t xml:space="preserve"> </w:t>
      </w:r>
      <w:r w:rsidR="009435FF" w:rsidRPr="002F0992">
        <w:t>|  REvised 202</w:t>
      </w:r>
      <w:r w:rsidR="00003F83">
        <w:t>3</w:t>
      </w:r>
    </w:p>
    <w:p w14:paraId="4F74B5E4" w14:textId="6D1095A9" w:rsidR="00D43A67" w:rsidRPr="00B95D4F" w:rsidRDefault="000E3B74" w:rsidP="00961ABC">
      <w:pPr>
        <w:pStyle w:val="Heading1Extension"/>
      </w:pPr>
      <w:r w:rsidRPr="000E3B74">
        <w:t>Managing Iron Deficiency Chlorosis in Soybean</w:t>
      </w:r>
    </w:p>
    <w:p w14:paraId="7D279261" w14:textId="022ACA2A" w:rsidR="00AD0DFC" w:rsidRPr="000C199E" w:rsidRDefault="00AD0DFC" w:rsidP="00AD0DFC">
      <w:pPr>
        <w:pStyle w:val="IntroLinesExtension"/>
        <w:rPr>
          <w:vertAlign w:val="superscript"/>
        </w:rPr>
      </w:pPr>
      <w:r w:rsidRPr="000C199E">
        <w:t>Daniel E. Kaiser</w:t>
      </w:r>
      <w:r w:rsidRPr="000C199E">
        <w:rPr>
          <w:vertAlign w:val="superscript"/>
        </w:rPr>
        <w:t>1</w:t>
      </w:r>
      <w:r w:rsidRPr="000C199E">
        <w:t xml:space="preserve"> and </w:t>
      </w:r>
      <w:r w:rsidR="00293586">
        <w:t>Seth L. Naeve</w:t>
      </w:r>
      <w:r w:rsidRPr="000C199E">
        <w:rPr>
          <w:vertAlign w:val="superscript"/>
        </w:rPr>
        <w:t>2</w:t>
      </w:r>
    </w:p>
    <w:p w14:paraId="15463D9D" w14:textId="6E2CC7FB" w:rsidR="00B214D7" w:rsidRDefault="00B214D7" w:rsidP="00B214D7">
      <w:pPr>
        <w:pStyle w:val="IntroLinesTitleextension"/>
      </w:pPr>
      <w:r w:rsidRPr="00052461">
        <w:rPr>
          <w:vertAlign w:val="superscript"/>
        </w:rPr>
        <w:t>1</w:t>
      </w:r>
      <w:r>
        <w:t>Extension n</w:t>
      </w:r>
      <w:r w:rsidRPr="00052461">
        <w:t xml:space="preserve">utrient </w:t>
      </w:r>
      <w:r>
        <w:t>m</w:t>
      </w:r>
      <w:r w:rsidRPr="00052461">
        <w:t xml:space="preserve">anagement </w:t>
      </w:r>
      <w:r>
        <w:t>s</w:t>
      </w:r>
      <w:r w:rsidRPr="00052461">
        <w:t>pecialist</w:t>
      </w:r>
      <w:r w:rsidR="00D941D0">
        <w:t>,</w:t>
      </w:r>
      <w:r w:rsidRPr="00052461">
        <w:t xml:space="preserve"> </w:t>
      </w:r>
      <w:r>
        <w:rPr>
          <w:vertAlign w:val="superscript"/>
        </w:rPr>
        <w:t>2</w:t>
      </w:r>
      <w:r w:rsidR="00293586">
        <w:t xml:space="preserve">Extension soybean </w:t>
      </w:r>
      <w:r w:rsidR="003E6E09">
        <w:t>agronomist</w:t>
      </w:r>
    </w:p>
    <w:p w14:paraId="3A31A49F" w14:textId="505502E7" w:rsidR="00D43A67" w:rsidRPr="00324248" w:rsidRDefault="000E3B74" w:rsidP="00324248">
      <w:pPr>
        <w:pStyle w:val="Heading2Extension"/>
      </w:pPr>
      <w:r>
        <w:t>What is IDC?</w:t>
      </w:r>
    </w:p>
    <w:p w14:paraId="3E22A21B" w14:textId="2558E6B7" w:rsidR="000E3B74" w:rsidRDefault="0087066A" w:rsidP="000E3B74">
      <w:pPr>
        <w:pStyle w:val="ParagraphExtension"/>
      </w:pPr>
      <w:r>
        <w:rPr>
          <w:b/>
          <w:noProof/>
        </w:rPr>
        <mc:AlternateContent>
          <mc:Choice Requires="wps">
            <w:drawing>
              <wp:anchor distT="0" distB="0" distL="114300" distR="114300" simplePos="0" relativeHeight="251678720" behindDoc="0" locked="0" layoutInCell="1" allowOverlap="1" wp14:anchorId="3B06F2BF" wp14:editId="037E883B">
                <wp:simplePos x="0" y="0"/>
                <wp:positionH relativeFrom="column">
                  <wp:posOffset>3474720</wp:posOffset>
                </wp:positionH>
                <wp:positionV relativeFrom="paragraph">
                  <wp:posOffset>1994535</wp:posOffset>
                </wp:positionV>
                <wp:extent cx="2926080" cy="349250"/>
                <wp:effectExtent l="0" t="0" r="7620" b="6350"/>
                <wp:wrapSquare wrapText="bothSides"/>
                <wp:docPr id="1" name="Text Box 1"/>
                <wp:cNvGraphicFramePr/>
                <a:graphic xmlns:a="http://schemas.openxmlformats.org/drawingml/2006/main">
                  <a:graphicData uri="http://schemas.microsoft.com/office/word/2010/wordprocessingShape">
                    <wps:wsp>
                      <wps:cNvSpPr txBox="1"/>
                      <wps:spPr>
                        <a:xfrm>
                          <a:off x="0" y="0"/>
                          <a:ext cx="2926080" cy="349250"/>
                        </a:xfrm>
                        <a:prstGeom prst="rect">
                          <a:avLst/>
                        </a:prstGeom>
                        <a:noFill/>
                        <a:ln w="6350">
                          <a:noFill/>
                        </a:ln>
                      </wps:spPr>
                      <wps:txbx>
                        <w:txbxContent>
                          <w:p w14:paraId="77E7C5AB" w14:textId="0D6CD825" w:rsidR="0087066A" w:rsidRDefault="00685733" w:rsidP="0087066A">
                            <w:pPr>
                              <w:pStyle w:val="CaptionExtension"/>
                            </w:pPr>
                            <w:r>
                              <w:t>Figure</w:t>
                            </w:r>
                            <w:r w:rsidR="0087066A">
                              <w:t xml:space="preserve"> IDC-1. </w:t>
                            </w:r>
                            <w:r w:rsidR="003D2E8D">
                              <w:t>Soybean</w:t>
                            </w:r>
                            <w:r w:rsidR="009D030C">
                              <w:t xml:space="preserve"> plants</w:t>
                            </w:r>
                            <w:r w:rsidR="0087066A" w:rsidRPr="0087066A">
                              <w:t xml:space="preserve"> showing signs of iron deficiency chlorosis.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3B06F2BF" id="_x0000_t202" coordsize="21600,21600" o:spt="202" path="m,l,21600r21600,l21600,xe">
                <v:stroke joinstyle="miter"/>
                <v:path gradientshapeok="t" o:connecttype="rect"/>
              </v:shapetype>
              <v:shape id="Text Box 1" o:spid="_x0000_s1026" type="#_x0000_t202" style="position:absolute;margin-left:273.6pt;margin-top:157.05pt;width:230.4pt;height:2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" filled="f" stroked="f" strokeweight=".5pt">
                <v:textbox inset="0,0,0,0">
                  <w:txbxContent>
                    <w:p w14:paraId="77E7C5AB" w14:textId="0D6CD825" w:rsidR="0087066A" w:rsidRDefault="00685733" w:rsidP="0087066A">
                      <w:pPr>
                        <w:pStyle w:val="CaptionExtension"/>
                      </w:pPr>
                      <w:r>
                        <w:t>Figure</w:t>
                      </w:r>
                      <w:r w:rsidR="0087066A">
                        <w:t xml:space="preserve"> IDC-1. </w:t>
                      </w:r>
                      <w:r w:rsidR="003D2E8D">
                        <w:t>Soybean</w:t>
                      </w:r>
                      <w:r w:rsidR="009D030C">
                        <w:t xml:space="preserve"> plants</w:t>
                      </w:r>
                      <w:r w:rsidR="0087066A" w:rsidRPr="0087066A">
                        <w:t xml:space="preserve"> showing signs of iron deficiency chlorosis.</w:t>
                      </w:r>
                    </w:p>
                  </w:txbxContent>
                </v:textbox>
                <w10:wrap type="square"/>
              </v:shape>
            </w:pict>
          </mc:Fallback>
        </mc:AlternateContent>
      </w:r>
      <w:r w:rsidR="000E3B74">
        <w:rPr>
          <w:b/>
          <w:noProof/>
        </w:rPr>
        <w:drawing>
          <wp:anchor distT="0" distB="0" distL="114300" distR="114300" simplePos="0" relativeHeight="251665408" behindDoc="0" locked="0" layoutInCell="1" allowOverlap="1" wp14:anchorId="18F09701" wp14:editId="504C1110">
            <wp:simplePos x="0" y="0"/>
            <wp:positionH relativeFrom="column">
              <wp:posOffset>3477260</wp:posOffset>
            </wp:positionH>
            <wp:positionV relativeFrom="paragraph">
              <wp:posOffset>21590</wp:posOffset>
            </wp:positionV>
            <wp:extent cx="2926080" cy="1950720"/>
            <wp:effectExtent l="0" t="0" r="0" b="5080"/>
            <wp:wrapSquare wrapText="bothSides"/>
            <wp:docPr id="7" name="Picture 7" descr="A photo of soybean plants showing signs of iron deficiency chloro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hoto of soybean plants showing signs of iron deficiency chlorosis."/>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26080" cy="1950720"/>
                    </a:xfrm>
                    <a:prstGeom prst="rect">
                      <a:avLst/>
                    </a:prstGeom>
                    <a:ln>
                      <a:noFill/>
                    </a:ln>
                  </pic:spPr>
                </pic:pic>
              </a:graphicData>
            </a:graphic>
            <wp14:sizeRelH relativeFrom="page">
              <wp14:pctWidth>0</wp14:pctWidth>
            </wp14:sizeRelH>
            <wp14:sizeRelV relativeFrom="page">
              <wp14:pctHeight>0</wp14:pctHeight>
            </wp14:sizeRelV>
          </wp:anchor>
        </w:drawing>
      </w:r>
      <w:r w:rsidR="000E3B74">
        <w:t>Iron Deficiency Chlorosis in soybean</w:t>
      </w:r>
      <w:r w:rsidR="008A6B7B">
        <w:t>,</w:t>
      </w:r>
      <w:r w:rsidR="000E3B74">
        <w:t xml:space="preserve"> otherwise known as IDC or iron chlorosis</w:t>
      </w:r>
      <w:r w:rsidR="008A6B7B">
        <w:t>,</w:t>
      </w:r>
      <w:r w:rsidR="000E3B74">
        <w:t xml:space="preserve"> is a problem for soybean production in South Central, Southwest, West Central, and Northwest Minnesota. The </w:t>
      </w:r>
      <w:r w:rsidR="0019360F">
        <w:t xml:space="preserve">primary </w:t>
      </w:r>
      <w:r w:rsidR="000E3B74">
        <w:t xml:space="preserve">symptom </w:t>
      </w:r>
      <w:r w:rsidR="0019360F">
        <w:t xml:space="preserve">is </w:t>
      </w:r>
      <w:r w:rsidR="000E3B74">
        <w:t xml:space="preserve">interveinal chlorosis of the leaves with the leaf veins remaining dark green. </w:t>
      </w:r>
      <w:r w:rsidR="0019360F">
        <w:t xml:space="preserve">Iron </w:t>
      </w:r>
      <w:r w:rsidR="001C2357">
        <w:t xml:space="preserve">(Fe) </w:t>
      </w:r>
      <w:r w:rsidR="000E3B74">
        <w:t>is required by several enzymes involved in the formation of chlorophyll</w:t>
      </w:r>
      <w:r w:rsidR="0019360F">
        <w:t xml:space="preserve"> and lack of active </w:t>
      </w:r>
      <w:r w:rsidR="001C2357">
        <w:t>iron</w:t>
      </w:r>
      <w:r w:rsidR="0019360F">
        <w:t xml:space="preserve"> in leaves leads to chlorosis</w:t>
      </w:r>
      <w:r w:rsidR="000E3B74">
        <w:t xml:space="preserve">. </w:t>
      </w:r>
      <w:r w:rsidR="0019360F">
        <w:t>S</w:t>
      </w:r>
      <w:r w:rsidR="000E3B74">
        <w:t xml:space="preserve">oil </w:t>
      </w:r>
      <w:r w:rsidR="0019360F">
        <w:t>normally contains</w:t>
      </w:r>
      <w:r w:rsidR="000E3B74">
        <w:t xml:space="preserve"> large amount</w:t>
      </w:r>
      <w:r w:rsidR="0019360F">
        <w:t>s</w:t>
      </w:r>
      <w:r w:rsidR="000E3B74">
        <w:t xml:space="preserve"> of </w:t>
      </w:r>
      <w:r w:rsidR="00241EA9">
        <w:t>iron,</w:t>
      </w:r>
      <w:r w:rsidR="000E3B74">
        <w:t xml:space="preserve"> but it is not in the soluble form needed by the plant. The most soluble form in oxidized (aerated) soils is Fe(OH)</w:t>
      </w:r>
      <w:r w:rsidR="000E3B74" w:rsidRPr="007A352C">
        <w:rPr>
          <w:vertAlign w:val="subscript"/>
        </w:rPr>
        <w:t>3</w:t>
      </w:r>
      <w:r w:rsidR="000E3B74" w:rsidRPr="00CA1819">
        <w:t xml:space="preserve">, </w:t>
      </w:r>
      <w:r w:rsidR="000E3B74">
        <w:t>where Fe is in the Fe(III) form</w:t>
      </w:r>
      <w:r w:rsidR="0019360F">
        <w:t>.</w:t>
      </w:r>
      <w:r w:rsidR="000E3B74">
        <w:t xml:space="preserve"> This iron becomes less soluble at higher soil pH</w:t>
      </w:r>
      <w:r w:rsidR="00241EA9">
        <w:t xml:space="preserve">, </w:t>
      </w:r>
      <w:r w:rsidR="000E3B74">
        <w:t xml:space="preserve">especially when the soil has large amounts of calcium carbonate. </w:t>
      </w:r>
    </w:p>
    <w:p w14:paraId="2CB8A1F8" w14:textId="6473FC6B" w:rsidR="000E3B74" w:rsidRDefault="000E3B74" w:rsidP="000E3B74">
      <w:pPr>
        <w:pStyle w:val="ParagraphExtension"/>
      </w:pPr>
      <w:r>
        <w:t>Plants prefer to take up the reduced form of iron (Fe II)</w:t>
      </w:r>
      <w:r w:rsidR="00AA2CDA">
        <w:t xml:space="preserve"> and have</w:t>
      </w:r>
      <w:r>
        <w:t xml:space="preserve"> adapted mechanisms to help extract iron from the soil. Type I plants, such as soybean, azaleas and blueberries excrete acids and chemical reductants from their roots. The acids make the Fe(OH)</w:t>
      </w:r>
      <w:r w:rsidRPr="007A352C">
        <w:rPr>
          <w:vertAlign w:val="subscript"/>
        </w:rPr>
        <w:t>3</w:t>
      </w:r>
      <w:r>
        <w:t xml:space="preserve"> more soluble and the reductants change insoluble Fe(III) to more soluble Fe(II). Type II plants such as corn and grasses excrete iron chelators that bind Fe(III) </w:t>
      </w:r>
      <w:r w:rsidR="00AA2CDA">
        <w:t xml:space="preserve"> allowing the iron to be absorbed</w:t>
      </w:r>
      <w:r>
        <w:t xml:space="preserve"> through the root. Plants do vary in their ability to </w:t>
      </w:r>
      <w:r w:rsidR="00241EA9">
        <w:t>extract</w:t>
      </w:r>
      <w:r w:rsidR="00AA2CDA">
        <w:t xml:space="preserve"> </w:t>
      </w:r>
      <w:r>
        <w:t xml:space="preserve">Fe </w:t>
      </w:r>
      <w:r w:rsidR="00AA2CDA">
        <w:t>from</w:t>
      </w:r>
      <w:r>
        <w:t xml:space="preserve"> the soil. Azaleas and blueberries only survive in acid</w:t>
      </w:r>
      <w:r w:rsidR="008A6B7B">
        <w:t>ic</w:t>
      </w:r>
      <w:r w:rsidR="008A6B7B">
        <w:tab/>
      </w:r>
      <w:r>
        <w:t xml:space="preserve"> soils where Fe(OH)</w:t>
      </w:r>
      <w:r w:rsidRPr="007A352C">
        <w:rPr>
          <w:vertAlign w:val="subscript"/>
        </w:rPr>
        <w:t>3</w:t>
      </w:r>
      <w:r>
        <w:t xml:space="preserve"> is more soluble. Because of this, Azaleas and blueberries are chlorotic in soils with a pH greater than 5.5 while soybeans can adequately grow when pH is less than 7.5.</w:t>
      </w:r>
    </w:p>
    <w:p w14:paraId="186E5C0B" w14:textId="77777777" w:rsidR="00070B2F" w:rsidRDefault="000E3B74" w:rsidP="00070B2F">
      <w:pPr>
        <w:pStyle w:val="Heading3Extension"/>
      </w:pPr>
      <w:r>
        <w:t>Type I plants and high lime (calcium carbonate) IDC</w:t>
      </w:r>
    </w:p>
    <w:p w14:paraId="422A6223" w14:textId="0D264EB2" w:rsidR="000E3B74" w:rsidRDefault="000E3B74" w:rsidP="000E3B74">
      <w:pPr>
        <w:pStyle w:val="ParagraphExtension"/>
      </w:pPr>
      <w:r>
        <w:t>High lime IDC is quite common for soybean, peanut, grapes, citrus and peaches. The use of a soil test for iron will generally not indicate these problems. High lime IDC is more severe in soils with finely divided lime (calcium carbonate). The fine calcium carbonate particles contact the soybean root</w:t>
      </w:r>
      <w:r w:rsidR="00B91C0D">
        <w:t>,</w:t>
      </w:r>
      <w:r w:rsidR="00241EA9">
        <w:t xml:space="preserve"> </w:t>
      </w:r>
      <w:r>
        <w:t xml:space="preserve">slowly neutralize the excreted acid that is meant to solubilize iron in the </w:t>
      </w:r>
      <w:r w:rsidR="00241EA9">
        <w:t>soil and</w:t>
      </w:r>
      <w:r w:rsidR="00B91C0D">
        <w:t xml:space="preserve"> inhibit the plant from </w:t>
      </w:r>
      <w:r>
        <w:t>tak</w:t>
      </w:r>
      <w:r w:rsidR="00B91C0D">
        <w:t>ing</w:t>
      </w:r>
      <w:r>
        <w:t xml:space="preserve"> up iron that is in the soil. </w:t>
      </w:r>
    </w:p>
    <w:p w14:paraId="09ECC1D3" w14:textId="77777777" w:rsidR="00070B2F" w:rsidRDefault="000E3B74" w:rsidP="00070B2F">
      <w:pPr>
        <w:pStyle w:val="Heading3Extension"/>
      </w:pPr>
      <w:r>
        <w:t>Wet soils also aggravate IDC</w:t>
      </w:r>
    </w:p>
    <w:p w14:paraId="6F03B7A5" w14:textId="7EA4BB88" w:rsidR="000E3B74" w:rsidRDefault="000E3B74" w:rsidP="000E3B74">
      <w:pPr>
        <w:pStyle w:val="ParagraphExtension"/>
      </w:pPr>
      <w:r>
        <w:t xml:space="preserve">When soils are wet, there is limited air exchange with the atmosphere </w:t>
      </w:r>
      <w:r w:rsidR="00B91C0D">
        <w:t xml:space="preserve">causing </w:t>
      </w:r>
      <w:r>
        <w:t>a buildup of carbon dioxide in the soil</w:t>
      </w:r>
      <w:r w:rsidR="00B91C0D">
        <w:t xml:space="preserve"> that</w:t>
      </w:r>
      <w:r>
        <w:t xml:space="preserve"> is produced by roots and soil microbes through respiration. The amount of bicarbonate in the soil is proportional to the amount of carbon dioxide</w:t>
      </w:r>
      <w:r w:rsidR="008A6B7B">
        <w:t>,</w:t>
      </w:r>
      <w:r>
        <w:t xml:space="preserve"> and as carbon dioxide </w:t>
      </w:r>
      <w:r>
        <w:lastRenderedPageBreak/>
        <w:t xml:space="preserve">increases so does bicarbonate. This increase will rapidly neutralize the acidity around the soybean root. Research in the greenhouse has shown that </w:t>
      </w:r>
      <w:r w:rsidR="00241EA9">
        <w:t>the severity of IDC increases for soybean growing on waterlogged soils, and especially when soils are cold</w:t>
      </w:r>
      <w:r>
        <w:t>. The amount of bicarbonate in the soil has been correlated with IDC in soybean in the field, so the more bicarbonate in the soil the more IDC will occur. In wet soil conditions, it may be useful to consider cultivation to speed the release of carbon dioxide from the soil.</w:t>
      </w:r>
    </w:p>
    <w:p w14:paraId="13289359" w14:textId="2F29B7C6" w:rsidR="00070B2F" w:rsidRDefault="000E3B74" w:rsidP="00070B2F">
      <w:pPr>
        <w:pStyle w:val="Heading3Extension"/>
      </w:pPr>
      <w:r>
        <w:t>Addition of fresh organic matter</w:t>
      </w:r>
    </w:p>
    <w:p w14:paraId="7CA93A76" w14:textId="168E5E4B" w:rsidR="000E3B74" w:rsidRDefault="000E3B74" w:rsidP="000E3B74">
      <w:pPr>
        <w:pStyle w:val="ParagraphExtension"/>
      </w:pPr>
      <w:r>
        <w:t>Decaying organic matter, whether it is from crop residues or manures, adds to the amount of carbon dioxide in the soil</w:t>
      </w:r>
      <w:r w:rsidR="00B91C0D">
        <w:t xml:space="preserve"> as microbes</w:t>
      </w:r>
      <w:r>
        <w:t xml:space="preserve"> release carbon dioxide. If </w:t>
      </w:r>
      <w:r w:rsidR="00241EA9">
        <w:t>soil is</w:t>
      </w:r>
      <w:r>
        <w:t xml:space="preserve"> wet, diffusion of the carbon dioxide out of the soil will be limited</w:t>
      </w:r>
      <w:r w:rsidR="00B91C0D">
        <w:t>,</w:t>
      </w:r>
      <w:r>
        <w:t xml:space="preserve"> </w:t>
      </w:r>
      <w:r w:rsidR="00B91C0D">
        <w:t xml:space="preserve">increasing </w:t>
      </w:r>
      <w:r>
        <w:t xml:space="preserve">the risk for buildup of bicarbonate in the soil and therefore </w:t>
      </w:r>
      <w:r w:rsidR="00B91C0D">
        <w:t xml:space="preserve">increasing </w:t>
      </w:r>
      <w:r>
        <w:t>the severity of IDC.</w:t>
      </w:r>
    </w:p>
    <w:p w14:paraId="58F3892E" w14:textId="293E34E2" w:rsidR="00070B2F" w:rsidRDefault="000E3B74" w:rsidP="00070B2F">
      <w:pPr>
        <w:pStyle w:val="Heading3Extension"/>
      </w:pPr>
      <w:r>
        <w:t>Nitrate in the soil</w:t>
      </w:r>
    </w:p>
    <w:p w14:paraId="1A5995D9" w14:textId="77777777" w:rsidR="00241EA9" w:rsidRDefault="00241EA9" w:rsidP="00241EA9">
      <w:pPr>
        <w:pStyle w:val="TableTitleExtension"/>
      </w:pPr>
      <w:r>
        <w:t>Table IDC-1. The effect of soil nitrate-N on IDC and soybean grain yield.</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72" w:type="dxa"/>
          <w:left w:w="72" w:type="dxa"/>
          <w:bottom w:w="72" w:type="dxa"/>
          <w:right w:w="72" w:type="dxa"/>
        </w:tblCellMar>
        <w:tblLook w:val="04A0" w:firstRow="1" w:lastRow="0" w:firstColumn="1" w:lastColumn="0" w:noHBand="0" w:noVBand="1"/>
      </w:tblPr>
      <w:tblGrid>
        <w:gridCol w:w="1008"/>
        <w:gridCol w:w="1440"/>
        <w:gridCol w:w="1440"/>
        <w:gridCol w:w="1440"/>
        <w:gridCol w:w="1440"/>
        <w:gridCol w:w="1440"/>
      </w:tblGrid>
      <w:tr w:rsidR="00241EA9" w14:paraId="639D6271" w14:textId="77777777" w:rsidTr="00B546A3">
        <w:tc>
          <w:tcPr>
            <w:tcW w:w="1008" w:type="dxa"/>
            <w:shd w:val="clear" w:color="auto" w:fill="7A0019" w:themeFill="accent1"/>
            <w:vAlign w:val="center"/>
          </w:tcPr>
          <w:p w14:paraId="79D661D9" w14:textId="77777777" w:rsidR="00241EA9" w:rsidRPr="0028322A" w:rsidRDefault="00241EA9" w:rsidP="00B546A3">
            <w:pPr>
              <w:pStyle w:val="Tablecolumnheader"/>
              <w:jc w:val="left"/>
            </w:pPr>
            <w:r>
              <w:t>N rate (lb/acre)</w:t>
            </w:r>
          </w:p>
        </w:tc>
        <w:tc>
          <w:tcPr>
            <w:tcW w:w="1440" w:type="dxa"/>
            <w:shd w:val="clear" w:color="auto" w:fill="7A0019" w:themeFill="accent1"/>
            <w:vAlign w:val="center"/>
          </w:tcPr>
          <w:p w14:paraId="3074AEA1" w14:textId="77777777" w:rsidR="00241EA9" w:rsidRPr="0028322A" w:rsidRDefault="00241EA9" w:rsidP="00B546A3">
            <w:pPr>
              <w:pStyle w:val="Tablecolumnheader"/>
            </w:pPr>
            <w:r>
              <w:t>Oat companion crop</w:t>
            </w:r>
          </w:p>
        </w:tc>
        <w:tc>
          <w:tcPr>
            <w:tcW w:w="1440" w:type="dxa"/>
            <w:shd w:val="clear" w:color="auto" w:fill="7A0019" w:themeFill="accent1"/>
            <w:vAlign w:val="center"/>
          </w:tcPr>
          <w:p w14:paraId="075C2671" w14:textId="77777777" w:rsidR="00241EA9" w:rsidRPr="0028322A" w:rsidRDefault="00241EA9" w:rsidP="00B546A3">
            <w:pPr>
              <w:pStyle w:val="Tablecolumnheader"/>
            </w:pPr>
            <w:r>
              <w:t>C06 grain yield (bu/acre)</w:t>
            </w:r>
          </w:p>
        </w:tc>
        <w:tc>
          <w:tcPr>
            <w:tcW w:w="1440" w:type="dxa"/>
            <w:shd w:val="clear" w:color="auto" w:fill="7A0019" w:themeFill="accent1"/>
            <w:vAlign w:val="center"/>
          </w:tcPr>
          <w:p w14:paraId="753B6941" w14:textId="77777777" w:rsidR="00241EA9" w:rsidRPr="0028322A" w:rsidRDefault="00241EA9" w:rsidP="00B546A3">
            <w:pPr>
              <w:pStyle w:val="Tablecolumnheader"/>
            </w:pPr>
            <w:r>
              <w:t>YM06 grain yield (bu/acre)</w:t>
            </w:r>
          </w:p>
        </w:tc>
        <w:tc>
          <w:tcPr>
            <w:tcW w:w="1440" w:type="dxa"/>
            <w:shd w:val="clear" w:color="auto" w:fill="7A0019" w:themeFill="accent1"/>
            <w:vAlign w:val="center"/>
          </w:tcPr>
          <w:p w14:paraId="0341E943" w14:textId="77777777" w:rsidR="00241EA9" w:rsidRPr="0028322A" w:rsidRDefault="00241EA9" w:rsidP="00B546A3">
            <w:pPr>
              <w:pStyle w:val="Tablecolumnheader"/>
            </w:pPr>
            <w:r>
              <w:t>K07 grain yield (bu/acre)</w:t>
            </w:r>
          </w:p>
        </w:tc>
        <w:tc>
          <w:tcPr>
            <w:tcW w:w="1440" w:type="dxa"/>
            <w:shd w:val="clear" w:color="auto" w:fill="7A0019" w:themeFill="accent1"/>
            <w:vAlign w:val="center"/>
          </w:tcPr>
          <w:p w14:paraId="129E728E" w14:textId="77777777" w:rsidR="00241EA9" w:rsidRPr="0028322A" w:rsidRDefault="00241EA9" w:rsidP="00B546A3">
            <w:pPr>
              <w:pStyle w:val="Tablecolumnheader"/>
            </w:pPr>
            <w:r>
              <w:t>YM07 grain yield (bu/acre)</w:t>
            </w:r>
          </w:p>
        </w:tc>
      </w:tr>
      <w:tr w:rsidR="00241EA9" w:rsidRPr="00635A81" w14:paraId="06CCF2A6" w14:textId="77777777" w:rsidTr="00B546A3">
        <w:tc>
          <w:tcPr>
            <w:tcW w:w="1008" w:type="dxa"/>
            <w:vAlign w:val="center"/>
          </w:tcPr>
          <w:p w14:paraId="27D66404" w14:textId="77777777" w:rsidR="00241EA9" w:rsidRPr="00635A81" w:rsidRDefault="00241EA9" w:rsidP="00B546A3">
            <w:pPr>
              <w:pStyle w:val="tablerowtext"/>
              <w:jc w:val="left"/>
              <w:rPr>
                <w:color w:val="7A0019" w:themeColor="accent1"/>
              </w:rPr>
            </w:pPr>
            <w:r>
              <w:rPr>
                <w:color w:val="7A0019" w:themeColor="accent1"/>
              </w:rPr>
              <w:t>0</w:t>
            </w:r>
          </w:p>
        </w:tc>
        <w:tc>
          <w:tcPr>
            <w:tcW w:w="1440" w:type="dxa"/>
            <w:vAlign w:val="center"/>
          </w:tcPr>
          <w:p w14:paraId="66C7B48F" w14:textId="77777777" w:rsidR="00241EA9" w:rsidRPr="00635A81" w:rsidRDefault="00241EA9" w:rsidP="00B546A3">
            <w:pPr>
              <w:pStyle w:val="tablerowtext"/>
              <w:rPr>
                <w:color w:val="7A0019" w:themeColor="accent1"/>
              </w:rPr>
            </w:pPr>
            <w:r>
              <w:rPr>
                <w:color w:val="7A0019" w:themeColor="accent1"/>
              </w:rPr>
              <w:t>No</w:t>
            </w:r>
          </w:p>
        </w:tc>
        <w:tc>
          <w:tcPr>
            <w:tcW w:w="1440" w:type="dxa"/>
          </w:tcPr>
          <w:p w14:paraId="1666BA41" w14:textId="77777777" w:rsidR="00241EA9" w:rsidRPr="00635A81" w:rsidRDefault="00241EA9" w:rsidP="00B546A3">
            <w:pPr>
              <w:pStyle w:val="tablerowtext"/>
              <w:rPr>
                <w:color w:val="7A0019" w:themeColor="accent1"/>
              </w:rPr>
            </w:pPr>
            <w:r w:rsidRPr="004F35DB">
              <w:t>42.1</w:t>
            </w:r>
          </w:p>
        </w:tc>
        <w:tc>
          <w:tcPr>
            <w:tcW w:w="1440" w:type="dxa"/>
          </w:tcPr>
          <w:p w14:paraId="7E03FD17" w14:textId="77777777" w:rsidR="00241EA9" w:rsidRPr="00635A81" w:rsidRDefault="00241EA9" w:rsidP="00B546A3">
            <w:pPr>
              <w:pStyle w:val="tablerowtext"/>
              <w:rPr>
                <w:color w:val="7A0019" w:themeColor="accent1"/>
              </w:rPr>
            </w:pPr>
            <w:r w:rsidRPr="004F35DB">
              <w:t>52.0</w:t>
            </w:r>
          </w:p>
        </w:tc>
        <w:tc>
          <w:tcPr>
            <w:tcW w:w="1440" w:type="dxa"/>
          </w:tcPr>
          <w:p w14:paraId="7A11655F" w14:textId="77777777" w:rsidR="00241EA9" w:rsidRPr="00635A81" w:rsidRDefault="00241EA9" w:rsidP="00B546A3">
            <w:pPr>
              <w:pStyle w:val="tablerowtext"/>
              <w:rPr>
                <w:color w:val="7A0019" w:themeColor="accent1"/>
              </w:rPr>
            </w:pPr>
            <w:r w:rsidRPr="004F35DB">
              <w:t>3.6</w:t>
            </w:r>
          </w:p>
        </w:tc>
        <w:tc>
          <w:tcPr>
            <w:tcW w:w="1440" w:type="dxa"/>
          </w:tcPr>
          <w:p w14:paraId="086ADDD5" w14:textId="77777777" w:rsidR="00241EA9" w:rsidRPr="00635A81" w:rsidRDefault="00241EA9" w:rsidP="00B546A3">
            <w:pPr>
              <w:pStyle w:val="tablerowtext"/>
              <w:rPr>
                <w:color w:val="7A0019" w:themeColor="accent1"/>
              </w:rPr>
            </w:pPr>
            <w:r w:rsidRPr="004F35DB">
              <w:t>51.7</w:t>
            </w:r>
          </w:p>
        </w:tc>
      </w:tr>
      <w:tr w:rsidR="00241EA9" w:rsidRPr="00635A81" w14:paraId="643DE3D1" w14:textId="77777777" w:rsidTr="00B546A3">
        <w:tc>
          <w:tcPr>
            <w:tcW w:w="1008" w:type="dxa"/>
            <w:vAlign w:val="center"/>
          </w:tcPr>
          <w:p w14:paraId="7F857B9B" w14:textId="77777777" w:rsidR="00241EA9" w:rsidRPr="00635A81" w:rsidRDefault="00241EA9" w:rsidP="00B546A3">
            <w:pPr>
              <w:pStyle w:val="tablerowtext"/>
              <w:jc w:val="left"/>
              <w:rPr>
                <w:color w:val="7A0019" w:themeColor="accent1"/>
              </w:rPr>
            </w:pPr>
            <w:r>
              <w:rPr>
                <w:color w:val="7A0019" w:themeColor="accent1"/>
              </w:rPr>
              <w:t>100</w:t>
            </w:r>
          </w:p>
        </w:tc>
        <w:tc>
          <w:tcPr>
            <w:tcW w:w="1440" w:type="dxa"/>
            <w:vAlign w:val="center"/>
          </w:tcPr>
          <w:p w14:paraId="3EE3D714" w14:textId="77777777" w:rsidR="00241EA9" w:rsidRPr="00635A81" w:rsidRDefault="00241EA9" w:rsidP="00B546A3">
            <w:pPr>
              <w:pStyle w:val="tablerowtext"/>
              <w:rPr>
                <w:color w:val="7A0019" w:themeColor="accent1"/>
              </w:rPr>
            </w:pPr>
            <w:r>
              <w:rPr>
                <w:color w:val="7A0019" w:themeColor="accent1"/>
              </w:rPr>
              <w:t>No</w:t>
            </w:r>
          </w:p>
        </w:tc>
        <w:tc>
          <w:tcPr>
            <w:tcW w:w="1440" w:type="dxa"/>
          </w:tcPr>
          <w:p w14:paraId="45BEF827" w14:textId="77777777" w:rsidR="00241EA9" w:rsidRPr="00635A81" w:rsidRDefault="00241EA9" w:rsidP="00B546A3">
            <w:pPr>
              <w:pStyle w:val="tablerowtext"/>
              <w:rPr>
                <w:color w:val="7A0019" w:themeColor="accent1"/>
              </w:rPr>
            </w:pPr>
            <w:r w:rsidRPr="004F35DB">
              <w:t>28.5</w:t>
            </w:r>
          </w:p>
        </w:tc>
        <w:tc>
          <w:tcPr>
            <w:tcW w:w="1440" w:type="dxa"/>
          </w:tcPr>
          <w:p w14:paraId="4A42BA7F" w14:textId="77777777" w:rsidR="00241EA9" w:rsidRPr="00635A81" w:rsidRDefault="00241EA9" w:rsidP="00B546A3">
            <w:pPr>
              <w:pStyle w:val="tablerowtext"/>
              <w:rPr>
                <w:color w:val="7A0019" w:themeColor="accent1"/>
              </w:rPr>
            </w:pPr>
            <w:r w:rsidRPr="004F35DB">
              <w:t>32.2</w:t>
            </w:r>
          </w:p>
        </w:tc>
        <w:tc>
          <w:tcPr>
            <w:tcW w:w="1440" w:type="dxa"/>
          </w:tcPr>
          <w:p w14:paraId="7CF97B2A" w14:textId="77777777" w:rsidR="00241EA9" w:rsidRPr="00635A81" w:rsidRDefault="00241EA9" w:rsidP="00B546A3">
            <w:pPr>
              <w:pStyle w:val="tablerowtext"/>
              <w:rPr>
                <w:color w:val="7A0019" w:themeColor="accent1"/>
              </w:rPr>
            </w:pPr>
            <w:r w:rsidRPr="004F35DB">
              <w:t>0.3</w:t>
            </w:r>
          </w:p>
        </w:tc>
        <w:tc>
          <w:tcPr>
            <w:tcW w:w="1440" w:type="dxa"/>
          </w:tcPr>
          <w:p w14:paraId="09F70315" w14:textId="77777777" w:rsidR="00241EA9" w:rsidRPr="00635A81" w:rsidRDefault="00241EA9" w:rsidP="00B546A3">
            <w:pPr>
              <w:pStyle w:val="tablerowtext"/>
              <w:rPr>
                <w:color w:val="7A0019" w:themeColor="accent1"/>
              </w:rPr>
            </w:pPr>
            <w:r w:rsidRPr="004F35DB">
              <w:t>46.5</w:t>
            </w:r>
          </w:p>
        </w:tc>
      </w:tr>
      <w:tr w:rsidR="00241EA9" w:rsidRPr="00635A81" w14:paraId="7A926D3A" w14:textId="77777777" w:rsidTr="00B546A3">
        <w:tc>
          <w:tcPr>
            <w:tcW w:w="1008" w:type="dxa"/>
            <w:vAlign w:val="center"/>
          </w:tcPr>
          <w:p w14:paraId="3559A2B1" w14:textId="77777777" w:rsidR="00241EA9" w:rsidRPr="00635A81" w:rsidRDefault="00241EA9" w:rsidP="00B546A3">
            <w:pPr>
              <w:pStyle w:val="tablerowtext"/>
              <w:jc w:val="left"/>
              <w:rPr>
                <w:color w:val="7A0019" w:themeColor="accent1"/>
              </w:rPr>
            </w:pPr>
            <w:r>
              <w:rPr>
                <w:color w:val="7A0019" w:themeColor="accent1"/>
              </w:rPr>
              <w:t>200</w:t>
            </w:r>
          </w:p>
        </w:tc>
        <w:tc>
          <w:tcPr>
            <w:tcW w:w="1440" w:type="dxa"/>
            <w:vAlign w:val="center"/>
          </w:tcPr>
          <w:p w14:paraId="4AC32B01" w14:textId="77777777" w:rsidR="00241EA9" w:rsidRPr="00635A81" w:rsidRDefault="00241EA9" w:rsidP="00B546A3">
            <w:pPr>
              <w:pStyle w:val="tablerowtext"/>
              <w:rPr>
                <w:color w:val="7A0019" w:themeColor="accent1"/>
              </w:rPr>
            </w:pPr>
            <w:r>
              <w:rPr>
                <w:color w:val="7A0019" w:themeColor="accent1"/>
              </w:rPr>
              <w:t>No</w:t>
            </w:r>
          </w:p>
        </w:tc>
        <w:tc>
          <w:tcPr>
            <w:tcW w:w="1440" w:type="dxa"/>
          </w:tcPr>
          <w:p w14:paraId="3C55A2E0" w14:textId="77777777" w:rsidR="00241EA9" w:rsidRPr="00635A81" w:rsidRDefault="00241EA9" w:rsidP="00B546A3">
            <w:pPr>
              <w:pStyle w:val="tablerowtext"/>
              <w:rPr>
                <w:color w:val="7A0019" w:themeColor="accent1"/>
              </w:rPr>
            </w:pPr>
            <w:r w:rsidRPr="004F35DB">
              <w:t>25.3</w:t>
            </w:r>
          </w:p>
        </w:tc>
        <w:tc>
          <w:tcPr>
            <w:tcW w:w="1440" w:type="dxa"/>
          </w:tcPr>
          <w:p w14:paraId="3C56393A" w14:textId="77777777" w:rsidR="00241EA9" w:rsidRPr="00635A81" w:rsidRDefault="00241EA9" w:rsidP="00B546A3">
            <w:pPr>
              <w:pStyle w:val="tablerowtext"/>
              <w:rPr>
                <w:color w:val="7A0019" w:themeColor="accent1"/>
              </w:rPr>
            </w:pPr>
            <w:r w:rsidRPr="004F35DB">
              <w:t>19.1</w:t>
            </w:r>
          </w:p>
        </w:tc>
        <w:tc>
          <w:tcPr>
            <w:tcW w:w="1440" w:type="dxa"/>
          </w:tcPr>
          <w:p w14:paraId="52DE3558" w14:textId="77777777" w:rsidR="00241EA9" w:rsidRPr="00635A81" w:rsidRDefault="00241EA9" w:rsidP="00B546A3">
            <w:pPr>
              <w:pStyle w:val="tablerowtext"/>
              <w:rPr>
                <w:color w:val="7A0019" w:themeColor="accent1"/>
              </w:rPr>
            </w:pPr>
            <w:r w:rsidRPr="004F35DB">
              <w:t>0.1</w:t>
            </w:r>
          </w:p>
        </w:tc>
        <w:tc>
          <w:tcPr>
            <w:tcW w:w="1440" w:type="dxa"/>
          </w:tcPr>
          <w:p w14:paraId="31B1518D" w14:textId="77777777" w:rsidR="00241EA9" w:rsidRPr="00635A81" w:rsidRDefault="00241EA9" w:rsidP="00B546A3">
            <w:pPr>
              <w:pStyle w:val="tablerowtext"/>
              <w:rPr>
                <w:color w:val="7A0019" w:themeColor="accent1"/>
              </w:rPr>
            </w:pPr>
            <w:r w:rsidRPr="004F35DB">
              <w:t>40.2</w:t>
            </w:r>
          </w:p>
        </w:tc>
      </w:tr>
      <w:tr w:rsidR="00241EA9" w:rsidRPr="00635A81" w14:paraId="31AF8552" w14:textId="77777777" w:rsidTr="00B546A3">
        <w:tc>
          <w:tcPr>
            <w:tcW w:w="1008" w:type="dxa"/>
            <w:vAlign w:val="center"/>
          </w:tcPr>
          <w:p w14:paraId="5E75568F" w14:textId="77777777" w:rsidR="00241EA9" w:rsidRPr="00635A81" w:rsidRDefault="00241EA9" w:rsidP="00B546A3">
            <w:pPr>
              <w:pStyle w:val="tablerowtext"/>
              <w:jc w:val="left"/>
              <w:rPr>
                <w:color w:val="7A0019" w:themeColor="accent1"/>
              </w:rPr>
            </w:pPr>
            <w:r>
              <w:rPr>
                <w:color w:val="7A0019" w:themeColor="accent1"/>
              </w:rPr>
              <w:t>0</w:t>
            </w:r>
          </w:p>
        </w:tc>
        <w:tc>
          <w:tcPr>
            <w:tcW w:w="1440" w:type="dxa"/>
            <w:vAlign w:val="center"/>
          </w:tcPr>
          <w:p w14:paraId="56869BF7" w14:textId="77777777" w:rsidR="00241EA9" w:rsidRPr="00635A81" w:rsidRDefault="00241EA9" w:rsidP="00B546A3">
            <w:pPr>
              <w:pStyle w:val="tablerowtext"/>
              <w:rPr>
                <w:color w:val="7A0019" w:themeColor="accent1"/>
              </w:rPr>
            </w:pPr>
            <w:r>
              <w:rPr>
                <w:color w:val="7A0019" w:themeColor="accent1"/>
              </w:rPr>
              <w:t>Yes</w:t>
            </w:r>
          </w:p>
        </w:tc>
        <w:tc>
          <w:tcPr>
            <w:tcW w:w="1440" w:type="dxa"/>
          </w:tcPr>
          <w:p w14:paraId="051A41C7" w14:textId="77777777" w:rsidR="00241EA9" w:rsidRPr="00635A81" w:rsidRDefault="00241EA9" w:rsidP="00B546A3">
            <w:pPr>
              <w:pStyle w:val="tablerowtext"/>
              <w:rPr>
                <w:color w:val="7A0019" w:themeColor="accent1"/>
              </w:rPr>
            </w:pPr>
            <w:r w:rsidRPr="004F35DB">
              <w:t>42.5</w:t>
            </w:r>
          </w:p>
        </w:tc>
        <w:tc>
          <w:tcPr>
            <w:tcW w:w="1440" w:type="dxa"/>
          </w:tcPr>
          <w:p w14:paraId="5B5A2A1C" w14:textId="77777777" w:rsidR="00241EA9" w:rsidRPr="00635A81" w:rsidRDefault="00241EA9" w:rsidP="00B546A3">
            <w:pPr>
              <w:pStyle w:val="tablerowtext"/>
              <w:rPr>
                <w:color w:val="7A0019" w:themeColor="accent1"/>
              </w:rPr>
            </w:pPr>
            <w:r w:rsidRPr="004F35DB">
              <w:t>52.4</w:t>
            </w:r>
          </w:p>
        </w:tc>
        <w:tc>
          <w:tcPr>
            <w:tcW w:w="1440" w:type="dxa"/>
          </w:tcPr>
          <w:p w14:paraId="2D0E6491" w14:textId="77777777" w:rsidR="00241EA9" w:rsidRPr="00635A81" w:rsidRDefault="00241EA9" w:rsidP="00B546A3">
            <w:pPr>
              <w:pStyle w:val="tablerowtext"/>
              <w:rPr>
                <w:color w:val="7A0019" w:themeColor="accent1"/>
              </w:rPr>
            </w:pPr>
            <w:r w:rsidRPr="004F35DB">
              <w:t>52.4</w:t>
            </w:r>
          </w:p>
        </w:tc>
        <w:tc>
          <w:tcPr>
            <w:tcW w:w="1440" w:type="dxa"/>
          </w:tcPr>
          <w:p w14:paraId="1C34D3D6" w14:textId="77777777" w:rsidR="00241EA9" w:rsidRPr="00635A81" w:rsidRDefault="00241EA9" w:rsidP="00B546A3">
            <w:pPr>
              <w:pStyle w:val="tablerowtext"/>
              <w:rPr>
                <w:color w:val="7A0019" w:themeColor="accent1"/>
              </w:rPr>
            </w:pPr>
            <w:r w:rsidRPr="004F35DB">
              <w:t>50.7</w:t>
            </w:r>
          </w:p>
        </w:tc>
      </w:tr>
      <w:tr w:rsidR="00241EA9" w:rsidRPr="00635A81" w14:paraId="4ECF5955" w14:textId="77777777" w:rsidTr="00B546A3">
        <w:tc>
          <w:tcPr>
            <w:tcW w:w="1008" w:type="dxa"/>
            <w:vAlign w:val="center"/>
          </w:tcPr>
          <w:p w14:paraId="359A66B1" w14:textId="77777777" w:rsidR="00241EA9" w:rsidRPr="00635A81" w:rsidRDefault="00241EA9" w:rsidP="00B546A3">
            <w:pPr>
              <w:pStyle w:val="tablerowtext"/>
              <w:jc w:val="left"/>
              <w:rPr>
                <w:color w:val="7A0019" w:themeColor="accent1"/>
              </w:rPr>
            </w:pPr>
            <w:r>
              <w:rPr>
                <w:color w:val="7A0019" w:themeColor="accent1"/>
              </w:rPr>
              <w:t>100</w:t>
            </w:r>
          </w:p>
        </w:tc>
        <w:tc>
          <w:tcPr>
            <w:tcW w:w="1440" w:type="dxa"/>
            <w:vAlign w:val="center"/>
          </w:tcPr>
          <w:p w14:paraId="7F626E36" w14:textId="77777777" w:rsidR="00241EA9" w:rsidRPr="00635A81" w:rsidRDefault="00241EA9" w:rsidP="00B546A3">
            <w:pPr>
              <w:pStyle w:val="tablerowtext"/>
              <w:rPr>
                <w:color w:val="7A0019" w:themeColor="accent1"/>
              </w:rPr>
            </w:pPr>
            <w:r>
              <w:rPr>
                <w:color w:val="7A0019" w:themeColor="accent1"/>
              </w:rPr>
              <w:t>Yes</w:t>
            </w:r>
          </w:p>
        </w:tc>
        <w:tc>
          <w:tcPr>
            <w:tcW w:w="1440" w:type="dxa"/>
          </w:tcPr>
          <w:p w14:paraId="7E2B0C9E" w14:textId="77777777" w:rsidR="00241EA9" w:rsidRPr="00635A81" w:rsidRDefault="00241EA9" w:rsidP="00B546A3">
            <w:pPr>
              <w:pStyle w:val="tablerowtext"/>
              <w:rPr>
                <w:color w:val="7A0019" w:themeColor="accent1"/>
              </w:rPr>
            </w:pPr>
            <w:r w:rsidRPr="004F35DB">
              <w:t>20.5</w:t>
            </w:r>
          </w:p>
        </w:tc>
        <w:tc>
          <w:tcPr>
            <w:tcW w:w="1440" w:type="dxa"/>
          </w:tcPr>
          <w:p w14:paraId="5490051B" w14:textId="77777777" w:rsidR="00241EA9" w:rsidRPr="00635A81" w:rsidRDefault="00241EA9" w:rsidP="00B546A3">
            <w:pPr>
              <w:pStyle w:val="tablerowtext"/>
              <w:rPr>
                <w:color w:val="7A0019" w:themeColor="accent1"/>
              </w:rPr>
            </w:pPr>
            <w:r w:rsidRPr="004F35DB">
              <w:t>42.6</w:t>
            </w:r>
          </w:p>
        </w:tc>
        <w:tc>
          <w:tcPr>
            <w:tcW w:w="1440" w:type="dxa"/>
          </w:tcPr>
          <w:p w14:paraId="3420B274" w14:textId="77777777" w:rsidR="00241EA9" w:rsidRPr="00635A81" w:rsidRDefault="00241EA9" w:rsidP="00B546A3">
            <w:pPr>
              <w:pStyle w:val="tablerowtext"/>
              <w:rPr>
                <w:color w:val="7A0019" w:themeColor="accent1"/>
              </w:rPr>
            </w:pPr>
            <w:r w:rsidRPr="004F35DB">
              <w:t>42.6</w:t>
            </w:r>
          </w:p>
        </w:tc>
        <w:tc>
          <w:tcPr>
            <w:tcW w:w="1440" w:type="dxa"/>
          </w:tcPr>
          <w:p w14:paraId="656AD738" w14:textId="77777777" w:rsidR="00241EA9" w:rsidRPr="00635A81" w:rsidRDefault="00241EA9" w:rsidP="00B546A3">
            <w:pPr>
              <w:pStyle w:val="tablerowtext"/>
              <w:rPr>
                <w:color w:val="7A0019" w:themeColor="accent1"/>
              </w:rPr>
            </w:pPr>
            <w:r w:rsidRPr="004F35DB">
              <w:t>43.4</w:t>
            </w:r>
          </w:p>
        </w:tc>
      </w:tr>
      <w:tr w:rsidR="00241EA9" w:rsidRPr="00635A81" w14:paraId="0217591D" w14:textId="77777777" w:rsidTr="00B546A3">
        <w:tc>
          <w:tcPr>
            <w:tcW w:w="1008" w:type="dxa"/>
            <w:vAlign w:val="center"/>
          </w:tcPr>
          <w:p w14:paraId="03A2F17E" w14:textId="77777777" w:rsidR="00241EA9" w:rsidRPr="00635A81" w:rsidRDefault="00241EA9" w:rsidP="00B546A3">
            <w:pPr>
              <w:pStyle w:val="tablerowtext"/>
              <w:jc w:val="left"/>
              <w:rPr>
                <w:color w:val="7A0019" w:themeColor="accent1"/>
              </w:rPr>
            </w:pPr>
            <w:r>
              <w:rPr>
                <w:color w:val="7A0019" w:themeColor="accent1"/>
              </w:rPr>
              <w:t>200</w:t>
            </w:r>
          </w:p>
        </w:tc>
        <w:tc>
          <w:tcPr>
            <w:tcW w:w="1440" w:type="dxa"/>
            <w:vAlign w:val="center"/>
          </w:tcPr>
          <w:p w14:paraId="1D17198F" w14:textId="77777777" w:rsidR="00241EA9" w:rsidRPr="00635A81" w:rsidRDefault="00241EA9" w:rsidP="00B546A3">
            <w:pPr>
              <w:pStyle w:val="tablerowtext"/>
              <w:rPr>
                <w:color w:val="7A0019" w:themeColor="accent1"/>
              </w:rPr>
            </w:pPr>
            <w:r>
              <w:rPr>
                <w:color w:val="7A0019" w:themeColor="accent1"/>
              </w:rPr>
              <w:t>Yes</w:t>
            </w:r>
          </w:p>
        </w:tc>
        <w:tc>
          <w:tcPr>
            <w:tcW w:w="1440" w:type="dxa"/>
          </w:tcPr>
          <w:p w14:paraId="1A3C51ED" w14:textId="77777777" w:rsidR="00241EA9" w:rsidRPr="00635A81" w:rsidRDefault="00241EA9" w:rsidP="00B546A3">
            <w:pPr>
              <w:pStyle w:val="tablerowtext"/>
              <w:rPr>
                <w:color w:val="7A0019" w:themeColor="accent1"/>
              </w:rPr>
            </w:pPr>
            <w:r w:rsidRPr="004F35DB">
              <w:t>18.9</w:t>
            </w:r>
          </w:p>
        </w:tc>
        <w:tc>
          <w:tcPr>
            <w:tcW w:w="1440" w:type="dxa"/>
          </w:tcPr>
          <w:p w14:paraId="171FB5CF" w14:textId="77777777" w:rsidR="00241EA9" w:rsidRPr="00635A81" w:rsidRDefault="00241EA9" w:rsidP="00B546A3">
            <w:pPr>
              <w:pStyle w:val="tablerowtext"/>
              <w:rPr>
                <w:color w:val="7A0019" w:themeColor="accent1"/>
              </w:rPr>
            </w:pPr>
            <w:r w:rsidRPr="004F35DB">
              <w:t>25.9</w:t>
            </w:r>
          </w:p>
        </w:tc>
        <w:tc>
          <w:tcPr>
            <w:tcW w:w="1440" w:type="dxa"/>
          </w:tcPr>
          <w:p w14:paraId="368E8F55" w14:textId="77777777" w:rsidR="00241EA9" w:rsidRPr="00635A81" w:rsidRDefault="00241EA9" w:rsidP="00B546A3">
            <w:pPr>
              <w:pStyle w:val="tablerowtext"/>
              <w:rPr>
                <w:color w:val="7A0019" w:themeColor="accent1"/>
              </w:rPr>
            </w:pPr>
            <w:r w:rsidRPr="004F35DB">
              <w:t>25.9</w:t>
            </w:r>
          </w:p>
        </w:tc>
        <w:tc>
          <w:tcPr>
            <w:tcW w:w="1440" w:type="dxa"/>
          </w:tcPr>
          <w:p w14:paraId="161D6E26" w14:textId="77777777" w:rsidR="00241EA9" w:rsidRPr="00635A81" w:rsidRDefault="00241EA9" w:rsidP="00B546A3">
            <w:pPr>
              <w:pStyle w:val="tablerowtext"/>
              <w:rPr>
                <w:color w:val="7A0019" w:themeColor="accent1"/>
              </w:rPr>
            </w:pPr>
            <w:r w:rsidRPr="004F35DB">
              <w:t>33.7</w:t>
            </w:r>
          </w:p>
        </w:tc>
      </w:tr>
    </w:tbl>
    <w:p w14:paraId="5FC9984F" w14:textId="77777777" w:rsidR="00241EA9" w:rsidRDefault="00241EA9" w:rsidP="000E3B74">
      <w:pPr>
        <w:pStyle w:val="ParagraphExtension"/>
      </w:pPr>
    </w:p>
    <w:p w14:paraId="0334B516" w14:textId="1DC39929" w:rsidR="000E3B74" w:rsidRDefault="00685733" w:rsidP="000E3B74">
      <w:pPr>
        <w:pStyle w:val="ParagraphExtension"/>
      </w:pPr>
      <w:r>
        <w:rPr>
          <w:noProof/>
          <w:lang w:bidi="ar-SA"/>
        </w:rPr>
        <mc:AlternateContent>
          <mc:Choice Requires="wps">
            <w:drawing>
              <wp:anchor distT="0" distB="0" distL="114300" distR="114300" simplePos="0" relativeHeight="251668480" behindDoc="0" locked="0" layoutInCell="1" allowOverlap="1" wp14:anchorId="1A2D02BF" wp14:editId="56DB60DB">
                <wp:simplePos x="0" y="0"/>
                <wp:positionH relativeFrom="column">
                  <wp:posOffset>3351530</wp:posOffset>
                </wp:positionH>
                <wp:positionV relativeFrom="paragraph">
                  <wp:posOffset>2055495</wp:posOffset>
                </wp:positionV>
                <wp:extent cx="2971800" cy="297815"/>
                <wp:effectExtent l="0" t="0" r="0" b="6985"/>
                <wp:wrapSquare wrapText="bothSides"/>
                <wp:docPr id="3" name="Text Box 3"/>
                <wp:cNvGraphicFramePr/>
                <a:graphic xmlns:a="http://schemas.openxmlformats.org/drawingml/2006/main">
                  <a:graphicData uri="http://schemas.microsoft.com/office/word/2010/wordprocessingShape">
                    <wps:wsp>
                      <wps:cNvSpPr txBox="1"/>
                      <wps:spPr>
                        <a:xfrm flipH="1">
                          <a:off x="0" y="0"/>
                          <a:ext cx="2971800" cy="297815"/>
                        </a:xfrm>
                        <a:prstGeom prst="rect">
                          <a:avLst/>
                        </a:prstGeom>
                        <a:noFill/>
                        <a:ln w="6350">
                          <a:noFill/>
                        </a:ln>
                      </wps:spPr>
                      <wps:txbx>
                        <w:txbxContent>
                          <w:p w14:paraId="1F684B7E" w14:textId="4E34A1C6" w:rsidR="0050742A" w:rsidRDefault="0050742A" w:rsidP="0050742A">
                            <w:pPr>
                              <w:pStyle w:val="CaptionExtension"/>
                            </w:pPr>
                            <w:r>
                              <w:t xml:space="preserve">Figure </w:t>
                            </w:r>
                            <w:r w:rsidR="00685733">
                              <w:t>IDC-2</w:t>
                            </w:r>
                            <w:r>
                              <w:t>. Green wheel tracks of the secondary tillage operation through an IDC</w:t>
                            </w:r>
                            <w:r w:rsidR="00D709D6">
                              <w:t>-</w:t>
                            </w:r>
                            <w:r>
                              <w:t>affected area of the field</w:t>
                            </w:r>
                            <w:r w:rsidR="00D709D6">
                              <w:t>.</w:t>
                            </w:r>
                          </w:p>
                          <w:p w14:paraId="6488C549" w14:textId="77777777" w:rsidR="0050742A" w:rsidRDefault="0050742A"/>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2D02BF" id="_x0000_t202" coordsize="21600,21600" o:spt="202" path="m,l,21600r21600,l21600,xe">
                <v:stroke joinstyle="miter"/>
                <v:path gradientshapeok="t" o:connecttype="rect"/>
              </v:shapetype>
              <v:shape id="Text Box 3" o:spid="_x0000_s1027" type="#_x0000_t202" style="position:absolute;margin-left:263.9pt;margin-top:161.85pt;width:234pt;height:23.4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" filled="f" stroked="f" strokeweight=".5pt">
                <v:textbox inset="0,0,0,0">
                  <w:txbxContent>
                    <w:p w14:paraId="1F684B7E" w14:textId="4E34A1C6" w:rsidR="0050742A" w:rsidRDefault="0050742A" w:rsidP="0050742A">
                      <w:pPr>
                        <w:pStyle w:val="CaptionExtension"/>
                      </w:pPr>
                      <w:r>
                        <w:t xml:space="preserve">Figure </w:t>
                      </w:r>
                      <w:r w:rsidR="00685733">
                        <w:t>IDC-2</w:t>
                      </w:r>
                      <w:r>
                        <w:t>. Green wheel tracks of the secondary tillage operation through an IDC</w:t>
                      </w:r>
                      <w:r w:rsidR="00D709D6">
                        <w:t>-</w:t>
                      </w:r>
                      <w:r>
                        <w:t>affected area of the field</w:t>
                      </w:r>
                      <w:r w:rsidR="00D709D6">
                        <w:t>.</w:t>
                      </w:r>
                    </w:p>
                    <w:p w14:paraId="6488C549" w14:textId="77777777" w:rsidR="0050742A" w:rsidRDefault="0050742A"/>
                  </w:txbxContent>
                </v:textbox>
                <w10:wrap type="square"/>
              </v:shape>
            </w:pict>
          </mc:Fallback>
        </mc:AlternateContent>
      </w:r>
      <w:r w:rsidR="0050742A" w:rsidRPr="001710A4">
        <w:rPr>
          <w:noProof/>
          <w:lang w:bidi="ar-SA"/>
        </w:rPr>
        <w:drawing>
          <wp:anchor distT="0" distB="0" distL="114300" distR="114300" simplePos="0" relativeHeight="251667456" behindDoc="0" locked="0" layoutInCell="1" allowOverlap="1" wp14:anchorId="04A5A62D" wp14:editId="3FD5FFA0">
            <wp:simplePos x="0" y="0"/>
            <wp:positionH relativeFrom="column">
              <wp:posOffset>3349591</wp:posOffset>
            </wp:positionH>
            <wp:positionV relativeFrom="paragraph">
              <wp:posOffset>54175</wp:posOffset>
            </wp:positionV>
            <wp:extent cx="2971800" cy="1962150"/>
            <wp:effectExtent l="0" t="0" r="0" b="6350"/>
            <wp:wrapSquare wrapText="bothSides"/>
            <wp:docPr id="21" name="Content Placeholder 3" descr="A phot of tire tracks in a field."/>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1" name="Content Placeholder 3" descr="A phot of tire tracks in a field."/>
                    <pic:cNvPicPr>
                      <a:picLocks noGrp="1" noChangeAspect="1"/>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0" y="0"/>
                      <a:ext cx="2971800" cy="1962150"/>
                    </a:xfrm>
                    <a:prstGeom prst="rect">
                      <a:avLst/>
                    </a:prstGeom>
                    <a:no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E3B74">
        <w:t xml:space="preserve">Soil nitrate in the field can increase chlorosis. Field and greenhouse studies have shown the addition of nitrate increases the severity of chlorosis in soybean (Table </w:t>
      </w:r>
      <w:r w:rsidR="003D2E8D">
        <w:t>IDC-</w:t>
      </w:r>
      <w:r w:rsidR="000E3B74">
        <w:t xml:space="preserve">1). </w:t>
      </w:r>
      <w:r w:rsidR="00241EA9">
        <w:t>Nitrate can affect IDC in two ways. First, w</w:t>
      </w:r>
      <w:r w:rsidR="000E3B74">
        <w:t xml:space="preserve">hen a plant root takes up nitrate it must exchange with a bicarbonate ion. </w:t>
      </w:r>
      <w:r w:rsidR="00241EA9">
        <w:t>Second</w:t>
      </w:r>
      <w:r w:rsidR="000E3B74">
        <w:t xml:space="preserve">, nitrate taken up into the plant </w:t>
      </w:r>
      <w:r w:rsidR="00241EA9">
        <w:t>must</w:t>
      </w:r>
      <w:r w:rsidR="000E3B74">
        <w:t xml:space="preserve"> be converted to ammonium within the leaves which increases pH in leaf sap and decreases the rate of reduction of Fe III to Fe II</w:t>
      </w:r>
      <w:r w:rsidR="00D11AE6">
        <w:t>,</w:t>
      </w:r>
      <w:r w:rsidR="000E3B74">
        <w:t xml:space="preserve"> </w:t>
      </w:r>
      <w:r w:rsidR="00D11AE6">
        <w:t>which</w:t>
      </w:r>
      <w:r w:rsidR="000E3B74">
        <w:t xml:space="preserve"> is necessary for leaf cells to have usable Fe. When taking plant samples from chlorosis fields, iron in leaflets can be greater in the chlorosis</w:t>
      </w:r>
      <w:r w:rsidR="00D709D6">
        <w:t>-</w:t>
      </w:r>
      <w:r w:rsidR="000E3B74">
        <w:t xml:space="preserve">affected plants than non-chlorotic plants because of an accumulation of iron in the leaves </w:t>
      </w:r>
      <w:r w:rsidR="0048387B">
        <w:t>without the ability</w:t>
      </w:r>
      <w:r w:rsidR="000E3B74">
        <w:t xml:space="preserve"> to reduce the iron III into an available form</w:t>
      </w:r>
      <w:r w:rsidR="00241EA9">
        <w:t>.</w:t>
      </w:r>
      <w:r w:rsidR="000E3B74">
        <w:t xml:space="preserve"> </w:t>
      </w:r>
    </w:p>
    <w:p w14:paraId="2F9ADE6B" w14:textId="16F014E1" w:rsidR="0050742A" w:rsidRDefault="000E3B74" w:rsidP="00241EA9">
      <w:pPr>
        <w:pStyle w:val="ParagraphExtension"/>
        <w:rPr>
          <w:rFonts w:ascii="Arial" w:hAnsi="Arial" w:cs="HelveticaNeueLTStd-Bd"/>
          <w:b/>
          <w:bCs/>
          <w:color w:val="7A0019"/>
          <w:sz w:val="18"/>
          <w:szCs w:val="16"/>
        </w:rPr>
      </w:pPr>
      <w:r>
        <w:t>Differences in soil nitrate may explain why we often see less chlorosis in the wheel tracks of the secondary tillage in a soybean field</w:t>
      </w:r>
      <w:r w:rsidR="00D709D6">
        <w:t xml:space="preserve"> (see </w:t>
      </w:r>
      <w:r>
        <w:t xml:space="preserve">Figure </w:t>
      </w:r>
      <w:r w:rsidR="003D2E8D">
        <w:t>IDC-2</w:t>
      </w:r>
      <w:r w:rsidR="00D709D6">
        <w:t>)</w:t>
      </w:r>
      <w:r>
        <w:t xml:space="preserve">. The soil under the tractor wheels is more compacted. This causes the compacted area to be more anaerobic (low air), but not low enough to </w:t>
      </w:r>
      <w:r>
        <w:lastRenderedPageBreak/>
        <w:t>reduce much Fe III to Fe II. These slightly anaerobic soil conditions can cause denitrification of nitrate to N</w:t>
      </w:r>
      <w:r w:rsidRPr="0050742A">
        <w:rPr>
          <w:vertAlign w:val="subscript"/>
        </w:rPr>
        <w:t>2</w:t>
      </w:r>
      <w:r w:rsidR="00D709D6">
        <w:t xml:space="preserve">, </w:t>
      </w:r>
      <w:r>
        <w:t xml:space="preserve">reducing the amount of nitrate in the soil and </w:t>
      </w:r>
      <w:r w:rsidR="001C2357">
        <w:t>thus</w:t>
      </w:r>
      <w:r w:rsidR="00D709D6">
        <w:t xml:space="preserve"> </w:t>
      </w:r>
      <w:r>
        <w:t xml:space="preserve">reducing the amount of IDC. </w:t>
      </w:r>
    </w:p>
    <w:p w14:paraId="21FFB01B" w14:textId="7A19551E" w:rsidR="00070B2F" w:rsidRDefault="000E3B74" w:rsidP="00070B2F">
      <w:pPr>
        <w:pStyle w:val="Heading3Extension"/>
      </w:pPr>
      <w:r>
        <w:t xml:space="preserve">Plant </w:t>
      </w:r>
      <w:r w:rsidR="00C60364">
        <w:t>s</w:t>
      </w:r>
      <w:r>
        <w:t>tress</w:t>
      </w:r>
    </w:p>
    <w:p w14:paraId="32F98E08" w14:textId="4CC2524A" w:rsidR="000E3B74" w:rsidRDefault="00241EA9" w:rsidP="000E3B74">
      <w:pPr>
        <w:pStyle w:val="ParagraphExtension"/>
      </w:pPr>
      <w:r>
        <w:t>A</w:t>
      </w:r>
      <w:r w:rsidR="000E3B74">
        <w:t xml:space="preserve">ny production practice that can cause stress to the plant </w:t>
      </w:r>
      <w:r w:rsidR="007F49A9">
        <w:t xml:space="preserve">can </w:t>
      </w:r>
      <w:r w:rsidR="000E3B74">
        <w:t>also cause problems with iron uptake by the plant. Examples include herbicide injury</w:t>
      </w:r>
      <w:r w:rsidR="007F49A9">
        <w:t>, (especially from soil</w:t>
      </w:r>
      <w:r w:rsidR="00D709D6">
        <w:t>-</w:t>
      </w:r>
      <w:r w:rsidR="007F49A9">
        <w:t>applied products)</w:t>
      </w:r>
      <w:r w:rsidR="000E3B74">
        <w:t>, plant disease pressure, and nematodes.</w:t>
      </w:r>
      <w:r w:rsidR="00DA5C71">
        <w:t xml:space="preserve"> </w:t>
      </w:r>
      <w:r w:rsidR="00DA5C71" w:rsidRPr="00241EA9">
        <w:t xml:space="preserve">Soybean cyst nematode (SCN) populations can be </w:t>
      </w:r>
      <w:r w:rsidR="007F49A9" w:rsidRPr="00241EA9">
        <w:t xml:space="preserve">very </w:t>
      </w:r>
      <w:r w:rsidR="00DA5C71" w:rsidRPr="00241EA9">
        <w:t xml:space="preserve">high in </w:t>
      </w:r>
      <w:r w:rsidRPr="00241EA9">
        <w:t>field areas where IDC occur</w:t>
      </w:r>
      <w:r w:rsidR="00D709D6">
        <w:t>s</w:t>
      </w:r>
      <w:r w:rsidR="00DA5C71" w:rsidRPr="00241EA9">
        <w:t xml:space="preserve">. </w:t>
      </w:r>
      <w:r w:rsidR="007F49A9" w:rsidRPr="00241EA9">
        <w:t xml:space="preserve">While both maladies can cause stunting and yellowing of soybean, research </w:t>
      </w:r>
      <w:r w:rsidR="00DA5C71" w:rsidRPr="00241EA9">
        <w:t xml:space="preserve">in Minnesota has not shown an interaction between SCN and IDC. Management strategies for </w:t>
      </w:r>
      <w:r w:rsidR="007F49A9" w:rsidRPr="00241EA9">
        <w:t xml:space="preserve">both </w:t>
      </w:r>
      <w:r w:rsidR="00DA5C71" w:rsidRPr="00241EA9">
        <w:t xml:space="preserve">SCN and IDC should be considered </w:t>
      </w:r>
      <w:r w:rsidR="007F49A9" w:rsidRPr="00241EA9">
        <w:t>when these</w:t>
      </w:r>
      <w:r w:rsidR="00DA5C71" w:rsidRPr="00241EA9">
        <w:t xml:space="preserve"> exist within </w:t>
      </w:r>
      <w:r w:rsidR="007F49A9" w:rsidRPr="00241EA9">
        <w:t>the same</w:t>
      </w:r>
      <w:r w:rsidR="00DA5C71" w:rsidRPr="00241EA9">
        <w:t xml:space="preserve"> field.</w:t>
      </w:r>
    </w:p>
    <w:p w14:paraId="3793906F" w14:textId="4AE732C8" w:rsidR="000E3B74" w:rsidRDefault="006B4A83" w:rsidP="00070B2F">
      <w:pPr>
        <w:pStyle w:val="Heading2Extension"/>
      </w:pPr>
      <w:r>
        <w:drawing>
          <wp:anchor distT="0" distB="0" distL="114300" distR="114300" simplePos="0" relativeHeight="251669504" behindDoc="0" locked="0" layoutInCell="1" allowOverlap="1" wp14:anchorId="7B103C73" wp14:editId="76CC1BF3">
            <wp:simplePos x="0" y="0"/>
            <wp:positionH relativeFrom="column">
              <wp:posOffset>3348990</wp:posOffset>
            </wp:positionH>
            <wp:positionV relativeFrom="paragraph">
              <wp:posOffset>23592</wp:posOffset>
            </wp:positionV>
            <wp:extent cx="2971800" cy="1774190"/>
            <wp:effectExtent l="0" t="0" r="0" b="3810"/>
            <wp:wrapSquare wrapText="bothSides"/>
            <wp:docPr id="12" name="Picture 12" descr="Draw of a prairie pothole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raw of a prairie pothole area."/>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71800" cy="1774190"/>
                    </a:xfrm>
                    <a:prstGeom prst="rect">
                      <a:avLst/>
                    </a:prstGeom>
                  </pic:spPr>
                </pic:pic>
              </a:graphicData>
            </a:graphic>
            <wp14:sizeRelH relativeFrom="page">
              <wp14:pctWidth>0</wp14:pctWidth>
            </wp14:sizeRelH>
            <wp14:sizeRelV relativeFrom="page">
              <wp14:pctHeight>0</wp14:pctHeight>
            </wp14:sizeRelV>
          </wp:anchor>
        </w:drawing>
      </w:r>
      <w:r w:rsidR="00070B2F">
        <w:t>Where</w:t>
      </w:r>
      <w:r w:rsidR="00C60364">
        <w:t xml:space="preserve"> do we find IDC in Minnesota fields?</w:t>
      </w:r>
    </w:p>
    <w:p w14:paraId="3318CD70" w14:textId="6DC9313F" w:rsidR="000E3B74" w:rsidRDefault="006B4A83" w:rsidP="000E3B74">
      <w:pPr>
        <w:pStyle w:val="ParagraphExtension"/>
      </w:pPr>
      <w:r>
        <w:rPr>
          <w:noProof/>
          <w:lang w:bidi="ar-SA"/>
        </w:rPr>
        <mc:AlternateContent>
          <mc:Choice Requires="wps">
            <w:drawing>
              <wp:anchor distT="0" distB="0" distL="114300" distR="114300" simplePos="0" relativeHeight="251671552" behindDoc="0" locked="0" layoutInCell="1" allowOverlap="1" wp14:anchorId="27EFC19B" wp14:editId="0C8DC8C4">
                <wp:simplePos x="0" y="0"/>
                <wp:positionH relativeFrom="column">
                  <wp:posOffset>3412490</wp:posOffset>
                </wp:positionH>
                <wp:positionV relativeFrom="paragraph">
                  <wp:posOffset>1431290</wp:posOffset>
                </wp:positionV>
                <wp:extent cx="3175000" cy="657225"/>
                <wp:effectExtent l="0" t="0" r="0" b="3175"/>
                <wp:wrapSquare wrapText="bothSides"/>
                <wp:docPr id="4" name="Text Box 4"/>
                <wp:cNvGraphicFramePr/>
                <a:graphic xmlns:a="http://schemas.openxmlformats.org/drawingml/2006/main">
                  <a:graphicData uri="http://schemas.microsoft.com/office/word/2010/wordprocessingShape">
                    <wps:wsp>
                      <wps:cNvSpPr txBox="1"/>
                      <wps:spPr>
                        <a:xfrm>
                          <a:off x="0" y="0"/>
                          <a:ext cx="3175000" cy="657225"/>
                        </a:xfrm>
                        <a:prstGeom prst="rect">
                          <a:avLst/>
                        </a:prstGeom>
                        <a:noFill/>
                        <a:ln w="6350">
                          <a:noFill/>
                        </a:ln>
                      </wps:spPr>
                      <wps:txbx>
                        <w:txbxContent>
                          <w:p w14:paraId="7BFFCFF9" w14:textId="22535C22" w:rsidR="006B4A83" w:rsidRDefault="006B4A83" w:rsidP="00685733">
                            <w:pPr>
                              <w:pStyle w:val="CaptionExtension"/>
                            </w:pPr>
                            <w:r>
                              <w:t xml:space="preserve">Figure </w:t>
                            </w:r>
                            <w:r w:rsidR="00685733">
                              <w:t>IDC-3</w:t>
                            </w:r>
                            <w:r>
                              <w:t xml:space="preserve">. Pictorial representation of a typical Clarion-Nicollet-Webster-Okoboji soil association from the prairie pothole area of western Minnesota. IDC typically is found on the </w:t>
                            </w:r>
                            <w:r w:rsidR="00241EA9">
                              <w:t>low-lying</w:t>
                            </w:r>
                            <w:r>
                              <w:t xml:space="preserve"> area (Okoboji and Harps soils) where salts and carbonates have accumulated over time.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7EFC19B" id="Text Box 4" o:spid="_x0000_s1028" type="#_x0000_t202" style="position:absolute;margin-left:268.7pt;margin-top:112.7pt;width:250pt;height:51.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" filled="f" stroked="f" strokeweight=".5pt">
                <v:textbox inset="0,0,0,0">
                  <w:txbxContent>
                    <w:p w14:paraId="7BFFCFF9" w14:textId="22535C22" w:rsidR="006B4A83" w:rsidRDefault="006B4A83" w:rsidP="00685733">
                      <w:pPr>
                        <w:pStyle w:val="CaptionExtension"/>
                      </w:pPr>
                      <w:r>
                        <w:t xml:space="preserve">Figure </w:t>
                      </w:r>
                      <w:r w:rsidR="00685733">
                        <w:t>IDC-3</w:t>
                      </w:r>
                      <w:r>
                        <w:t xml:space="preserve">. Pictorial representation of a typical Clarion-Nicollet-Webster-Okoboji soil association from the prairie pothole area of western Minnesota. IDC typically is found on the </w:t>
                      </w:r>
                      <w:r w:rsidR="00241EA9">
                        <w:t>low-lying</w:t>
                      </w:r>
                      <w:r>
                        <w:t xml:space="preserve"> area (Okoboji and Harps soils) where salts and carbonates have accumulated over time.</w:t>
                      </w:r>
                    </w:p>
                  </w:txbxContent>
                </v:textbox>
                <w10:wrap type="square"/>
              </v:shape>
            </w:pict>
          </mc:Fallback>
        </mc:AlternateContent>
      </w:r>
      <w:r w:rsidR="000E3B74">
        <w:t>Soybean IDC generally occurs in shallow depressions. The IDC is generally worse on the rims of the potholes where higher concentrations of calcium carbonate have been deposited</w:t>
      </w:r>
      <w:r w:rsidR="00D709D6">
        <w:t xml:space="preserve"> (see </w:t>
      </w:r>
      <w:r w:rsidR="000E3B74">
        <w:t xml:space="preserve">Figure </w:t>
      </w:r>
      <w:r w:rsidR="00685733">
        <w:t>IDC-3</w:t>
      </w:r>
      <w:r w:rsidR="00D709D6">
        <w:t>)</w:t>
      </w:r>
      <w:r w:rsidR="000E3B74">
        <w:t xml:space="preserve">. The calcium carbonate deposits were caused by conditions that existed when the soils were wet prairies (before </w:t>
      </w:r>
      <w:r w:rsidR="005E79F0">
        <w:t xml:space="preserve">the land was cultivated and </w:t>
      </w:r>
      <w:r w:rsidR="000E3B74">
        <w:t xml:space="preserve">tile </w:t>
      </w:r>
      <w:r w:rsidR="005E79F0">
        <w:t>drained</w:t>
      </w:r>
      <w:r w:rsidR="000E3B74">
        <w:t xml:space="preserve">). The intensity and extent of IDC depends on the soybean variety and factors that affect soil nitrate and bicarbonate contents. </w:t>
      </w:r>
    </w:p>
    <w:p w14:paraId="3B0AE3FE" w14:textId="29FA3EA2" w:rsidR="000E3B74" w:rsidRDefault="00070B2F" w:rsidP="005D7FC5">
      <w:pPr>
        <w:pStyle w:val="Heading2Extension"/>
      </w:pPr>
      <w:bookmarkStart w:id="0" w:name="_Hlk132634881"/>
      <w:r>
        <w:t xml:space="preserve">What </w:t>
      </w:r>
      <w:r w:rsidR="00C60364">
        <w:t>can be done?</w:t>
      </w:r>
    </w:p>
    <w:p w14:paraId="3672478F" w14:textId="48C5F445" w:rsidR="00241EA9" w:rsidRDefault="00241EA9" w:rsidP="00241EA9">
      <w:pPr>
        <w:pStyle w:val="TableTitleExtension"/>
      </w:pPr>
      <w:r>
        <w:t>Table IDC-2. Effect of oat or 3 lb</w:t>
      </w:r>
      <w:r w:rsidR="00D709D6">
        <w:t>s.</w:t>
      </w:r>
      <w:r>
        <w:t xml:space="preserve"> of an in-furrow ortho-ortho chelate (IF-Fe) on the yield of a IDC susceptible (V1) and tolerant (V2) soybean variety grown on soils with low, moderate, or high IDC pressure</w:t>
      </w:r>
      <w:r w:rsidR="00D709D6">
        <w:t>.</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72" w:type="dxa"/>
          <w:left w:w="72" w:type="dxa"/>
          <w:bottom w:w="72" w:type="dxa"/>
          <w:right w:w="72" w:type="dxa"/>
        </w:tblCellMar>
        <w:tblLook w:val="04A0" w:firstRow="1" w:lastRow="0" w:firstColumn="1" w:lastColumn="0" w:noHBand="0" w:noVBand="1"/>
      </w:tblPr>
      <w:tblGrid>
        <w:gridCol w:w="1008"/>
        <w:gridCol w:w="1440"/>
        <w:gridCol w:w="1440"/>
        <w:gridCol w:w="1440"/>
        <w:gridCol w:w="1440"/>
        <w:gridCol w:w="1440"/>
      </w:tblGrid>
      <w:tr w:rsidR="00241EA9" w14:paraId="256A09EC" w14:textId="77777777" w:rsidTr="00B546A3">
        <w:tc>
          <w:tcPr>
            <w:tcW w:w="1008" w:type="dxa"/>
            <w:shd w:val="clear" w:color="auto" w:fill="7A0019" w:themeFill="accent1"/>
            <w:vAlign w:val="center"/>
          </w:tcPr>
          <w:p w14:paraId="592FF989" w14:textId="77777777" w:rsidR="00241EA9" w:rsidRPr="0028322A" w:rsidRDefault="00241EA9" w:rsidP="00B546A3">
            <w:pPr>
              <w:pStyle w:val="Tablecolumnheader"/>
              <w:jc w:val="left"/>
            </w:pPr>
            <w:r>
              <w:t>IDC soil pressure</w:t>
            </w:r>
          </w:p>
        </w:tc>
        <w:tc>
          <w:tcPr>
            <w:tcW w:w="1440" w:type="dxa"/>
            <w:shd w:val="clear" w:color="auto" w:fill="7A0019" w:themeFill="accent1"/>
            <w:vAlign w:val="center"/>
          </w:tcPr>
          <w:p w14:paraId="2084ECA4" w14:textId="77777777" w:rsidR="00241EA9" w:rsidRPr="0028322A" w:rsidRDefault="00241EA9" w:rsidP="00B546A3">
            <w:pPr>
              <w:pStyle w:val="Tablecolumnheader"/>
            </w:pPr>
            <w:r>
              <w:t>Soybean variety</w:t>
            </w:r>
          </w:p>
        </w:tc>
        <w:tc>
          <w:tcPr>
            <w:tcW w:w="1440" w:type="dxa"/>
            <w:shd w:val="clear" w:color="auto" w:fill="7A0019" w:themeFill="accent1"/>
            <w:vAlign w:val="center"/>
          </w:tcPr>
          <w:p w14:paraId="26770A53" w14:textId="77777777" w:rsidR="00241EA9" w:rsidRPr="0028322A" w:rsidRDefault="00241EA9" w:rsidP="00B546A3">
            <w:pPr>
              <w:pStyle w:val="Tablecolumnheader"/>
            </w:pPr>
            <w:r>
              <w:t>Chk grain yield (bu/acre)</w:t>
            </w:r>
          </w:p>
        </w:tc>
        <w:tc>
          <w:tcPr>
            <w:tcW w:w="1440" w:type="dxa"/>
            <w:shd w:val="clear" w:color="auto" w:fill="7A0019" w:themeFill="accent1"/>
            <w:vAlign w:val="center"/>
          </w:tcPr>
          <w:p w14:paraId="3FD3D537" w14:textId="77777777" w:rsidR="00241EA9" w:rsidRPr="0028322A" w:rsidRDefault="00241EA9" w:rsidP="00B546A3">
            <w:pPr>
              <w:pStyle w:val="Tablecolumnheader"/>
            </w:pPr>
            <w:r>
              <w:t>IF Fe grain yield (bu/acre)</w:t>
            </w:r>
          </w:p>
        </w:tc>
        <w:tc>
          <w:tcPr>
            <w:tcW w:w="1440" w:type="dxa"/>
            <w:shd w:val="clear" w:color="auto" w:fill="7A0019" w:themeFill="accent1"/>
            <w:vAlign w:val="center"/>
          </w:tcPr>
          <w:p w14:paraId="3CA76843" w14:textId="77777777" w:rsidR="00241EA9" w:rsidRPr="0028322A" w:rsidRDefault="00241EA9" w:rsidP="00B546A3">
            <w:pPr>
              <w:pStyle w:val="Tablecolumnheader"/>
            </w:pPr>
            <w:r>
              <w:t>Oats grain yield (bu/acre)</w:t>
            </w:r>
          </w:p>
        </w:tc>
        <w:tc>
          <w:tcPr>
            <w:tcW w:w="1440" w:type="dxa"/>
            <w:shd w:val="clear" w:color="auto" w:fill="7A0019" w:themeFill="accent1"/>
            <w:vAlign w:val="center"/>
          </w:tcPr>
          <w:p w14:paraId="7D579E8A" w14:textId="77777777" w:rsidR="00241EA9" w:rsidRPr="0028322A" w:rsidRDefault="00241EA9" w:rsidP="00B546A3">
            <w:pPr>
              <w:pStyle w:val="Tablecolumnheader"/>
            </w:pPr>
            <w:r>
              <w:t>Oat + Fe grain yield (bu/acre)</w:t>
            </w:r>
          </w:p>
        </w:tc>
      </w:tr>
      <w:tr w:rsidR="00241EA9" w:rsidRPr="00635A81" w14:paraId="3B04E00D" w14:textId="77777777" w:rsidTr="00B546A3">
        <w:tc>
          <w:tcPr>
            <w:tcW w:w="1008" w:type="dxa"/>
            <w:vAlign w:val="center"/>
          </w:tcPr>
          <w:p w14:paraId="700B6AE3" w14:textId="77777777" w:rsidR="00241EA9" w:rsidRPr="00635A81" w:rsidRDefault="00241EA9" w:rsidP="00B546A3">
            <w:pPr>
              <w:pStyle w:val="tablerowtext"/>
              <w:jc w:val="left"/>
              <w:rPr>
                <w:color w:val="7A0019" w:themeColor="accent1"/>
              </w:rPr>
            </w:pPr>
            <w:r w:rsidRPr="00CE4524">
              <w:t>Low</w:t>
            </w:r>
          </w:p>
        </w:tc>
        <w:tc>
          <w:tcPr>
            <w:tcW w:w="1440" w:type="dxa"/>
            <w:vAlign w:val="center"/>
          </w:tcPr>
          <w:p w14:paraId="01108399" w14:textId="77777777" w:rsidR="00241EA9" w:rsidRPr="00635A81" w:rsidRDefault="00241EA9" w:rsidP="00B546A3">
            <w:pPr>
              <w:pStyle w:val="tablerowtext"/>
              <w:rPr>
                <w:color w:val="7A0019" w:themeColor="accent1"/>
              </w:rPr>
            </w:pPr>
            <w:r w:rsidRPr="00CE4524">
              <w:t>V1</w:t>
            </w:r>
            <w:r>
              <w:t xml:space="preserve">: </w:t>
            </w:r>
            <w:r>
              <w:br/>
              <w:t>IDC susceptible</w:t>
            </w:r>
          </w:p>
        </w:tc>
        <w:tc>
          <w:tcPr>
            <w:tcW w:w="1440" w:type="dxa"/>
            <w:vAlign w:val="center"/>
          </w:tcPr>
          <w:p w14:paraId="7195453E" w14:textId="77777777" w:rsidR="00241EA9" w:rsidRPr="00635A81" w:rsidRDefault="00241EA9" w:rsidP="00B546A3">
            <w:pPr>
              <w:pStyle w:val="tablerowtext"/>
              <w:rPr>
                <w:color w:val="7A0019" w:themeColor="accent1"/>
              </w:rPr>
            </w:pPr>
            <w:r w:rsidRPr="00CE4524">
              <w:t>47.2</w:t>
            </w:r>
          </w:p>
        </w:tc>
        <w:tc>
          <w:tcPr>
            <w:tcW w:w="1440" w:type="dxa"/>
            <w:vAlign w:val="center"/>
          </w:tcPr>
          <w:p w14:paraId="068E525D" w14:textId="77777777" w:rsidR="00241EA9" w:rsidRPr="00635A81" w:rsidRDefault="00241EA9" w:rsidP="00B546A3">
            <w:pPr>
              <w:pStyle w:val="tablerowtext"/>
              <w:rPr>
                <w:color w:val="7A0019" w:themeColor="accent1"/>
              </w:rPr>
            </w:pPr>
            <w:r w:rsidRPr="00CE4524">
              <w:t>50.9</w:t>
            </w:r>
          </w:p>
        </w:tc>
        <w:tc>
          <w:tcPr>
            <w:tcW w:w="1440" w:type="dxa"/>
            <w:vAlign w:val="center"/>
          </w:tcPr>
          <w:p w14:paraId="1CFA7BF3" w14:textId="77777777" w:rsidR="00241EA9" w:rsidRPr="00635A81" w:rsidRDefault="00241EA9" w:rsidP="00B546A3">
            <w:pPr>
              <w:pStyle w:val="tablerowtext"/>
              <w:rPr>
                <w:color w:val="7A0019" w:themeColor="accent1"/>
              </w:rPr>
            </w:pPr>
            <w:r w:rsidRPr="00CE4524">
              <w:t>42.8</w:t>
            </w:r>
          </w:p>
        </w:tc>
        <w:tc>
          <w:tcPr>
            <w:tcW w:w="1440" w:type="dxa"/>
            <w:vAlign w:val="center"/>
          </w:tcPr>
          <w:p w14:paraId="5071DBAA" w14:textId="77777777" w:rsidR="00241EA9" w:rsidRPr="00635A81" w:rsidRDefault="00241EA9" w:rsidP="00B546A3">
            <w:pPr>
              <w:pStyle w:val="tablerowtext"/>
              <w:rPr>
                <w:color w:val="7A0019" w:themeColor="accent1"/>
              </w:rPr>
            </w:pPr>
            <w:r w:rsidRPr="00CE4524">
              <w:t>48.8</w:t>
            </w:r>
          </w:p>
        </w:tc>
      </w:tr>
      <w:tr w:rsidR="00241EA9" w:rsidRPr="00635A81" w14:paraId="08AF0393" w14:textId="77777777" w:rsidTr="00B546A3">
        <w:tc>
          <w:tcPr>
            <w:tcW w:w="1008" w:type="dxa"/>
            <w:vAlign w:val="center"/>
          </w:tcPr>
          <w:p w14:paraId="45141DA7" w14:textId="77777777" w:rsidR="00241EA9" w:rsidRPr="00635A81" w:rsidRDefault="00241EA9" w:rsidP="00B546A3">
            <w:pPr>
              <w:pStyle w:val="tablerowtext"/>
              <w:jc w:val="left"/>
              <w:rPr>
                <w:color w:val="7A0019" w:themeColor="accent1"/>
              </w:rPr>
            </w:pPr>
            <w:r>
              <w:rPr>
                <w:color w:val="7A0019" w:themeColor="accent1"/>
              </w:rPr>
              <w:t>Low</w:t>
            </w:r>
          </w:p>
        </w:tc>
        <w:tc>
          <w:tcPr>
            <w:tcW w:w="1440" w:type="dxa"/>
            <w:vAlign w:val="center"/>
          </w:tcPr>
          <w:p w14:paraId="2FC25BB9" w14:textId="77777777" w:rsidR="00241EA9" w:rsidRPr="00635A81" w:rsidRDefault="00241EA9" w:rsidP="00B546A3">
            <w:pPr>
              <w:pStyle w:val="tablerowtext"/>
              <w:rPr>
                <w:color w:val="7A0019" w:themeColor="accent1"/>
              </w:rPr>
            </w:pPr>
            <w:r w:rsidRPr="00CE4524">
              <w:t>V2</w:t>
            </w:r>
            <w:r>
              <w:t xml:space="preserve">: </w:t>
            </w:r>
            <w:r>
              <w:br/>
              <w:t>IDC tolerant</w:t>
            </w:r>
          </w:p>
        </w:tc>
        <w:tc>
          <w:tcPr>
            <w:tcW w:w="1440" w:type="dxa"/>
            <w:vAlign w:val="center"/>
          </w:tcPr>
          <w:p w14:paraId="4E4589B2" w14:textId="77777777" w:rsidR="00241EA9" w:rsidRPr="00635A81" w:rsidRDefault="00241EA9" w:rsidP="00B546A3">
            <w:pPr>
              <w:pStyle w:val="tablerowtext"/>
              <w:rPr>
                <w:color w:val="7A0019" w:themeColor="accent1"/>
              </w:rPr>
            </w:pPr>
            <w:r w:rsidRPr="00CE4524">
              <w:t>46.0</w:t>
            </w:r>
          </w:p>
        </w:tc>
        <w:tc>
          <w:tcPr>
            <w:tcW w:w="1440" w:type="dxa"/>
            <w:vAlign w:val="center"/>
          </w:tcPr>
          <w:p w14:paraId="5CC04210" w14:textId="77777777" w:rsidR="00241EA9" w:rsidRPr="00635A81" w:rsidRDefault="00241EA9" w:rsidP="00B546A3">
            <w:pPr>
              <w:pStyle w:val="tablerowtext"/>
              <w:rPr>
                <w:color w:val="7A0019" w:themeColor="accent1"/>
              </w:rPr>
            </w:pPr>
            <w:r w:rsidRPr="00CE4524">
              <w:t>49.5</w:t>
            </w:r>
          </w:p>
        </w:tc>
        <w:tc>
          <w:tcPr>
            <w:tcW w:w="1440" w:type="dxa"/>
            <w:vAlign w:val="center"/>
          </w:tcPr>
          <w:p w14:paraId="56B335D4" w14:textId="77777777" w:rsidR="00241EA9" w:rsidRPr="00635A81" w:rsidRDefault="00241EA9" w:rsidP="00B546A3">
            <w:pPr>
              <w:pStyle w:val="tablerowtext"/>
              <w:rPr>
                <w:color w:val="7A0019" w:themeColor="accent1"/>
              </w:rPr>
            </w:pPr>
            <w:r w:rsidRPr="00CE4524">
              <w:t>42.7</w:t>
            </w:r>
          </w:p>
        </w:tc>
        <w:tc>
          <w:tcPr>
            <w:tcW w:w="1440" w:type="dxa"/>
            <w:vAlign w:val="center"/>
          </w:tcPr>
          <w:p w14:paraId="3424F3F0" w14:textId="77777777" w:rsidR="00241EA9" w:rsidRPr="00635A81" w:rsidRDefault="00241EA9" w:rsidP="00B546A3">
            <w:pPr>
              <w:pStyle w:val="tablerowtext"/>
              <w:rPr>
                <w:color w:val="7A0019" w:themeColor="accent1"/>
              </w:rPr>
            </w:pPr>
            <w:r w:rsidRPr="00CE4524">
              <w:t>46.7</w:t>
            </w:r>
          </w:p>
        </w:tc>
      </w:tr>
      <w:tr w:rsidR="00241EA9" w:rsidRPr="00635A81" w14:paraId="2F7FE6F9" w14:textId="77777777" w:rsidTr="00B546A3">
        <w:tc>
          <w:tcPr>
            <w:tcW w:w="1008" w:type="dxa"/>
            <w:vAlign w:val="center"/>
          </w:tcPr>
          <w:p w14:paraId="3D28D985" w14:textId="77777777" w:rsidR="00241EA9" w:rsidRPr="00635A81" w:rsidRDefault="00241EA9" w:rsidP="00B546A3">
            <w:pPr>
              <w:pStyle w:val="tablerowtext"/>
              <w:jc w:val="left"/>
              <w:rPr>
                <w:color w:val="7A0019" w:themeColor="accent1"/>
              </w:rPr>
            </w:pPr>
            <w:r w:rsidRPr="00CE4524">
              <w:t>Mod</w:t>
            </w:r>
            <w:r>
              <w:t>erate</w:t>
            </w:r>
          </w:p>
        </w:tc>
        <w:tc>
          <w:tcPr>
            <w:tcW w:w="1440" w:type="dxa"/>
            <w:vAlign w:val="center"/>
          </w:tcPr>
          <w:p w14:paraId="632DA938" w14:textId="77777777" w:rsidR="00241EA9" w:rsidRPr="00635A81" w:rsidRDefault="00241EA9" w:rsidP="00B546A3">
            <w:pPr>
              <w:pStyle w:val="tablerowtext"/>
              <w:rPr>
                <w:color w:val="7A0019" w:themeColor="accent1"/>
              </w:rPr>
            </w:pPr>
            <w:r w:rsidRPr="00CE4524">
              <w:t>V1</w:t>
            </w:r>
            <w:r>
              <w:t xml:space="preserve">: </w:t>
            </w:r>
            <w:r>
              <w:br/>
              <w:t>IDC susceptible</w:t>
            </w:r>
          </w:p>
        </w:tc>
        <w:tc>
          <w:tcPr>
            <w:tcW w:w="1440" w:type="dxa"/>
            <w:vAlign w:val="center"/>
          </w:tcPr>
          <w:p w14:paraId="69C1A461" w14:textId="77777777" w:rsidR="00241EA9" w:rsidRPr="00635A81" w:rsidRDefault="00241EA9" w:rsidP="00B546A3">
            <w:pPr>
              <w:pStyle w:val="tablerowtext"/>
              <w:rPr>
                <w:color w:val="7A0019" w:themeColor="accent1"/>
              </w:rPr>
            </w:pPr>
            <w:r w:rsidRPr="00CE4524">
              <w:t>30.6</w:t>
            </w:r>
          </w:p>
        </w:tc>
        <w:tc>
          <w:tcPr>
            <w:tcW w:w="1440" w:type="dxa"/>
            <w:vAlign w:val="center"/>
          </w:tcPr>
          <w:p w14:paraId="44CC11AD" w14:textId="77777777" w:rsidR="00241EA9" w:rsidRPr="00635A81" w:rsidRDefault="00241EA9" w:rsidP="00B546A3">
            <w:pPr>
              <w:pStyle w:val="tablerowtext"/>
              <w:rPr>
                <w:color w:val="7A0019" w:themeColor="accent1"/>
              </w:rPr>
            </w:pPr>
            <w:r w:rsidRPr="00CE4524">
              <w:t>38.7</w:t>
            </w:r>
          </w:p>
        </w:tc>
        <w:tc>
          <w:tcPr>
            <w:tcW w:w="1440" w:type="dxa"/>
            <w:vAlign w:val="center"/>
          </w:tcPr>
          <w:p w14:paraId="63CEFE06" w14:textId="77777777" w:rsidR="00241EA9" w:rsidRPr="00635A81" w:rsidRDefault="00241EA9" w:rsidP="00B546A3">
            <w:pPr>
              <w:pStyle w:val="tablerowtext"/>
              <w:rPr>
                <w:color w:val="7A0019" w:themeColor="accent1"/>
              </w:rPr>
            </w:pPr>
            <w:r w:rsidRPr="00CE4524">
              <w:t>26.9</w:t>
            </w:r>
          </w:p>
        </w:tc>
        <w:tc>
          <w:tcPr>
            <w:tcW w:w="1440" w:type="dxa"/>
            <w:vAlign w:val="center"/>
          </w:tcPr>
          <w:p w14:paraId="16F426C4" w14:textId="77777777" w:rsidR="00241EA9" w:rsidRPr="00635A81" w:rsidRDefault="00241EA9" w:rsidP="00B546A3">
            <w:pPr>
              <w:pStyle w:val="tablerowtext"/>
              <w:rPr>
                <w:color w:val="7A0019" w:themeColor="accent1"/>
              </w:rPr>
            </w:pPr>
            <w:r w:rsidRPr="00CE4524">
              <w:t>41.7</w:t>
            </w:r>
          </w:p>
        </w:tc>
      </w:tr>
      <w:tr w:rsidR="00241EA9" w:rsidRPr="00635A81" w14:paraId="0BE80B39" w14:textId="77777777" w:rsidTr="00B546A3">
        <w:tc>
          <w:tcPr>
            <w:tcW w:w="1008" w:type="dxa"/>
            <w:vAlign w:val="center"/>
          </w:tcPr>
          <w:p w14:paraId="58CCBA05" w14:textId="77777777" w:rsidR="00241EA9" w:rsidRPr="00635A81" w:rsidRDefault="00241EA9" w:rsidP="00B546A3">
            <w:pPr>
              <w:pStyle w:val="tablerowtext"/>
              <w:jc w:val="left"/>
              <w:rPr>
                <w:color w:val="7A0019" w:themeColor="accent1"/>
              </w:rPr>
            </w:pPr>
            <w:r>
              <w:rPr>
                <w:color w:val="7A0019" w:themeColor="accent1"/>
              </w:rPr>
              <w:t>Moderate</w:t>
            </w:r>
          </w:p>
        </w:tc>
        <w:tc>
          <w:tcPr>
            <w:tcW w:w="1440" w:type="dxa"/>
            <w:vAlign w:val="center"/>
          </w:tcPr>
          <w:p w14:paraId="41092A4F" w14:textId="77777777" w:rsidR="00241EA9" w:rsidRPr="00635A81" w:rsidRDefault="00241EA9" w:rsidP="00B546A3">
            <w:pPr>
              <w:pStyle w:val="tablerowtext"/>
              <w:rPr>
                <w:color w:val="7A0019" w:themeColor="accent1"/>
              </w:rPr>
            </w:pPr>
            <w:r w:rsidRPr="00CE4524">
              <w:t>V2</w:t>
            </w:r>
            <w:r>
              <w:t xml:space="preserve">: </w:t>
            </w:r>
            <w:r>
              <w:br/>
              <w:t>IDC tolerant</w:t>
            </w:r>
          </w:p>
        </w:tc>
        <w:tc>
          <w:tcPr>
            <w:tcW w:w="1440" w:type="dxa"/>
            <w:vAlign w:val="center"/>
          </w:tcPr>
          <w:p w14:paraId="17A8E009" w14:textId="77777777" w:rsidR="00241EA9" w:rsidRPr="00635A81" w:rsidRDefault="00241EA9" w:rsidP="00B546A3">
            <w:pPr>
              <w:pStyle w:val="tablerowtext"/>
              <w:rPr>
                <w:color w:val="7A0019" w:themeColor="accent1"/>
              </w:rPr>
            </w:pPr>
            <w:r w:rsidRPr="00CE4524">
              <w:t>42.5</w:t>
            </w:r>
          </w:p>
        </w:tc>
        <w:tc>
          <w:tcPr>
            <w:tcW w:w="1440" w:type="dxa"/>
            <w:vAlign w:val="center"/>
          </w:tcPr>
          <w:p w14:paraId="44A769C0" w14:textId="77777777" w:rsidR="00241EA9" w:rsidRPr="00635A81" w:rsidRDefault="00241EA9" w:rsidP="00B546A3">
            <w:pPr>
              <w:pStyle w:val="tablerowtext"/>
              <w:rPr>
                <w:color w:val="7A0019" w:themeColor="accent1"/>
              </w:rPr>
            </w:pPr>
            <w:r w:rsidRPr="00CE4524">
              <w:t>46.0</w:t>
            </w:r>
          </w:p>
        </w:tc>
        <w:tc>
          <w:tcPr>
            <w:tcW w:w="1440" w:type="dxa"/>
            <w:vAlign w:val="center"/>
          </w:tcPr>
          <w:p w14:paraId="6590B23B" w14:textId="77777777" w:rsidR="00241EA9" w:rsidRPr="00635A81" w:rsidRDefault="00241EA9" w:rsidP="00B546A3">
            <w:pPr>
              <w:pStyle w:val="tablerowtext"/>
              <w:rPr>
                <w:color w:val="7A0019" w:themeColor="accent1"/>
              </w:rPr>
            </w:pPr>
            <w:r w:rsidRPr="00CE4524">
              <w:t>32.1</w:t>
            </w:r>
          </w:p>
        </w:tc>
        <w:tc>
          <w:tcPr>
            <w:tcW w:w="1440" w:type="dxa"/>
            <w:vAlign w:val="center"/>
          </w:tcPr>
          <w:p w14:paraId="7B126635" w14:textId="77777777" w:rsidR="00241EA9" w:rsidRPr="00635A81" w:rsidRDefault="00241EA9" w:rsidP="00B546A3">
            <w:pPr>
              <w:pStyle w:val="tablerowtext"/>
              <w:rPr>
                <w:color w:val="7A0019" w:themeColor="accent1"/>
              </w:rPr>
            </w:pPr>
            <w:r w:rsidRPr="00CE4524">
              <w:t>43.6</w:t>
            </w:r>
          </w:p>
        </w:tc>
      </w:tr>
      <w:tr w:rsidR="00241EA9" w:rsidRPr="00635A81" w14:paraId="6F369A35" w14:textId="77777777" w:rsidTr="00B546A3">
        <w:tc>
          <w:tcPr>
            <w:tcW w:w="1008" w:type="dxa"/>
            <w:vAlign w:val="center"/>
          </w:tcPr>
          <w:p w14:paraId="600348DF" w14:textId="77777777" w:rsidR="00241EA9" w:rsidRPr="00635A81" w:rsidRDefault="00241EA9" w:rsidP="00B546A3">
            <w:pPr>
              <w:pStyle w:val="tablerowtext"/>
              <w:jc w:val="left"/>
              <w:rPr>
                <w:color w:val="7A0019" w:themeColor="accent1"/>
              </w:rPr>
            </w:pPr>
            <w:r w:rsidRPr="00CE4524">
              <w:t>High</w:t>
            </w:r>
          </w:p>
        </w:tc>
        <w:tc>
          <w:tcPr>
            <w:tcW w:w="1440" w:type="dxa"/>
            <w:vAlign w:val="center"/>
          </w:tcPr>
          <w:p w14:paraId="790F7191" w14:textId="77777777" w:rsidR="00241EA9" w:rsidRPr="00635A81" w:rsidRDefault="00241EA9" w:rsidP="00B546A3">
            <w:pPr>
              <w:pStyle w:val="tablerowtext"/>
              <w:rPr>
                <w:color w:val="7A0019" w:themeColor="accent1"/>
              </w:rPr>
            </w:pPr>
            <w:r w:rsidRPr="00CE4524">
              <w:t>V1</w:t>
            </w:r>
            <w:r>
              <w:t>: IDC susceptible</w:t>
            </w:r>
          </w:p>
        </w:tc>
        <w:tc>
          <w:tcPr>
            <w:tcW w:w="1440" w:type="dxa"/>
            <w:vAlign w:val="center"/>
          </w:tcPr>
          <w:p w14:paraId="6084D0B8" w14:textId="77777777" w:rsidR="00241EA9" w:rsidRPr="00635A81" w:rsidRDefault="00241EA9" w:rsidP="00B546A3">
            <w:pPr>
              <w:pStyle w:val="tablerowtext"/>
              <w:rPr>
                <w:color w:val="7A0019" w:themeColor="accent1"/>
              </w:rPr>
            </w:pPr>
            <w:r w:rsidRPr="00CE4524">
              <w:t>6.6</w:t>
            </w:r>
          </w:p>
        </w:tc>
        <w:tc>
          <w:tcPr>
            <w:tcW w:w="1440" w:type="dxa"/>
            <w:vAlign w:val="center"/>
          </w:tcPr>
          <w:p w14:paraId="62480539" w14:textId="77777777" w:rsidR="00241EA9" w:rsidRPr="00635A81" w:rsidRDefault="00241EA9" w:rsidP="00B546A3">
            <w:pPr>
              <w:pStyle w:val="tablerowtext"/>
              <w:rPr>
                <w:color w:val="7A0019" w:themeColor="accent1"/>
              </w:rPr>
            </w:pPr>
            <w:r w:rsidRPr="00CE4524">
              <w:t>15.3</w:t>
            </w:r>
          </w:p>
        </w:tc>
        <w:tc>
          <w:tcPr>
            <w:tcW w:w="1440" w:type="dxa"/>
            <w:vAlign w:val="center"/>
          </w:tcPr>
          <w:p w14:paraId="7FFD4880" w14:textId="77777777" w:rsidR="00241EA9" w:rsidRPr="00635A81" w:rsidRDefault="00241EA9" w:rsidP="00B546A3">
            <w:pPr>
              <w:pStyle w:val="tablerowtext"/>
              <w:rPr>
                <w:color w:val="7A0019" w:themeColor="accent1"/>
              </w:rPr>
            </w:pPr>
            <w:r w:rsidRPr="00CE4524">
              <w:t>26.6</w:t>
            </w:r>
          </w:p>
        </w:tc>
        <w:tc>
          <w:tcPr>
            <w:tcW w:w="1440" w:type="dxa"/>
            <w:vAlign w:val="center"/>
          </w:tcPr>
          <w:p w14:paraId="32D34CD0" w14:textId="77777777" w:rsidR="00241EA9" w:rsidRPr="00635A81" w:rsidRDefault="00241EA9" w:rsidP="00B546A3">
            <w:pPr>
              <w:pStyle w:val="tablerowtext"/>
              <w:rPr>
                <w:color w:val="7A0019" w:themeColor="accent1"/>
              </w:rPr>
            </w:pPr>
            <w:r w:rsidRPr="00CE4524">
              <w:t>28.5</w:t>
            </w:r>
          </w:p>
        </w:tc>
      </w:tr>
      <w:tr w:rsidR="00241EA9" w:rsidRPr="00635A81" w14:paraId="72A5E10C" w14:textId="77777777" w:rsidTr="00B546A3">
        <w:tc>
          <w:tcPr>
            <w:tcW w:w="1008" w:type="dxa"/>
            <w:vAlign w:val="center"/>
          </w:tcPr>
          <w:p w14:paraId="1CC6CA82" w14:textId="77777777" w:rsidR="00241EA9" w:rsidRPr="00635A81" w:rsidRDefault="00241EA9" w:rsidP="00B546A3">
            <w:pPr>
              <w:pStyle w:val="tablerowtext"/>
              <w:jc w:val="left"/>
              <w:rPr>
                <w:color w:val="7A0019" w:themeColor="accent1"/>
              </w:rPr>
            </w:pPr>
            <w:r>
              <w:rPr>
                <w:color w:val="7A0019" w:themeColor="accent1"/>
              </w:rPr>
              <w:t>High</w:t>
            </w:r>
          </w:p>
        </w:tc>
        <w:tc>
          <w:tcPr>
            <w:tcW w:w="1440" w:type="dxa"/>
            <w:vAlign w:val="center"/>
          </w:tcPr>
          <w:p w14:paraId="11539C65" w14:textId="77777777" w:rsidR="00241EA9" w:rsidRPr="00635A81" w:rsidRDefault="00241EA9" w:rsidP="00B546A3">
            <w:pPr>
              <w:pStyle w:val="tablerowtext"/>
              <w:rPr>
                <w:color w:val="7A0019" w:themeColor="accent1"/>
              </w:rPr>
            </w:pPr>
            <w:r w:rsidRPr="00CE4524">
              <w:t>V2</w:t>
            </w:r>
            <w:r>
              <w:t xml:space="preserve">: </w:t>
            </w:r>
            <w:r>
              <w:br/>
              <w:t>IDC tolerant</w:t>
            </w:r>
          </w:p>
        </w:tc>
        <w:tc>
          <w:tcPr>
            <w:tcW w:w="1440" w:type="dxa"/>
            <w:vAlign w:val="center"/>
          </w:tcPr>
          <w:p w14:paraId="4FA386E3" w14:textId="77777777" w:rsidR="00241EA9" w:rsidRPr="00635A81" w:rsidRDefault="00241EA9" w:rsidP="00B546A3">
            <w:pPr>
              <w:pStyle w:val="tablerowtext"/>
              <w:rPr>
                <w:color w:val="7A0019" w:themeColor="accent1"/>
              </w:rPr>
            </w:pPr>
            <w:r w:rsidRPr="00CE4524">
              <w:t>16.6</w:t>
            </w:r>
          </w:p>
        </w:tc>
        <w:tc>
          <w:tcPr>
            <w:tcW w:w="1440" w:type="dxa"/>
            <w:vAlign w:val="center"/>
          </w:tcPr>
          <w:p w14:paraId="4F7A9525" w14:textId="77777777" w:rsidR="00241EA9" w:rsidRPr="00635A81" w:rsidRDefault="00241EA9" w:rsidP="00B546A3">
            <w:pPr>
              <w:pStyle w:val="tablerowtext"/>
              <w:rPr>
                <w:color w:val="7A0019" w:themeColor="accent1"/>
              </w:rPr>
            </w:pPr>
            <w:r w:rsidRPr="00CE4524">
              <w:t>26.5</w:t>
            </w:r>
          </w:p>
        </w:tc>
        <w:tc>
          <w:tcPr>
            <w:tcW w:w="1440" w:type="dxa"/>
            <w:vAlign w:val="center"/>
          </w:tcPr>
          <w:p w14:paraId="2CB88EC0" w14:textId="77777777" w:rsidR="00241EA9" w:rsidRPr="00635A81" w:rsidRDefault="00241EA9" w:rsidP="00B546A3">
            <w:pPr>
              <w:pStyle w:val="tablerowtext"/>
              <w:rPr>
                <w:color w:val="7A0019" w:themeColor="accent1"/>
              </w:rPr>
            </w:pPr>
            <w:r w:rsidRPr="00CE4524">
              <w:t>23.2</w:t>
            </w:r>
          </w:p>
        </w:tc>
        <w:tc>
          <w:tcPr>
            <w:tcW w:w="1440" w:type="dxa"/>
            <w:vAlign w:val="center"/>
          </w:tcPr>
          <w:p w14:paraId="3F491B37" w14:textId="77777777" w:rsidR="00241EA9" w:rsidRPr="00635A81" w:rsidRDefault="00241EA9" w:rsidP="00B546A3">
            <w:pPr>
              <w:pStyle w:val="tablerowtext"/>
              <w:rPr>
                <w:color w:val="7A0019" w:themeColor="accent1"/>
              </w:rPr>
            </w:pPr>
            <w:r w:rsidRPr="00CE4524">
              <w:t>31.8</w:t>
            </w:r>
          </w:p>
        </w:tc>
      </w:tr>
    </w:tbl>
    <w:p w14:paraId="60B781EB" w14:textId="77777777" w:rsidR="00241EA9" w:rsidRDefault="00241EA9" w:rsidP="00241EA9">
      <w:pPr>
        <w:pStyle w:val="footnotetextextension"/>
      </w:pPr>
    </w:p>
    <w:bookmarkEnd w:id="0"/>
    <w:p w14:paraId="53B7DCAE" w14:textId="61E4F514" w:rsidR="005D7FC5" w:rsidRDefault="000E3B74" w:rsidP="000E3B74">
      <w:pPr>
        <w:pStyle w:val="Bullet"/>
      </w:pPr>
      <w:r>
        <w:t xml:space="preserve">Soybean variety selection is important. If you have a field with a </w:t>
      </w:r>
      <w:r w:rsidR="005E79F0">
        <w:t xml:space="preserve">history </w:t>
      </w:r>
      <w:r>
        <w:t xml:space="preserve">of IDC, choose the most tolerant variety possible. Recent field research indicates that tolerant varieties have greater yield </w:t>
      </w:r>
      <w:r w:rsidR="005E79F0">
        <w:t>where</w:t>
      </w:r>
      <w:r>
        <w:t xml:space="preserve"> IDC is </w:t>
      </w:r>
      <w:r w:rsidR="005E79F0">
        <w:t xml:space="preserve">a </w:t>
      </w:r>
      <w:r>
        <w:t>problem</w:t>
      </w:r>
      <w:r w:rsidR="005E79F0">
        <w:t>,</w:t>
      </w:r>
      <w:r>
        <w:t xml:space="preserve"> but even higher yields can be achieved when combined </w:t>
      </w:r>
      <w:r>
        <w:lastRenderedPageBreak/>
        <w:t xml:space="preserve">with treatments used to decrease the severity of IDC </w:t>
      </w:r>
      <w:r w:rsidR="00D709D6">
        <w:t xml:space="preserve">(see </w:t>
      </w:r>
      <w:r>
        <w:t xml:space="preserve">Table </w:t>
      </w:r>
      <w:r w:rsidR="003D2E8D">
        <w:t>IDC-</w:t>
      </w:r>
      <w:r>
        <w:t>2). A tolerant variety, however, should be the first line of defense against IDC.</w:t>
      </w:r>
    </w:p>
    <w:p w14:paraId="6F95D9D6" w14:textId="327F7DF1" w:rsidR="006B4A83" w:rsidRDefault="006B4A83" w:rsidP="00DF2BE4">
      <w:pPr>
        <w:pStyle w:val="Bullet"/>
      </w:pPr>
      <w:r>
        <w:t xml:space="preserve">Use a companion crop, particularly where soil nitrate </w:t>
      </w:r>
      <w:r w:rsidR="005E79F0">
        <w:t xml:space="preserve">may </w:t>
      </w:r>
      <w:r>
        <w:t xml:space="preserve">be high. The companion crop in these situations can </w:t>
      </w:r>
      <w:r w:rsidR="005E79F0">
        <w:t xml:space="preserve">take up </w:t>
      </w:r>
      <w:r>
        <w:t xml:space="preserve">the excess soil nitrate </w:t>
      </w:r>
      <w:r w:rsidR="005E79F0">
        <w:t>while drying</w:t>
      </w:r>
      <w:r>
        <w:t xml:space="preserve"> moist soil to reduce bicarbonate</w:t>
      </w:r>
      <w:r w:rsidR="005E79F0">
        <w:t xml:space="preserve"> levels</w:t>
      </w:r>
      <w:r>
        <w:t>. The use of a companion crop such as oat seeded at a 1.5 bushel per acre rate at or before soybean planting has been shown to increase soybean grain yield in IDC affected areas of the field. This practice does require extra managemen</w:t>
      </w:r>
      <w:r w:rsidR="005E79F0">
        <w:t xml:space="preserve">t, and oat </w:t>
      </w:r>
      <w:r>
        <w:t xml:space="preserve">must be </w:t>
      </w:r>
      <w:r w:rsidR="00241EA9">
        <w:t>terminated</w:t>
      </w:r>
      <w:r>
        <w:t xml:space="preserve"> by the time it is 10</w:t>
      </w:r>
      <w:r w:rsidR="005E79F0">
        <w:t>-</w:t>
      </w:r>
      <w:r>
        <w:t>12 inch</w:t>
      </w:r>
      <w:r w:rsidR="00241EA9">
        <w:t>es in</w:t>
      </w:r>
      <w:r>
        <w:t xml:space="preserve"> </w:t>
      </w:r>
      <w:r w:rsidR="005E79F0">
        <w:t>h</w:t>
      </w:r>
      <w:r w:rsidR="00241EA9">
        <w:t>eight</w:t>
      </w:r>
      <w:r>
        <w:t xml:space="preserve">. </w:t>
      </w:r>
      <w:r w:rsidR="005E79F0">
        <w:t xml:space="preserve">Delays </w:t>
      </w:r>
      <w:r w:rsidR="005A2C09">
        <w:t xml:space="preserve">in termination </w:t>
      </w:r>
      <w:r w:rsidR="005E79F0">
        <w:t xml:space="preserve">exacerbate </w:t>
      </w:r>
      <w:r>
        <w:t xml:space="preserve">drought </w:t>
      </w:r>
      <w:r w:rsidR="005E79F0">
        <w:t xml:space="preserve">stress </w:t>
      </w:r>
      <w:r>
        <w:t xml:space="preserve">and </w:t>
      </w:r>
      <w:r w:rsidR="005A2C09">
        <w:t xml:space="preserve">early termination does </w:t>
      </w:r>
      <w:r>
        <w:t xml:space="preserve">not allow </w:t>
      </w:r>
      <w:r w:rsidR="005A2C09">
        <w:t xml:space="preserve">time for </w:t>
      </w:r>
      <w:r w:rsidR="005E79F0">
        <w:t>sufficient</w:t>
      </w:r>
      <w:r>
        <w:t xml:space="preserve"> nitrate uptake or soil moisture </w:t>
      </w:r>
      <w:r w:rsidR="005E79F0">
        <w:t>reduction</w:t>
      </w:r>
      <w:r w:rsidR="005A2C09">
        <w:t xml:space="preserve"> by the companion crop</w:t>
      </w:r>
      <w:r w:rsidR="005E79F0">
        <w:t xml:space="preserve"> </w:t>
      </w:r>
      <w:r>
        <w:t xml:space="preserve">(Table </w:t>
      </w:r>
      <w:r w:rsidR="003D2E8D">
        <w:t>IDC-</w:t>
      </w:r>
      <w:r>
        <w:t xml:space="preserve">3 and Figure </w:t>
      </w:r>
      <w:r w:rsidR="00685733">
        <w:t>IDC-4</w:t>
      </w:r>
      <w:r>
        <w:t>).</w:t>
      </w:r>
    </w:p>
    <w:p w14:paraId="765738A6" w14:textId="618A7454" w:rsidR="000E3B74" w:rsidRDefault="000E3B74" w:rsidP="00DF2BE4">
      <w:pPr>
        <w:pStyle w:val="TableTitleExtension"/>
      </w:pPr>
      <w:r>
        <w:t xml:space="preserve">Table </w:t>
      </w:r>
      <w:r w:rsidR="003D2E8D">
        <w:t>IDC-</w:t>
      </w:r>
      <w:r>
        <w:t>3. The effect on soybean grain of oat companion crop killing time.</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72" w:type="dxa"/>
          <w:left w:w="72" w:type="dxa"/>
          <w:bottom w:w="72" w:type="dxa"/>
          <w:right w:w="72" w:type="dxa"/>
        </w:tblCellMar>
        <w:tblLook w:val="04A0" w:firstRow="1" w:lastRow="0" w:firstColumn="1" w:lastColumn="0" w:noHBand="0" w:noVBand="1"/>
      </w:tblPr>
      <w:tblGrid>
        <w:gridCol w:w="1152"/>
        <w:gridCol w:w="1440"/>
        <w:gridCol w:w="1440"/>
        <w:gridCol w:w="1440"/>
      </w:tblGrid>
      <w:tr w:rsidR="00DF2BE4" w14:paraId="3E147FC1" w14:textId="77777777" w:rsidTr="00872A54">
        <w:tc>
          <w:tcPr>
            <w:tcW w:w="1152" w:type="dxa"/>
            <w:shd w:val="clear" w:color="auto" w:fill="7A0019" w:themeFill="accent1"/>
            <w:vAlign w:val="center"/>
          </w:tcPr>
          <w:p w14:paraId="49AD79B3" w14:textId="46F5F8E0" w:rsidR="00DF2BE4" w:rsidRPr="0028322A" w:rsidRDefault="00DF2BE4" w:rsidP="00F76537">
            <w:pPr>
              <w:pStyle w:val="Tablecolumnheader"/>
              <w:jc w:val="left"/>
            </w:pPr>
            <w:r w:rsidRPr="00DF2BE4">
              <w:t>Stage of oat growth</w:t>
            </w:r>
          </w:p>
        </w:tc>
        <w:tc>
          <w:tcPr>
            <w:tcW w:w="1440" w:type="dxa"/>
            <w:shd w:val="clear" w:color="auto" w:fill="7A0019" w:themeFill="accent1"/>
            <w:vAlign w:val="center"/>
          </w:tcPr>
          <w:p w14:paraId="10CABAC0" w14:textId="3968CED3" w:rsidR="00DF2BE4" w:rsidRPr="0028322A" w:rsidRDefault="00DF2BE4" w:rsidP="00F76537">
            <w:pPr>
              <w:pStyle w:val="Tablecolumnheader"/>
            </w:pPr>
            <w:r>
              <w:t>K07 grain yield (</w:t>
            </w:r>
            <w:r w:rsidR="009B1482">
              <w:t>bu</w:t>
            </w:r>
            <w:r>
              <w:t>/acre)</w:t>
            </w:r>
          </w:p>
        </w:tc>
        <w:tc>
          <w:tcPr>
            <w:tcW w:w="1440" w:type="dxa"/>
            <w:shd w:val="clear" w:color="auto" w:fill="7A0019" w:themeFill="accent1"/>
            <w:vAlign w:val="center"/>
          </w:tcPr>
          <w:p w14:paraId="4C6B2167" w14:textId="3A1DC1F2" w:rsidR="00DF2BE4" w:rsidRPr="0028322A" w:rsidRDefault="00DF2BE4" w:rsidP="00F76537">
            <w:pPr>
              <w:pStyle w:val="Tablecolumnheader"/>
            </w:pPr>
            <w:r>
              <w:t>C09 grain yield (</w:t>
            </w:r>
            <w:r w:rsidR="009B1482">
              <w:t>bu</w:t>
            </w:r>
            <w:r>
              <w:t>/acre)</w:t>
            </w:r>
          </w:p>
        </w:tc>
        <w:tc>
          <w:tcPr>
            <w:tcW w:w="1440" w:type="dxa"/>
            <w:shd w:val="clear" w:color="auto" w:fill="7A0019" w:themeFill="accent1"/>
            <w:vAlign w:val="center"/>
          </w:tcPr>
          <w:p w14:paraId="44ED5B76" w14:textId="5CC45FD2" w:rsidR="00DF2BE4" w:rsidRPr="0028322A" w:rsidRDefault="00DF2BE4" w:rsidP="00F76537">
            <w:pPr>
              <w:pStyle w:val="Tablecolumnheader"/>
            </w:pPr>
            <w:r>
              <w:t>R09 grain yield (</w:t>
            </w:r>
            <w:r w:rsidR="009B1482">
              <w:t>bu</w:t>
            </w:r>
            <w:r>
              <w:t>/acre)</w:t>
            </w:r>
          </w:p>
        </w:tc>
      </w:tr>
      <w:tr w:rsidR="00DF2BE4" w:rsidRPr="00635A81" w14:paraId="4401DD72" w14:textId="77777777" w:rsidTr="00872A54">
        <w:tc>
          <w:tcPr>
            <w:tcW w:w="1152" w:type="dxa"/>
            <w:vAlign w:val="center"/>
          </w:tcPr>
          <w:p w14:paraId="3375D446" w14:textId="4B72DA90" w:rsidR="00DF2BE4" w:rsidRPr="00635A81" w:rsidRDefault="00DF2BE4" w:rsidP="00872A54">
            <w:pPr>
              <w:pStyle w:val="tablerowtext"/>
              <w:jc w:val="left"/>
              <w:rPr>
                <w:color w:val="7A0019" w:themeColor="accent1"/>
              </w:rPr>
            </w:pPr>
            <w:r w:rsidRPr="00427944">
              <w:t>No oats</w:t>
            </w:r>
          </w:p>
        </w:tc>
        <w:tc>
          <w:tcPr>
            <w:tcW w:w="1440" w:type="dxa"/>
            <w:vAlign w:val="center"/>
          </w:tcPr>
          <w:p w14:paraId="78866EA0" w14:textId="3F7DFB8F" w:rsidR="00DF2BE4" w:rsidRPr="00635A81" w:rsidRDefault="00DF2BE4" w:rsidP="00872A54">
            <w:pPr>
              <w:pStyle w:val="tablerowtext"/>
              <w:rPr>
                <w:color w:val="7A0019" w:themeColor="accent1"/>
              </w:rPr>
            </w:pPr>
            <w:r w:rsidRPr="00427944">
              <w:t>17</w:t>
            </w:r>
          </w:p>
        </w:tc>
        <w:tc>
          <w:tcPr>
            <w:tcW w:w="1440" w:type="dxa"/>
            <w:vAlign w:val="center"/>
          </w:tcPr>
          <w:p w14:paraId="584EF067" w14:textId="2CAFE896" w:rsidR="00DF2BE4" w:rsidRPr="00635A81" w:rsidRDefault="00DF2BE4" w:rsidP="00872A54">
            <w:pPr>
              <w:pStyle w:val="tablerowtext"/>
              <w:rPr>
                <w:color w:val="7A0019" w:themeColor="accent1"/>
              </w:rPr>
            </w:pPr>
            <w:r w:rsidRPr="00427944">
              <w:t>51</w:t>
            </w:r>
          </w:p>
        </w:tc>
        <w:tc>
          <w:tcPr>
            <w:tcW w:w="1440" w:type="dxa"/>
            <w:vAlign w:val="center"/>
          </w:tcPr>
          <w:p w14:paraId="6769780E" w14:textId="3D400EEE" w:rsidR="00DF2BE4" w:rsidRPr="00635A81" w:rsidRDefault="00DF2BE4" w:rsidP="00872A54">
            <w:pPr>
              <w:pStyle w:val="tablerowtext"/>
              <w:rPr>
                <w:color w:val="7A0019" w:themeColor="accent1"/>
              </w:rPr>
            </w:pPr>
            <w:r w:rsidRPr="00427944">
              <w:t>36</w:t>
            </w:r>
          </w:p>
        </w:tc>
      </w:tr>
      <w:tr w:rsidR="00DF2BE4" w:rsidRPr="00635A81" w14:paraId="6836F24B" w14:textId="77777777" w:rsidTr="00872A54">
        <w:tc>
          <w:tcPr>
            <w:tcW w:w="1152" w:type="dxa"/>
            <w:vAlign w:val="center"/>
          </w:tcPr>
          <w:p w14:paraId="169926A6" w14:textId="000BAF04" w:rsidR="00DF2BE4" w:rsidRPr="00635A81" w:rsidRDefault="00DF2BE4" w:rsidP="00872A54">
            <w:pPr>
              <w:pStyle w:val="tablerowtext"/>
              <w:jc w:val="left"/>
              <w:rPr>
                <w:color w:val="7A0019" w:themeColor="accent1"/>
              </w:rPr>
            </w:pPr>
            <w:r w:rsidRPr="00427944">
              <w:t>6 inches tall</w:t>
            </w:r>
          </w:p>
        </w:tc>
        <w:tc>
          <w:tcPr>
            <w:tcW w:w="1440" w:type="dxa"/>
            <w:vAlign w:val="center"/>
          </w:tcPr>
          <w:p w14:paraId="3585809B" w14:textId="20F792CB" w:rsidR="00DF2BE4" w:rsidRPr="00635A81" w:rsidRDefault="00DF2BE4" w:rsidP="00872A54">
            <w:pPr>
              <w:pStyle w:val="tablerowtext"/>
              <w:rPr>
                <w:color w:val="7A0019" w:themeColor="accent1"/>
              </w:rPr>
            </w:pPr>
            <w:r w:rsidRPr="00427944">
              <w:t>14</w:t>
            </w:r>
          </w:p>
        </w:tc>
        <w:tc>
          <w:tcPr>
            <w:tcW w:w="1440" w:type="dxa"/>
            <w:vAlign w:val="center"/>
          </w:tcPr>
          <w:p w14:paraId="5DA37D38" w14:textId="7B6214E3" w:rsidR="00DF2BE4" w:rsidRPr="00635A81" w:rsidRDefault="00DF2BE4" w:rsidP="00872A54">
            <w:pPr>
              <w:pStyle w:val="tablerowtext"/>
              <w:rPr>
                <w:color w:val="7A0019" w:themeColor="accent1"/>
              </w:rPr>
            </w:pPr>
            <w:r w:rsidRPr="00427944">
              <w:t>52</w:t>
            </w:r>
          </w:p>
        </w:tc>
        <w:tc>
          <w:tcPr>
            <w:tcW w:w="1440" w:type="dxa"/>
            <w:vAlign w:val="center"/>
          </w:tcPr>
          <w:p w14:paraId="6407AF0C" w14:textId="2ACC578B" w:rsidR="00DF2BE4" w:rsidRPr="00635A81" w:rsidRDefault="00DF2BE4" w:rsidP="00872A54">
            <w:pPr>
              <w:pStyle w:val="tablerowtext"/>
              <w:rPr>
                <w:color w:val="7A0019" w:themeColor="accent1"/>
              </w:rPr>
            </w:pPr>
            <w:r w:rsidRPr="00427944">
              <w:t>40</w:t>
            </w:r>
          </w:p>
        </w:tc>
      </w:tr>
      <w:tr w:rsidR="00DF2BE4" w:rsidRPr="00635A81" w14:paraId="52DCCC7D" w14:textId="77777777" w:rsidTr="00872A54">
        <w:tc>
          <w:tcPr>
            <w:tcW w:w="1152" w:type="dxa"/>
            <w:vAlign w:val="center"/>
          </w:tcPr>
          <w:p w14:paraId="1EFA1CD0" w14:textId="51742C5A" w:rsidR="00DF2BE4" w:rsidRPr="00635A81" w:rsidRDefault="00DF2BE4" w:rsidP="00872A54">
            <w:pPr>
              <w:pStyle w:val="tablerowtext"/>
              <w:jc w:val="left"/>
              <w:rPr>
                <w:color w:val="7A0019" w:themeColor="accent1"/>
              </w:rPr>
            </w:pPr>
            <w:r w:rsidRPr="00427944">
              <w:t>12 inches tall</w:t>
            </w:r>
          </w:p>
        </w:tc>
        <w:tc>
          <w:tcPr>
            <w:tcW w:w="1440" w:type="dxa"/>
            <w:vAlign w:val="center"/>
          </w:tcPr>
          <w:p w14:paraId="5A1BB0B1" w14:textId="687CAB33" w:rsidR="00DF2BE4" w:rsidRPr="00635A81" w:rsidRDefault="00DF2BE4" w:rsidP="00872A54">
            <w:pPr>
              <w:pStyle w:val="tablerowtext"/>
              <w:rPr>
                <w:color w:val="7A0019" w:themeColor="accent1"/>
              </w:rPr>
            </w:pPr>
            <w:r w:rsidRPr="00427944">
              <w:t>35</w:t>
            </w:r>
          </w:p>
        </w:tc>
        <w:tc>
          <w:tcPr>
            <w:tcW w:w="1440" w:type="dxa"/>
            <w:vAlign w:val="center"/>
          </w:tcPr>
          <w:p w14:paraId="73565C20" w14:textId="27E5D3DA" w:rsidR="00DF2BE4" w:rsidRPr="00635A81" w:rsidRDefault="00DF2BE4" w:rsidP="00872A54">
            <w:pPr>
              <w:pStyle w:val="tablerowtext"/>
              <w:rPr>
                <w:color w:val="7A0019" w:themeColor="accent1"/>
              </w:rPr>
            </w:pPr>
            <w:r w:rsidRPr="00427944">
              <w:t>53</w:t>
            </w:r>
          </w:p>
        </w:tc>
        <w:tc>
          <w:tcPr>
            <w:tcW w:w="1440" w:type="dxa"/>
            <w:vAlign w:val="center"/>
          </w:tcPr>
          <w:p w14:paraId="5319320F" w14:textId="2921EBDC" w:rsidR="00DF2BE4" w:rsidRPr="00635A81" w:rsidRDefault="00DF2BE4" w:rsidP="00872A54">
            <w:pPr>
              <w:pStyle w:val="tablerowtext"/>
              <w:rPr>
                <w:color w:val="7A0019" w:themeColor="accent1"/>
              </w:rPr>
            </w:pPr>
            <w:r w:rsidRPr="00427944">
              <w:t>41</w:t>
            </w:r>
          </w:p>
        </w:tc>
      </w:tr>
      <w:tr w:rsidR="00DF2BE4" w:rsidRPr="00635A81" w14:paraId="1B4DC22F" w14:textId="77777777" w:rsidTr="00872A54">
        <w:tc>
          <w:tcPr>
            <w:tcW w:w="1152" w:type="dxa"/>
            <w:vAlign w:val="center"/>
          </w:tcPr>
          <w:p w14:paraId="7B9DA6E8" w14:textId="6D9D3811" w:rsidR="00DF2BE4" w:rsidRPr="00635A81" w:rsidRDefault="00DF2BE4" w:rsidP="00872A54">
            <w:pPr>
              <w:pStyle w:val="tablerowtext"/>
              <w:jc w:val="left"/>
              <w:rPr>
                <w:color w:val="7A0019" w:themeColor="accent1"/>
              </w:rPr>
            </w:pPr>
            <w:r w:rsidRPr="00427944">
              <w:t>Heading</w:t>
            </w:r>
          </w:p>
        </w:tc>
        <w:tc>
          <w:tcPr>
            <w:tcW w:w="1440" w:type="dxa"/>
            <w:vAlign w:val="center"/>
          </w:tcPr>
          <w:p w14:paraId="5D4BE336" w14:textId="2A0466F8" w:rsidR="00DF2BE4" w:rsidRPr="00635A81" w:rsidRDefault="00DF2BE4" w:rsidP="00872A54">
            <w:pPr>
              <w:pStyle w:val="tablerowtext"/>
              <w:rPr>
                <w:color w:val="7A0019" w:themeColor="accent1"/>
              </w:rPr>
            </w:pPr>
            <w:r w:rsidRPr="00427944">
              <w:t>24</w:t>
            </w:r>
          </w:p>
        </w:tc>
        <w:tc>
          <w:tcPr>
            <w:tcW w:w="1440" w:type="dxa"/>
            <w:vAlign w:val="center"/>
          </w:tcPr>
          <w:p w14:paraId="435875DE" w14:textId="3CBE4FF5" w:rsidR="00DF2BE4" w:rsidRPr="00635A81" w:rsidRDefault="00DF2BE4" w:rsidP="00872A54">
            <w:pPr>
              <w:pStyle w:val="tablerowtext"/>
              <w:rPr>
                <w:color w:val="7A0019" w:themeColor="accent1"/>
              </w:rPr>
            </w:pPr>
            <w:r w:rsidRPr="00427944">
              <w:t>49</w:t>
            </w:r>
          </w:p>
        </w:tc>
        <w:tc>
          <w:tcPr>
            <w:tcW w:w="1440" w:type="dxa"/>
            <w:vAlign w:val="center"/>
          </w:tcPr>
          <w:p w14:paraId="33AEAB07" w14:textId="7A05AA5F" w:rsidR="00DF2BE4" w:rsidRPr="00635A81" w:rsidRDefault="00DF2BE4" w:rsidP="00872A54">
            <w:pPr>
              <w:pStyle w:val="tablerowtext"/>
              <w:rPr>
                <w:color w:val="7A0019" w:themeColor="accent1"/>
              </w:rPr>
            </w:pPr>
            <w:r w:rsidRPr="00427944">
              <w:t>34</w:t>
            </w:r>
          </w:p>
        </w:tc>
      </w:tr>
    </w:tbl>
    <w:p w14:paraId="500C59B2" w14:textId="773B0B19" w:rsidR="00DF2BE4" w:rsidRDefault="00DF2BE4" w:rsidP="00DF2BE4">
      <w:pPr>
        <w:pStyle w:val="footnotetextextension"/>
      </w:pPr>
    </w:p>
    <w:p w14:paraId="2F25A988" w14:textId="4B3F0538" w:rsidR="007216DE" w:rsidRDefault="007216DE" w:rsidP="007216DE">
      <w:pPr>
        <w:pStyle w:val="TableTitleExtension"/>
      </w:pPr>
      <w:r>
        <w:t xml:space="preserve">Figure IDC-4. The effect of nitrate-N and companion crop on IDC severity and soybean growth.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8" w:type="dxa"/>
          <w:right w:w="58" w:type="dxa"/>
        </w:tblCellMar>
        <w:tblLook w:val="04A0" w:firstRow="1" w:lastRow="0" w:firstColumn="1" w:lastColumn="0" w:noHBand="0" w:noVBand="1"/>
      </w:tblPr>
      <w:tblGrid>
        <w:gridCol w:w="2517"/>
        <w:gridCol w:w="2517"/>
        <w:gridCol w:w="2518"/>
        <w:gridCol w:w="2518"/>
      </w:tblGrid>
      <w:tr w:rsidR="00DF2BE4" w14:paraId="466B88A5" w14:textId="77777777" w:rsidTr="0001339A">
        <w:tc>
          <w:tcPr>
            <w:tcW w:w="2517" w:type="dxa"/>
          </w:tcPr>
          <w:p w14:paraId="788C07FF" w14:textId="4672769B" w:rsidR="00DF2BE4" w:rsidRDefault="0001339A" w:rsidP="00DF2BE4">
            <w:pPr>
              <w:pStyle w:val="footnotetextextension"/>
            </w:pPr>
            <w:r>
              <w:rPr>
                <w:noProof/>
              </w:rPr>
              <mc:AlternateContent>
                <mc:Choice Requires="wps">
                  <w:drawing>
                    <wp:anchor distT="0" distB="0" distL="114300" distR="114300" simplePos="0" relativeHeight="251672576" behindDoc="0" locked="0" layoutInCell="1" allowOverlap="1" wp14:anchorId="6E2D2F96" wp14:editId="1FEC7D6A">
                      <wp:simplePos x="0" y="0"/>
                      <wp:positionH relativeFrom="column">
                        <wp:posOffset>55245</wp:posOffset>
                      </wp:positionH>
                      <wp:positionV relativeFrom="paragraph">
                        <wp:posOffset>1428750</wp:posOffset>
                      </wp:positionV>
                      <wp:extent cx="182880" cy="182880"/>
                      <wp:effectExtent l="0" t="0" r="0" b="0"/>
                      <wp:wrapNone/>
                      <wp:docPr id="10" name="Oval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82880" cy="182880"/>
                              </a:xfrm>
                              <a:prstGeom prst="ellipse">
                                <a:avLst/>
                              </a:prstGeom>
                              <a:solidFill>
                                <a:schemeClr val="accent1"/>
                              </a:solidFill>
                              <a:ln>
                                <a:noFill/>
                              </a:ln>
                              <a:effectLst/>
                            </wps:spPr>
                            <wps:style>
                              <a:lnRef idx="1">
                                <a:schemeClr val="accent1"/>
                              </a:lnRef>
                              <a:fillRef idx="3">
                                <a:schemeClr val="accent1"/>
                              </a:fillRef>
                              <a:effectRef idx="2">
                                <a:schemeClr val="accent1"/>
                              </a:effectRef>
                              <a:fontRef idx="minor">
                                <a:schemeClr val="lt1"/>
                              </a:fontRef>
                            </wps:style>
                            <wps:txbx>
                              <w:txbxContent>
                                <w:p w14:paraId="6FC2AF51" w14:textId="38DDA360" w:rsidR="0001339A" w:rsidRPr="0001339A" w:rsidRDefault="0001339A" w:rsidP="0001339A">
                                  <w:pPr>
                                    <w:jc w:val="center"/>
                                    <w:rPr>
                                      <w:rFonts w:ascii="Arial" w:hAnsi="Arial" w:cs="Arial"/>
                                      <w:b/>
                                      <w:bCs/>
                                      <w:sz w:val="16"/>
                                      <w:szCs w:val="16"/>
                                    </w:rPr>
                                  </w:pPr>
                                  <w:r w:rsidRPr="0001339A">
                                    <w:rPr>
                                      <w:rFonts w:ascii="Arial" w:hAnsi="Arial" w:cs="Arial"/>
                                      <w:b/>
                                      <w:bCs/>
                                      <w:sz w:val="16"/>
                                      <w:szCs w:val="16"/>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oval w14:anchorId="6E2D2F96" id="Oval 10" o:spid="_x0000_s1029" style="position:absolute;margin-left:4.35pt;margin-top:112.5pt;width:14.4pt;height:14.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" fillcolor="#7a0019 [3204]" stroked="f">
                      <o:lock v:ext="edit" aspectratio="t"/>
                      <v:textbox inset="0,0,0,0">
                        <w:txbxContent>
                          <w:p w14:paraId="6FC2AF51" w14:textId="38DDA360" w:rsidR="0001339A" w:rsidRPr="0001339A" w:rsidRDefault="0001339A" w:rsidP="0001339A">
                            <w:pPr>
                              <w:jc w:val="center"/>
                              <w:rPr>
                                <w:rFonts w:ascii="Arial" w:hAnsi="Arial" w:cs="Arial"/>
                                <w:b/>
                                <w:bCs/>
                                <w:sz w:val="16"/>
                                <w:szCs w:val="16"/>
                              </w:rPr>
                            </w:pPr>
                            <w:r w:rsidRPr="0001339A">
                              <w:rPr>
                                <w:rFonts w:ascii="Arial" w:hAnsi="Arial" w:cs="Arial"/>
                                <w:b/>
                                <w:bCs/>
                                <w:sz w:val="16"/>
                                <w:szCs w:val="16"/>
                              </w:rPr>
                              <w:t>1</w:t>
                            </w:r>
                          </w:p>
                        </w:txbxContent>
                      </v:textbox>
                    </v:oval>
                  </w:pict>
                </mc:Fallback>
              </mc:AlternateContent>
            </w:r>
            <w:r w:rsidR="00DF2BE4">
              <w:rPr>
                <w:noProof/>
              </w:rPr>
              <w:drawing>
                <wp:inline distT="0" distB="0" distL="0" distR="0" wp14:anchorId="12D1136E" wp14:editId="417628B7">
                  <wp:extent cx="1463040" cy="1645347"/>
                  <wp:effectExtent l="0" t="0" r="0" b="5715"/>
                  <wp:docPr id="2" name="Picture 2" descr="A row of soybeans gro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row of soybeans growing"/>
                          <pic:cNvPicPr/>
                        </pic:nvPicPr>
                        <pic:blipFill rotWithShape="1">
                          <a:blip r:embed="rId11" cstate="print">
                            <a:extLst>
                              <a:ext uri="{28A0092B-C50C-407E-A947-70E740481C1C}">
                                <a14:useLocalDpi xmlns:a14="http://schemas.microsoft.com/office/drawing/2010/main" val="0"/>
                              </a:ext>
                            </a:extLst>
                          </a:blip>
                          <a:srcRect/>
                          <a:stretch/>
                        </pic:blipFill>
                        <pic:spPr bwMode="auto">
                          <a:xfrm>
                            <a:off x="0" y="0"/>
                            <a:ext cx="1463550" cy="1645920"/>
                          </a:xfrm>
                          <a:prstGeom prst="rect">
                            <a:avLst/>
                          </a:prstGeom>
                          <a:ln>
                            <a:noFill/>
                          </a:ln>
                          <a:extLst>
                            <a:ext uri="{53640926-AAD7-44D8-BBD7-CCE9431645EC}">
                              <a14:shadowObscured xmlns:a14="http://schemas.microsoft.com/office/drawing/2010/main"/>
                            </a:ext>
                          </a:extLst>
                        </pic:spPr>
                      </pic:pic>
                    </a:graphicData>
                  </a:graphic>
                </wp:inline>
              </w:drawing>
            </w:r>
          </w:p>
        </w:tc>
        <w:tc>
          <w:tcPr>
            <w:tcW w:w="2517" w:type="dxa"/>
          </w:tcPr>
          <w:p w14:paraId="2F1BAAEA" w14:textId="2EF87987" w:rsidR="00DF2BE4" w:rsidRDefault="0001339A" w:rsidP="00DF2BE4">
            <w:pPr>
              <w:pStyle w:val="footnotetextextension"/>
            </w:pPr>
            <w:r>
              <w:rPr>
                <w:noProof/>
              </w:rPr>
              <mc:AlternateContent>
                <mc:Choice Requires="wps">
                  <w:drawing>
                    <wp:anchor distT="0" distB="0" distL="114300" distR="114300" simplePos="0" relativeHeight="251674624" behindDoc="0" locked="0" layoutInCell="1" allowOverlap="1" wp14:anchorId="05BCF341" wp14:editId="4E9414B6">
                      <wp:simplePos x="0" y="0"/>
                      <wp:positionH relativeFrom="column">
                        <wp:posOffset>71120</wp:posOffset>
                      </wp:positionH>
                      <wp:positionV relativeFrom="paragraph">
                        <wp:posOffset>1428750</wp:posOffset>
                      </wp:positionV>
                      <wp:extent cx="182880" cy="182880"/>
                      <wp:effectExtent l="0" t="0" r="0" b="0"/>
                      <wp:wrapNone/>
                      <wp:docPr id="11" name="Oval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82880" cy="182880"/>
                              </a:xfrm>
                              <a:prstGeom prst="ellipse">
                                <a:avLst/>
                              </a:prstGeom>
                              <a:solidFill>
                                <a:schemeClr val="accent1"/>
                              </a:solidFill>
                              <a:ln>
                                <a:noFill/>
                              </a:ln>
                              <a:effectLst/>
                            </wps:spPr>
                            <wps:style>
                              <a:lnRef idx="1">
                                <a:schemeClr val="accent1"/>
                              </a:lnRef>
                              <a:fillRef idx="3">
                                <a:schemeClr val="accent1"/>
                              </a:fillRef>
                              <a:effectRef idx="2">
                                <a:schemeClr val="accent1"/>
                              </a:effectRef>
                              <a:fontRef idx="minor">
                                <a:schemeClr val="lt1"/>
                              </a:fontRef>
                            </wps:style>
                            <wps:txbx>
                              <w:txbxContent>
                                <w:p w14:paraId="591FAD0E" w14:textId="515DB0AD" w:rsidR="0001339A" w:rsidRPr="0001339A" w:rsidRDefault="0001339A" w:rsidP="0001339A">
                                  <w:pPr>
                                    <w:jc w:val="center"/>
                                    <w:rPr>
                                      <w:rFonts w:ascii="Arial" w:hAnsi="Arial" w:cs="Arial"/>
                                      <w:b/>
                                      <w:bCs/>
                                      <w:sz w:val="16"/>
                                      <w:szCs w:val="16"/>
                                    </w:rPr>
                                  </w:pPr>
                                  <w:r w:rsidRPr="0001339A">
                                    <w:rPr>
                                      <w:rFonts w:ascii="Arial" w:hAnsi="Arial" w:cs="Arial"/>
                                      <w:b/>
                                      <w:bCs/>
                                      <w:sz w:val="16"/>
                                      <w:szCs w:val="16"/>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oval w14:anchorId="05BCF341" id="Oval 11" o:spid="_x0000_s1030" style="position:absolute;margin-left:5.6pt;margin-top:112.5pt;width:14.4pt;height:14.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" fillcolor="#7a0019 [3204]" stroked="f">
                      <o:lock v:ext="edit" aspectratio="t"/>
                      <v:textbox inset="0,0,0,0">
                        <w:txbxContent>
                          <w:p w14:paraId="591FAD0E" w14:textId="515DB0AD" w:rsidR="0001339A" w:rsidRPr="0001339A" w:rsidRDefault="0001339A" w:rsidP="0001339A">
                            <w:pPr>
                              <w:jc w:val="center"/>
                              <w:rPr>
                                <w:rFonts w:ascii="Arial" w:hAnsi="Arial" w:cs="Arial"/>
                                <w:b/>
                                <w:bCs/>
                                <w:sz w:val="16"/>
                                <w:szCs w:val="16"/>
                              </w:rPr>
                            </w:pPr>
                            <w:r w:rsidRPr="0001339A">
                              <w:rPr>
                                <w:rFonts w:ascii="Arial" w:hAnsi="Arial" w:cs="Arial"/>
                                <w:b/>
                                <w:bCs/>
                                <w:sz w:val="16"/>
                                <w:szCs w:val="16"/>
                              </w:rPr>
                              <w:t>2</w:t>
                            </w:r>
                          </w:p>
                        </w:txbxContent>
                      </v:textbox>
                    </v:oval>
                  </w:pict>
                </mc:Fallback>
              </mc:AlternateContent>
            </w:r>
            <w:r w:rsidR="00DF2BE4">
              <w:rPr>
                <w:noProof/>
              </w:rPr>
              <w:drawing>
                <wp:inline distT="0" distB="0" distL="0" distR="0" wp14:anchorId="6718B5D0" wp14:editId="6EC94070">
                  <wp:extent cx="1463040" cy="1645800"/>
                  <wp:effectExtent l="0" t="0" r="0" b="5715"/>
                  <wp:docPr id="19" name="Picture 19" descr="A row of soybeans growing with nitrogen fertilizer ad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row of soybeans growing with nitrogen fertilizer added."/>
                          <pic:cNvPicPr/>
                        </pic:nvPicPr>
                        <pic:blipFill rotWithShape="1">
                          <a:blip r:embed="rId12" cstate="print">
                            <a:extLst>
                              <a:ext uri="{28A0092B-C50C-407E-A947-70E740481C1C}">
                                <a14:useLocalDpi xmlns:a14="http://schemas.microsoft.com/office/drawing/2010/main" val="0"/>
                              </a:ext>
                            </a:extLst>
                          </a:blip>
                          <a:srcRect/>
                          <a:stretch/>
                        </pic:blipFill>
                        <pic:spPr bwMode="auto">
                          <a:xfrm>
                            <a:off x="0" y="0"/>
                            <a:ext cx="1463146" cy="1645920"/>
                          </a:xfrm>
                          <a:prstGeom prst="rect">
                            <a:avLst/>
                          </a:prstGeom>
                          <a:ln>
                            <a:noFill/>
                          </a:ln>
                          <a:extLst>
                            <a:ext uri="{53640926-AAD7-44D8-BBD7-CCE9431645EC}">
                              <a14:shadowObscured xmlns:a14="http://schemas.microsoft.com/office/drawing/2010/main"/>
                            </a:ext>
                          </a:extLst>
                        </pic:spPr>
                      </pic:pic>
                    </a:graphicData>
                  </a:graphic>
                </wp:inline>
              </w:drawing>
            </w:r>
          </w:p>
        </w:tc>
        <w:tc>
          <w:tcPr>
            <w:tcW w:w="2518" w:type="dxa"/>
          </w:tcPr>
          <w:p w14:paraId="53788E6D" w14:textId="071ECFB1" w:rsidR="00DF2BE4" w:rsidRDefault="00E10528" w:rsidP="00DF2BE4">
            <w:pPr>
              <w:pStyle w:val="footnotetextextension"/>
            </w:pPr>
            <w:r w:rsidRPr="0001339A">
              <w:rPr>
                <w:noProof/>
              </w:rPr>
              <mc:AlternateContent>
                <mc:Choice Requires="wps">
                  <w:drawing>
                    <wp:anchor distT="0" distB="0" distL="114300" distR="114300" simplePos="0" relativeHeight="251676672" behindDoc="0" locked="0" layoutInCell="1" allowOverlap="1" wp14:anchorId="4DD14BD6" wp14:editId="21EB75B7">
                      <wp:simplePos x="0" y="0"/>
                      <wp:positionH relativeFrom="column">
                        <wp:posOffset>64770</wp:posOffset>
                      </wp:positionH>
                      <wp:positionV relativeFrom="paragraph">
                        <wp:posOffset>1432560</wp:posOffset>
                      </wp:positionV>
                      <wp:extent cx="182880" cy="182880"/>
                      <wp:effectExtent l="0" t="0" r="0" b="0"/>
                      <wp:wrapNone/>
                      <wp:docPr id="13" name="Oval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82880" cy="182880"/>
                              </a:xfrm>
                              <a:prstGeom prst="ellipse">
                                <a:avLst/>
                              </a:prstGeom>
                              <a:solidFill>
                                <a:schemeClr val="accent1"/>
                              </a:solidFill>
                              <a:ln>
                                <a:noFill/>
                              </a:ln>
                              <a:effectLst/>
                            </wps:spPr>
                            <wps:style>
                              <a:lnRef idx="1">
                                <a:schemeClr val="accent1"/>
                              </a:lnRef>
                              <a:fillRef idx="3">
                                <a:schemeClr val="accent1"/>
                              </a:fillRef>
                              <a:effectRef idx="2">
                                <a:schemeClr val="accent1"/>
                              </a:effectRef>
                              <a:fontRef idx="minor">
                                <a:schemeClr val="lt1"/>
                              </a:fontRef>
                            </wps:style>
                            <wps:txbx>
                              <w:txbxContent>
                                <w:p w14:paraId="26BA4FAA" w14:textId="015532FD" w:rsidR="0001339A" w:rsidRPr="0001339A" w:rsidRDefault="0001339A" w:rsidP="0001339A">
                                  <w:pPr>
                                    <w:jc w:val="center"/>
                                    <w:rPr>
                                      <w:rFonts w:ascii="Arial" w:hAnsi="Arial" w:cs="Arial"/>
                                      <w:b/>
                                      <w:bCs/>
                                      <w:sz w:val="16"/>
                                      <w:szCs w:val="16"/>
                                    </w:rPr>
                                  </w:pPr>
                                  <w:r w:rsidRPr="0001339A">
                                    <w:rPr>
                                      <w:rFonts w:ascii="Arial" w:hAnsi="Arial" w:cs="Arial"/>
                                      <w:b/>
                                      <w:bCs/>
                                      <w:sz w:val="16"/>
                                      <w:szCs w:val="16"/>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oval w14:anchorId="4DD14BD6" id="Oval 13" o:spid="_x0000_s1031" style="position:absolute;margin-left:5.1pt;margin-top:112.8pt;width:14.4pt;height:14.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" fillcolor="#7a0019 [3204]" stroked="f">
                      <o:lock v:ext="edit" aspectratio="t"/>
                      <v:textbox inset="0,0,0,0">
                        <w:txbxContent>
                          <w:p w14:paraId="26BA4FAA" w14:textId="015532FD" w:rsidR="0001339A" w:rsidRPr="0001339A" w:rsidRDefault="0001339A" w:rsidP="0001339A">
                            <w:pPr>
                              <w:jc w:val="center"/>
                              <w:rPr>
                                <w:rFonts w:ascii="Arial" w:hAnsi="Arial" w:cs="Arial"/>
                                <w:b/>
                                <w:bCs/>
                                <w:sz w:val="16"/>
                                <w:szCs w:val="16"/>
                              </w:rPr>
                            </w:pPr>
                            <w:r w:rsidRPr="0001339A">
                              <w:rPr>
                                <w:rFonts w:ascii="Arial" w:hAnsi="Arial" w:cs="Arial"/>
                                <w:b/>
                                <w:bCs/>
                                <w:sz w:val="16"/>
                                <w:szCs w:val="16"/>
                              </w:rPr>
                              <w:t>3</w:t>
                            </w:r>
                          </w:p>
                        </w:txbxContent>
                      </v:textbox>
                    </v:oval>
                  </w:pict>
                </mc:Fallback>
              </mc:AlternateContent>
            </w:r>
            <w:r w:rsidR="00DF2BE4">
              <w:rPr>
                <w:noProof/>
              </w:rPr>
              <w:drawing>
                <wp:inline distT="0" distB="0" distL="0" distR="0" wp14:anchorId="5ED2B293" wp14:editId="189C927B">
                  <wp:extent cx="1462489" cy="1641809"/>
                  <wp:effectExtent l="0" t="0" r="0" b="0"/>
                  <wp:docPr id="9" name="Picture 9" descr="A row of soybeans growing alongside a row of oa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row of soybeans growing alongside a row of oats."/>
                          <pic:cNvPicPr/>
                        </pic:nvPicPr>
                        <pic:blipFill rotWithShape="1">
                          <a:blip r:embed="rId13" cstate="print">
                            <a:extLst>
                              <a:ext uri="{28A0092B-C50C-407E-A947-70E740481C1C}">
                                <a14:useLocalDpi xmlns:a14="http://schemas.microsoft.com/office/drawing/2010/main" val="0"/>
                              </a:ext>
                            </a:extLst>
                          </a:blip>
                          <a:srcRect/>
                          <a:stretch/>
                        </pic:blipFill>
                        <pic:spPr bwMode="auto">
                          <a:xfrm>
                            <a:off x="0" y="0"/>
                            <a:ext cx="1463040" cy="1642428"/>
                          </a:xfrm>
                          <a:prstGeom prst="rect">
                            <a:avLst/>
                          </a:prstGeom>
                          <a:ln>
                            <a:noFill/>
                          </a:ln>
                          <a:extLst>
                            <a:ext uri="{53640926-AAD7-44D8-BBD7-CCE9431645EC}">
                              <a14:shadowObscured xmlns:a14="http://schemas.microsoft.com/office/drawing/2010/main"/>
                            </a:ext>
                          </a:extLst>
                        </pic:spPr>
                      </pic:pic>
                    </a:graphicData>
                  </a:graphic>
                </wp:inline>
              </w:drawing>
            </w:r>
          </w:p>
        </w:tc>
        <w:tc>
          <w:tcPr>
            <w:tcW w:w="2518" w:type="dxa"/>
          </w:tcPr>
          <w:p w14:paraId="52FCC702" w14:textId="66E8AC17" w:rsidR="00DF2BE4" w:rsidRDefault="00E10528" w:rsidP="00DF2BE4">
            <w:pPr>
              <w:pStyle w:val="footnotetextextension"/>
            </w:pPr>
            <w:r w:rsidRPr="0001339A">
              <w:rPr>
                <w:noProof/>
              </w:rPr>
              <mc:AlternateContent>
                <mc:Choice Requires="wps">
                  <w:drawing>
                    <wp:anchor distT="0" distB="0" distL="114300" distR="114300" simplePos="0" relativeHeight="251677696" behindDoc="0" locked="0" layoutInCell="1" allowOverlap="1" wp14:anchorId="36B35731" wp14:editId="7B1B1247">
                      <wp:simplePos x="0" y="0"/>
                      <wp:positionH relativeFrom="column">
                        <wp:posOffset>60225</wp:posOffset>
                      </wp:positionH>
                      <wp:positionV relativeFrom="paragraph">
                        <wp:posOffset>1432560</wp:posOffset>
                      </wp:positionV>
                      <wp:extent cx="182880" cy="182880"/>
                      <wp:effectExtent l="0" t="0" r="0" b="0"/>
                      <wp:wrapNone/>
                      <wp:docPr id="14" name="Oval 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82880" cy="182880"/>
                              </a:xfrm>
                              <a:prstGeom prst="ellipse">
                                <a:avLst/>
                              </a:prstGeom>
                              <a:solidFill>
                                <a:schemeClr val="accent1"/>
                              </a:solidFill>
                              <a:ln>
                                <a:noFill/>
                              </a:ln>
                              <a:effectLst/>
                            </wps:spPr>
                            <wps:style>
                              <a:lnRef idx="1">
                                <a:schemeClr val="accent1"/>
                              </a:lnRef>
                              <a:fillRef idx="3">
                                <a:schemeClr val="accent1"/>
                              </a:fillRef>
                              <a:effectRef idx="2">
                                <a:schemeClr val="accent1"/>
                              </a:effectRef>
                              <a:fontRef idx="minor">
                                <a:schemeClr val="lt1"/>
                              </a:fontRef>
                            </wps:style>
                            <wps:txbx>
                              <w:txbxContent>
                                <w:p w14:paraId="0B39CD12" w14:textId="200A9CF2" w:rsidR="0001339A" w:rsidRPr="0001339A" w:rsidRDefault="0001339A" w:rsidP="0001339A">
                                  <w:pPr>
                                    <w:jc w:val="center"/>
                                    <w:rPr>
                                      <w:rFonts w:ascii="Arial" w:hAnsi="Arial" w:cs="Arial"/>
                                      <w:b/>
                                      <w:bCs/>
                                      <w:sz w:val="16"/>
                                      <w:szCs w:val="16"/>
                                    </w:rPr>
                                  </w:pPr>
                                  <w:r w:rsidRPr="0001339A">
                                    <w:rPr>
                                      <w:rFonts w:ascii="Arial" w:hAnsi="Arial" w:cs="Arial"/>
                                      <w:b/>
                                      <w:bCs/>
                                      <w:sz w:val="16"/>
                                      <w:szCs w:val="16"/>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oval w14:anchorId="36B35731" id="Oval 14" o:spid="_x0000_s1032" style="position:absolute;margin-left:4.75pt;margin-top:112.8pt;width:14.4pt;height:14.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" fillcolor="#7a0019 [3204]" stroked="f">
                      <o:lock v:ext="edit" aspectratio="t"/>
                      <v:textbox inset="0,0,0,0">
                        <w:txbxContent>
                          <w:p w14:paraId="0B39CD12" w14:textId="200A9CF2" w:rsidR="0001339A" w:rsidRPr="0001339A" w:rsidRDefault="0001339A" w:rsidP="0001339A">
                            <w:pPr>
                              <w:jc w:val="center"/>
                              <w:rPr>
                                <w:rFonts w:ascii="Arial" w:hAnsi="Arial" w:cs="Arial"/>
                                <w:b/>
                                <w:bCs/>
                                <w:sz w:val="16"/>
                                <w:szCs w:val="16"/>
                              </w:rPr>
                            </w:pPr>
                            <w:r w:rsidRPr="0001339A">
                              <w:rPr>
                                <w:rFonts w:ascii="Arial" w:hAnsi="Arial" w:cs="Arial"/>
                                <w:b/>
                                <w:bCs/>
                                <w:sz w:val="16"/>
                                <w:szCs w:val="16"/>
                              </w:rPr>
                              <w:t>4</w:t>
                            </w:r>
                          </w:p>
                        </w:txbxContent>
                      </v:textbox>
                    </v:oval>
                  </w:pict>
                </mc:Fallback>
              </mc:AlternateContent>
            </w:r>
            <w:r w:rsidR="00DF2BE4">
              <w:rPr>
                <w:noProof/>
              </w:rPr>
              <w:drawing>
                <wp:inline distT="0" distB="0" distL="0" distR="0" wp14:anchorId="35842D7F" wp14:editId="6D1340E6">
                  <wp:extent cx="1462690" cy="1645920"/>
                  <wp:effectExtent l="0" t="0" r="0" b="5080"/>
                  <wp:docPr id="20" name="Picture 20" descr="A row of soybeans growing alongside a row of oats with nitrogen fertilizer ad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row of soybeans growing alongside a row of oats with nitrogen fertilizer added."/>
                          <pic:cNvPicPr/>
                        </pic:nvPicPr>
                        <pic:blipFill rotWithShape="1">
                          <a:blip r:embed="rId14" cstate="print">
                            <a:extLst>
                              <a:ext uri="{28A0092B-C50C-407E-A947-70E740481C1C}">
                                <a14:useLocalDpi xmlns:a14="http://schemas.microsoft.com/office/drawing/2010/main" val="0"/>
                              </a:ext>
                            </a:extLst>
                          </a:blip>
                          <a:srcRect/>
                          <a:stretch/>
                        </pic:blipFill>
                        <pic:spPr bwMode="auto">
                          <a:xfrm>
                            <a:off x="0" y="0"/>
                            <a:ext cx="1463040" cy="1646314"/>
                          </a:xfrm>
                          <a:prstGeom prst="rect">
                            <a:avLst/>
                          </a:prstGeom>
                          <a:ln>
                            <a:noFill/>
                          </a:ln>
                          <a:extLst>
                            <a:ext uri="{53640926-AAD7-44D8-BBD7-CCE9431645EC}">
                              <a14:shadowObscured xmlns:a14="http://schemas.microsoft.com/office/drawing/2010/main"/>
                            </a:ext>
                          </a:extLst>
                        </pic:spPr>
                      </pic:pic>
                    </a:graphicData>
                  </a:graphic>
                </wp:inline>
              </w:drawing>
            </w:r>
          </w:p>
        </w:tc>
      </w:tr>
    </w:tbl>
    <w:p w14:paraId="37C44239" w14:textId="285428F8" w:rsidR="000E3B74" w:rsidRDefault="0001339A" w:rsidP="00DF2BE4">
      <w:pPr>
        <w:pStyle w:val="CaptionExtension"/>
      </w:pPr>
      <w:r>
        <w:t>Photo 1</w:t>
      </w:r>
      <w:r w:rsidR="000E3B74">
        <w:t xml:space="preserve"> has no nitrogen applied and no companion crop</w:t>
      </w:r>
      <w:r>
        <w:t xml:space="preserve">. Photo 2 </w:t>
      </w:r>
      <w:r w:rsidR="000E3B74">
        <w:t>has 200 lb N/</w:t>
      </w:r>
      <w:r w:rsidR="003E6E09">
        <w:t>acre</w:t>
      </w:r>
      <w:r w:rsidR="000E3B74">
        <w:t xml:space="preserve"> applied and no companion crop</w:t>
      </w:r>
      <w:r>
        <w:t xml:space="preserve">. Photo 3 </w:t>
      </w:r>
      <w:r w:rsidR="000E3B74">
        <w:t>has no nitrogen applied and oat companion crop</w:t>
      </w:r>
      <w:r>
        <w:t>. Photo 4</w:t>
      </w:r>
      <w:r w:rsidR="000E3B74">
        <w:t xml:space="preserve"> has 200 </w:t>
      </w:r>
      <w:r w:rsidR="00AD75BE">
        <w:t>lb</w:t>
      </w:r>
      <w:r w:rsidR="000E3B74">
        <w:t xml:space="preserve"> N/</w:t>
      </w:r>
      <w:r w:rsidR="00E10528">
        <w:t>acre</w:t>
      </w:r>
      <w:r w:rsidR="000E3B74">
        <w:t xml:space="preserve"> applied and a companion crop</w:t>
      </w:r>
      <w:r w:rsidR="00E10528">
        <w:t>.</w:t>
      </w:r>
    </w:p>
    <w:p w14:paraId="0B9686C4" w14:textId="29165EEA" w:rsidR="000E3B74" w:rsidRDefault="000E3B74" w:rsidP="000E3B74">
      <w:pPr>
        <w:pStyle w:val="Bullet"/>
      </w:pPr>
      <w:r>
        <w:t xml:space="preserve">Reduce </w:t>
      </w:r>
      <w:r w:rsidR="005E79F0">
        <w:t xml:space="preserve">plant </w:t>
      </w:r>
      <w:r>
        <w:t xml:space="preserve">stress as much as possible. The use of glyphosate herbicide for weed control is less stressful to the plant compared to some </w:t>
      </w:r>
      <w:r w:rsidR="00EF61BE">
        <w:t>conventional herbicides. If possible, avoid herbicides that injure soybean at the most critical early stages of growth.</w:t>
      </w:r>
      <w:r w:rsidR="00D709D6">
        <w:t xml:space="preserve"> </w:t>
      </w:r>
      <w:r>
        <w:t xml:space="preserve">Reduction of root damage from cultural practices such as excessive and deep cultivation is also useful. Beware of soil conditions that cause compaction during the tillage and planting operations. Compaction of surface soil at planting can stress a plant for the </w:t>
      </w:r>
      <w:r w:rsidR="00EF61BE">
        <w:t xml:space="preserve">entire </w:t>
      </w:r>
      <w:r>
        <w:t xml:space="preserve">growing season. Be sure to treat plant diseases and </w:t>
      </w:r>
      <w:r w:rsidR="00EF61BE">
        <w:t xml:space="preserve">other </w:t>
      </w:r>
      <w:r>
        <w:t>pest</w:t>
      </w:r>
      <w:r w:rsidR="00EF61BE">
        <w:t>s</w:t>
      </w:r>
      <w:r>
        <w:t xml:space="preserve"> according to accepted thresholds.</w:t>
      </w:r>
      <w:r w:rsidR="00CE72CB">
        <w:t xml:space="preserve"> </w:t>
      </w:r>
      <w:r w:rsidR="00CE72CB" w:rsidRPr="00241EA9">
        <w:t xml:space="preserve">It has been suggested that tile drainage can help reduce the effect of IDC. While it is theoretically possible, tile drainage only removes gravitational (free) water from the soil and portions of the soil may </w:t>
      </w:r>
      <w:r w:rsidR="00D941D0" w:rsidRPr="00241EA9">
        <w:t>remain</w:t>
      </w:r>
      <w:r w:rsidR="00CE72CB" w:rsidRPr="00241EA9">
        <w:t xml:space="preserve"> saturated after drainage. Many </w:t>
      </w:r>
      <w:r w:rsidR="00EF61BE" w:rsidRPr="00241EA9">
        <w:t>fields</w:t>
      </w:r>
      <w:r w:rsidR="00CE72CB" w:rsidRPr="00241EA9">
        <w:t xml:space="preserve"> in Western MN affected by IDC still exhibit IDC symptoms</w:t>
      </w:r>
      <w:r w:rsidR="00EB0237">
        <w:t>,</w:t>
      </w:r>
      <w:r w:rsidR="00CE72CB" w:rsidRPr="00241EA9">
        <w:t xml:space="preserve"> so while tile drainage may reduce overall plant stress it is not likely to eliminate the risk of IDC in the field.</w:t>
      </w:r>
    </w:p>
    <w:p w14:paraId="6D74D6A8" w14:textId="21FAFD73" w:rsidR="000E3B74" w:rsidRDefault="000E3B74" w:rsidP="000E3B74">
      <w:pPr>
        <w:pStyle w:val="Bullet"/>
      </w:pPr>
      <w:r>
        <w:lastRenderedPageBreak/>
        <w:t xml:space="preserve">Use </w:t>
      </w:r>
      <w:r w:rsidR="00EF61BE">
        <w:t xml:space="preserve">an in-furrow </w:t>
      </w:r>
      <w:r>
        <w:t xml:space="preserve">placement of an iron chelate product </w:t>
      </w:r>
      <w:r w:rsidR="00EF61BE">
        <w:t>composed primarily of</w:t>
      </w:r>
      <w:r>
        <w:t xml:space="preserve"> iron in the ortho-ortho form. Research has shown great success with the </w:t>
      </w:r>
      <w:r w:rsidR="00EF61BE">
        <w:t xml:space="preserve">application </w:t>
      </w:r>
      <w:r>
        <w:t>of ortho-ortho chelated iron with the seed</w:t>
      </w:r>
      <w:r w:rsidR="00EB0237">
        <w:t xml:space="preserve"> (see </w:t>
      </w:r>
      <w:r>
        <w:t xml:space="preserve">Table </w:t>
      </w:r>
      <w:r w:rsidR="003D2E8D">
        <w:t>IDC-</w:t>
      </w:r>
      <w:r>
        <w:t>4</w:t>
      </w:r>
      <w:r w:rsidR="00EB0237">
        <w:t>)</w:t>
      </w:r>
      <w:r>
        <w:t>. Use of other products and application methods has not produced consisten</w:t>
      </w:r>
      <w:r w:rsidR="00EB0237">
        <w:t>t</w:t>
      </w:r>
      <w:r>
        <w:t xml:space="preserve"> results. Most research data </w:t>
      </w:r>
      <w:r w:rsidR="00EF61BE">
        <w:t>suggest</w:t>
      </w:r>
      <w:r>
        <w:t xml:space="preserve"> </w:t>
      </w:r>
      <w:r w:rsidR="00EB0237">
        <w:t xml:space="preserve">that </w:t>
      </w:r>
      <w:r>
        <w:t>a rate of 1</w:t>
      </w:r>
      <w:r w:rsidR="009B1482">
        <w:t>-</w:t>
      </w:r>
      <w:r>
        <w:t xml:space="preserve">3 </w:t>
      </w:r>
      <w:r w:rsidR="00EF61BE">
        <w:t>lb.</w:t>
      </w:r>
      <w:r>
        <w:t xml:space="preserve"> of dry product per acre of the ortho-ortho chelate will increase yield</w:t>
      </w:r>
      <w:r w:rsidR="00361107">
        <w:t xml:space="preserve"> (Figure IDC-5)</w:t>
      </w:r>
      <w:r>
        <w:t xml:space="preserve">. The research data also suggests that areas moderately or highly affected by IDC </w:t>
      </w:r>
      <w:r w:rsidR="00EF61BE">
        <w:t>should be targeted first to maximize</w:t>
      </w:r>
      <w:r>
        <w:t xml:space="preserve"> profit potential </w:t>
      </w:r>
      <w:r w:rsidR="00EF61BE">
        <w:t xml:space="preserve">across </w:t>
      </w:r>
      <w:r>
        <w:t>the field.</w:t>
      </w:r>
    </w:p>
    <w:p w14:paraId="365BCB77" w14:textId="4163ADDD" w:rsidR="000E3B74" w:rsidRDefault="000E3B74" w:rsidP="00E10528">
      <w:pPr>
        <w:pStyle w:val="TableTitleExtension"/>
      </w:pPr>
      <w:r>
        <w:t xml:space="preserve">Table </w:t>
      </w:r>
      <w:r w:rsidR="003D2E8D">
        <w:t>IDC-4</w:t>
      </w:r>
      <w:r>
        <w:t>. The effect of seed placed ortho-ortho iron chelate on soybean grain yield.</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72" w:type="dxa"/>
          <w:left w:w="72" w:type="dxa"/>
          <w:bottom w:w="72" w:type="dxa"/>
          <w:right w:w="72" w:type="dxa"/>
        </w:tblCellMar>
        <w:tblLook w:val="04A0" w:firstRow="1" w:lastRow="0" w:firstColumn="1" w:lastColumn="0" w:noHBand="0" w:noVBand="1"/>
      </w:tblPr>
      <w:tblGrid>
        <w:gridCol w:w="1008"/>
        <w:gridCol w:w="1440"/>
        <w:gridCol w:w="1440"/>
        <w:gridCol w:w="1440"/>
        <w:gridCol w:w="1440"/>
        <w:gridCol w:w="1440"/>
        <w:gridCol w:w="1440"/>
      </w:tblGrid>
      <w:tr w:rsidR="00E10528" w14:paraId="1B77143D" w14:textId="71D01C53" w:rsidTr="00E10528">
        <w:tc>
          <w:tcPr>
            <w:tcW w:w="1008" w:type="dxa"/>
            <w:shd w:val="clear" w:color="auto" w:fill="7A0019" w:themeFill="accent1"/>
            <w:vAlign w:val="center"/>
          </w:tcPr>
          <w:p w14:paraId="17B8EA3A" w14:textId="68BD33A3" w:rsidR="00E10528" w:rsidRPr="0028322A" w:rsidRDefault="00E10528" w:rsidP="00E10528">
            <w:pPr>
              <w:pStyle w:val="Tablecolumnheader"/>
              <w:jc w:val="left"/>
            </w:pPr>
            <w:r>
              <w:t>Specialty seed use</w:t>
            </w:r>
          </w:p>
        </w:tc>
        <w:tc>
          <w:tcPr>
            <w:tcW w:w="1440" w:type="dxa"/>
            <w:shd w:val="clear" w:color="auto" w:fill="7A0019" w:themeFill="accent1"/>
            <w:vAlign w:val="center"/>
          </w:tcPr>
          <w:p w14:paraId="3CA6E919" w14:textId="77777777" w:rsidR="007216DE" w:rsidRDefault="00E10528" w:rsidP="00E10528">
            <w:pPr>
              <w:pStyle w:val="Tablecolumnheader"/>
            </w:pPr>
            <w:r w:rsidRPr="000B1D62">
              <w:t>K07</w:t>
            </w:r>
            <w:r>
              <w:t xml:space="preserve"> </w:t>
            </w:r>
          </w:p>
          <w:p w14:paraId="2BFE7143" w14:textId="262A37AF" w:rsidR="00E10528" w:rsidRPr="0028322A" w:rsidRDefault="00E10528" w:rsidP="00E10528">
            <w:pPr>
              <w:pStyle w:val="Tablecolumnheader"/>
            </w:pPr>
            <w:r>
              <w:t xml:space="preserve">grain yield </w:t>
            </w:r>
          </w:p>
        </w:tc>
        <w:tc>
          <w:tcPr>
            <w:tcW w:w="1440" w:type="dxa"/>
            <w:shd w:val="clear" w:color="auto" w:fill="7A0019" w:themeFill="accent1"/>
            <w:vAlign w:val="center"/>
          </w:tcPr>
          <w:p w14:paraId="18BF228E" w14:textId="77777777" w:rsidR="007216DE" w:rsidRDefault="00E10528" w:rsidP="00E10528">
            <w:pPr>
              <w:pStyle w:val="Tablecolumnheader"/>
            </w:pPr>
            <w:r w:rsidRPr="000B1D62">
              <w:t>YM07</w:t>
            </w:r>
            <w:r>
              <w:t xml:space="preserve"> </w:t>
            </w:r>
          </w:p>
          <w:p w14:paraId="5B4BE809" w14:textId="6A494A95" w:rsidR="00E10528" w:rsidRPr="0028322A" w:rsidRDefault="00E10528" w:rsidP="00E10528">
            <w:pPr>
              <w:pStyle w:val="Tablecolumnheader"/>
            </w:pPr>
            <w:r>
              <w:t>grain yield</w:t>
            </w:r>
          </w:p>
        </w:tc>
        <w:tc>
          <w:tcPr>
            <w:tcW w:w="1440" w:type="dxa"/>
            <w:shd w:val="clear" w:color="auto" w:fill="7A0019" w:themeFill="accent1"/>
            <w:vAlign w:val="center"/>
          </w:tcPr>
          <w:p w14:paraId="68E0C37A" w14:textId="77777777" w:rsidR="007216DE" w:rsidRDefault="00E10528" w:rsidP="00E10528">
            <w:pPr>
              <w:pStyle w:val="Tablecolumnheader"/>
            </w:pPr>
            <w:r w:rsidRPr="000B1D62">
              <w:t>C08</w:t>
            </w:r>
            <w:r>
              <w:t xml:space="preserve"> </w:t>
            </w:r>
          </w:p>
          <w:p w14:paraId="0A11932A" w14:textId="779D4EB1" w:rsidR="00E10528" w:rsidRPr="0028322A" w:rsidRDefault="00E10528" w:rsidP="00E10528">
            <w:pPr>
              <w:pStyle w:val="Tablecolumnheader"/>
            </w:pPr>
            <w:r>
              <w:t>grain yield</w:t>
            </w:r>
          </w:p>
        </w:tc>
        <w:tc>
          <w:tcPr>
            <w:tcW w:w="1440" w:type="dxa"/>
            <w:shd w:val="clear" w:color="auto" w:fill="7A0019" w:themeFill="accent1"/>
            <w:vAlign w:val="center"/>
          </w:tcPr>
          <w:p w14:paraId="5A90A38C" w14:textId="77777777" w:rsidR="007216DE" w:rsidRDefault="00E10528" w:rsidP="00E10528">
            <w:pPr>
              <w:pStyle w:val="Tablecolumnheader"/>
            </w:pPr>
            <w:r w:rsidRPr="000B1D62">
              <w:t>R08</w:t>
            </w:r>
            <w:r>
              <w:t xml:space="preserve"> </w:t>
            </w:r>
          </w:p>
          <w:p w14:paraId="5F476954" w14:textId="11B7FDCF" w:rsidR="00E10528" w:rsidRPr="0028322A" w:rsidRDefault="00E10528" w:rsidP="00E10528">
            <w:pPr>
              <w:pStyle w:val="Tablecolumnheader"/>
            </w:pPr>
            <w:r>
              <w:t>grain yield</w:t>
            </w:r>
          </w:p>
        </w:tc>
        <w:tc>
          <w:tcPr>
            <w:tcW w:w="1440" w:type="dxa"/>
            <w:shd w:val="clear" w:color="auto" w:fill="7A0019" w:themeFill="accent1"/>
            <w:vAlign w:val="center"/>
          </w:tcPr>
          <w:p w14:paraId="7EB38DF8" w14:textId="77777777" w:rsidR="007216DE" w:rsidRDefault="00E10528" w:rsidP="00E10528">
            <w:pPr>
              <w:pStyle w:val="Tablecolumnheader"/>
            </w:pPr>
            <w:r w:rsidRPr="000B1D62">
              <w:t>C09</w:t>
            </w:r>
            <w:r>
              <w:t xml:space="preserve"> </w:t>
            </w:r>
          </w:p>
          <w:p w14:paraId="51A0A8C3" w14:textId="79DF1848" w:rsidR="00E10528" w:rsidRPr="0028322A" w:rsidRDefault="00E10528" w:rsidP="00E10528">
            <w:pPr>
              <w:pStyle w:val="Tablecolumnheader"/>
            </w:pPr>
            <w:r>
              <w:t xml:space="preserve">grain yield </w:t>
            </w:r>
          </w:p>
        </w:tc>
        <w:tc>
          <w:tcPr>
            <w:tcW w:w="1440" w:type="dxa"/>
            <w:shd w:val="clear" w:color="auto" w:fill="7A0019" w:themeFill="accent1"/>
            <w:vAlign w:val="center"/>
          </w:tcPr>
          <w:p w14:paraId="2B4FAFFB" w14:textId="77777777" w:rsidR="007216DE" w:rsidRDefault="00E10528" w:rsidP="00E10528">
            <w:pPr>
              <w:pStyle w:val="Tablecolumnheader"/>
            </w:pPr>
            <w:r w:rsidRPr="000B1D62">
              <w:t>R09</w:t>
            </w:r>
            <w:r>
              <w:t xml:space="preserve"> </w:t>
            </w:r>
          </w:p>
          <w:p w14:paraId="57DB7F5B" w14:textId="495A6133" w:rsidR="00E10528" w:rsidRDefault="00E10528" w:rsidP="00E10528">
            <w:pPr>
              <w:pStyle w:val="Tablecolumnheader"/>
            </w:pPr>
            <w:r>
              <w:t xml:space="preserve">grain yield </w:t>
            </w:r>
          </w:p>
        </w:tc>
      </w:tr>
      <w:tr w:rsidR="00E10528" w:rsidRPr="00635A81" w14:paraId="47F3622F" w14:textId="1AB1B2C8" w:rsidTr="00872A54">
        <w:tc>
          <w:tcPr>
            <w:tcW w:w="1008" w:type="dxa"/>
            <w:vAlign w:val="center"/>
          </w:tcPr>
          <w:p w14:paraId="42502201" w14:textId="6F2CD560" w:rsidR="00E10528" w:rsidRPr="00635A81" w:rsidRDefault="00E10528" w:rsidP="00872A54">
            <w:pPr>
              <w:pStyle w:val="tablerowtext"/>
              <w:jc w:val="left"/>
              <w:rPr>
                <w:color w:val="7A0019" w:themeColor="accent1"/>
              </w:rPr>
            </w:pPr>
            <w:r w:rsidRPr="00DC45F9">
              <w:t>No</w:t>
            </w:r>
          </w:p>
        </w:tc>
        <w:tc>
          <w:tcPr>
            <w:tcW w:w="1440" w:type="dxa"/>
            <w:vAlign w:val="center"/>
          </w:tcPr>
          <w:p w14:paraId="173562E6" w14:textId="56A37BFF" w:rsidR="00E10528" w:rsidRPr="00635A81" w:rsidRDefault="00E10528" w:rsidP="00872A54">
            <w:pPr>
              <w:pStyle w:val="tablerowtext"/>
              <w:rPr>
                <w:color w:val="7A0019" w:themeColor="accent1"/>
              </w:rPr>
            </w:pPr>
            <w:r w:rsidRPr="00DC45F9">
              <w:t>21.8</w:t>
            </w:r>
            <w:r w:rsidR="007216DE">
              <w:t xml:space="preserve"> bu/acre</w:t>
            </w:r>
          </w:p>
        </w:tc>
        <w:tc>
          <w:tcPr>
            <w:tcW w:w="1440" w:type="dxa"/>
            <w:vAlign w:val="center"/>
          </w:tcPr>
          <w:p w14:paraId="761FBF8F" w14:textId="0FD18A80" w:rsidR="00E10528" w:rsidRPr="00635A81" w:rsidRDefault="00E10528" w:rsidP="00872A54">
            <w:pPr>
              <w:pStyle w:val="tablerowtext"/>
              <w:rPr>
                <w:color w:val="7A0019" w:themeColor="accent1"/>
              </w:rPr>
            </w:pPr>
            <w:r w:rsidRPr="00DC45F9">
              <w:t>53.6</w:t>
            </w:r>
            <w:r w:rsidR="007216DE">
              <w:t xml:space="preserve"> bu/acre</w:t>
            </w:r>
          </w:p>
        </w:tc>
        <w:tc>
          <w:tcPr>
            <w:tcW w:w="1440" w:type="dxa"/>
            <w:vAlign w:val="center"/>
          </w:tcPr>
          <w:p w14:paraId="3B04BF05" w14:textId="74BB1C06" w:rsidR="00E10528" w:rsidRPr="00635A81" w:rsidRDefault="00E10528" w:rsidP="00872A54">
            <w:pPr>
              <w:pStyle w:val="tablerowtext"/>
              <w:rPr>
                <w:color w:val="7A0019" w:themeColor="accent1"/>
              </w:rPr>
            </w:pPr>
            <w:r w:rsidRPr="00DC45F9">
              <w:t>30.0</w:t>
            </w:r>
            <w:r w:rsidR="007216DE">
              <w:t xml:space="preserve"> bu/acre</w:t>
            </w:r>
          </w:p>
        </w:tc>
        <w:tc>
          <w:tcPr>
            <w:tcW w:w="1440" w:type="dxa"/>
            <w:vAlign w:val="center"/>
          </w:tcPr>
          <w:p w14:paraId="4020F636" w14:textId="492F15FA" w:rsidR="00E10528" w:rsidRPr="00635A81" w:rsidRDefault="00E10528" w:rsidP="00872A54">
            <w:pPr>
              <w:pStyle w:val="tablerowtext"/>
              <w:rPr>
                <w:color w:val="7A0019" w:themeColor="accent1"/>
              </w:rPr>
            </w:pPr>
            <w:r w:rsidRPr="00DC45F9">
              <w:t>30.2</w:t>
            </w:r>
            <w:r w:rsidR="007216DE">
              <w:t xml:space="preserve"> bu/acre</w:t>
            </w:r>
          </w:p>
        </w:tc>
        <w:tc>
          <w:tcPr>
            <w:tcW w:w="1440" w:type="dxa"/>
            <w:vAlign w:val="center"/>
          </w:tcPr>
          <w:p w14:paraId="4B9255D3" w14:textId="2E6B0524" w:rsidR="00E10528" w:rsidRPr="00635A81" w:rsidRDefault="00E10528" w:rsidP="00872A54">
            <w:pPr>
              <w:pStyle w:val="tablerowtext"/>
              <w:rPr>
                <w:color w:val="7A0019" w:themeColor="accent1"/>
              </w:rPr>
            </w:pPr>
            <w:r w:rsidRPr="00DC45F9">
              <w:t>48.0</w:t>
            </w:r>
            <w:r w:rsidR="007216DE">
              <w:t xml:space="preserve"> bu/acre</w:t>
            </w:r>
          </w:p>
        </w:tc>
        <w:tc>
          <w:tcPr>
            <w:tcW w:w="1440" w:type="dxa"/>
            <w:vAlign w:val="center"/>
          </w:tcPr>
          <w:p w14:paraId="2E246BA3" w14:textId="5AB11071" w:rsidR="00E10528" w:rsidRPr="00CE4524" w:rsidRDefault="00E10528" w:rsidP="00872A54">
            <w:pPr>
              <w:pStyle w:val="tablerowtext"/>
            </w:pPr>
            <w:r w:rsidRPr="00DC45F9">
              <w:t>43.0</w:t>
            </w:r>
            <w:r w:rsidR="007216DE">
              <w:t xml:space="preserve"> bu/acre</w:t>
            </w:r>
          </w:p>
        </w:tc>
      </w:tr>
      <w:tr w:rsidR="00E10528" w:rsidRPr="00635A81" w14:paraId="499EC1D2" w14:textId="464222E8" w:rsidTr="00872A54">
        <w:tc>
          <w:tcPr>
            <w:tcW w:w="1008" w:type="dxa"/>
            <w:vAlign w:val="center"/>
          </w:tcPr>
          <w:p w14:paraId="5F0A7971" w14:textId="5F296BAE" w:rsidR="00E10528" w:rsidRPr="00635A81" w:rsidRDefault="00E10528" w:rsidP="00872A54">
            <w:pPr>
              <w:pStyle w:val="tablerowtext"/>
              <w:jc w:val="left"/>
              <w:rPr>
                <w:color w:val="7A0019" w:themeColor="accent1"/>
              </w:rPr>
            </w:pPr>
            <w:r w:rsidRPr="00DC45F9">
              <w:t>Yes</w:t>
            </w:r>
          </w:p>
        </w:tc>
        <w:tc>
          <w:tcPr>
            <w:tcW w:w="1440" w:type="dxa"/>
            <w:vAlign w:val="center"/>
          </w:tcPr>
          <w:p w14:paraId="2FE1D21F" w14:textId="63C773A5" w:rsidR="00E10528" w:rsidRPr="00635A81" w:rsidRDefault="00E10528" w:rsidP="00872A54">
            <w:pPr>
              <w:pStyle w:val="tablerowtext"/>
              <w:rPr>
                <w:color w:val="7A0019" w:themeColor="accent1"/>
              </w:rPr>
            </w:pPr>
            <w:r w:rsidRPr="00DC45F9">
              <w:t>41.5</w:t>
            </w:r>
          </w:p>
        </w:tc>
        <w:tc>
          <w:tcPr>
            <w:tcW w:w="1440" w:type="dxa"/>
            <w:vAlign w:val="center"/>
          </w:tcPr>
          <w:p w14:paraId="0546C296" w14:textId="74DAC602" w:rsidR="00E10528" w:rsidRPr="00635A81" w:rsidRDefault="00E10528" w:rsidP="00872A54">
            <w:pPr>
              <w:pStyle w:val="tablerowtext"/>
              <w:rPr>
                <w:color w:val="7A0019" w:themeColor="accent1"/>
              </w:rPr>
            </w:pPr>
            <w:r w:rsidRPr="00DC45F9">
              <w:t>55.3</w:t>
            </w:r>
          </w:p>
        </w:tc>
        <w:tc>
          <w:tcPr>
            <w:tcW w:w="1440" w:type="dxa"/>
            <w:vAlign w:val="center"/>
          </w:tcPr>
          <w:p w14:paraId="06A3A75F" w14:textId="6588967C" w:rsidR="00E10528" w:rsidRPr="00635A81" w:rsidRDefault="00E10528" w:rsidP="00872A54">
            <w:pPr>
              <w:pStyle w:val="tablerowtext"/>
              <w:rPr>
                <w:color w:val="7A0019" w:themeColor="accent1"/>
              </w:rPr>
            </w:pPr>
            <w:r w:rsidRPr="00DC45F9">
              <w:t>44.2</w:t>
            </w:r>
          </w:p>
        </w:tc>
        <w:tc>
          <w:tcPr>
            <w:tcW w:w="1440" w:type="dxa"/>
            <w:vAlign w:val="center"/>
          </w:tcPr>
          <w:p w14:paraId="4F58A7CD" w14:textId="192BAF2A" w:rsidR="00E10528" w:rsidRPr="00635A81" w:rsidRDefault="00E10528" w:rsidP="00872A54">
            <w:pPr>
              <w:pStyle w:val="tablerowtext"/>
              <w:rPr>
                <w:color w:val="7A0019" w:themeColor="accent1"/>
              </w:rPr>
            </w:pPr>
            <w:r w:rsidRPr="00DC45F9">
              <w:t>29.5</w:t>
            </w:r>
          </w:p>
        </w:tc>
        <w:tc>
          <w:tcPr>
            <w:tcW w:w="1440" w:type="dxa"/>
            <w:vAlign w:val="center"/>
          </w:tcPr>
          <w:p w14:paraId="172A3778" w14:textId="5A3C68B2" w:rsidR="00E10528" w:rsidRPr="00635A81" w:rsidRDefault="00E10528" w:rsidP="00872A54">
            <w:pPr>
              <w:pStyle w:val="tablerowtext"/>
              <w:rPr>
                <w:color w:val="7A0019" w:themeColor="accent1"/>
              </w:rPr>
            </w:pPr>
            <w:r w:rsidRPr="00DC45F9">
              <w:t>49.0</w:t>
            </w:r>
          </w:p>
        </w:tc>
        <w:tc>
          <w:tcPr>
            <w:tcW w:w="1440" w:type="dxa"/>
            <w:vAlign w:val="center"/>
          </w:tcPr>
          <w:p w14:paraId="7241FE30" w14:textId="5A896282" w:rsidR="00E10528" w:rsidRPr="00CE4524" w:rsidRDefault="00E10528" w:rsidP="00872A54">
            <w:pPr>
              <w:pStyle w:val="tablerowtext"/>
            </w:pPr>
            <w:r w:rsidRPr="00DC45F9">
              <w:t>42.0</w:t>
            </w:r>
          </w:p>
        </w:tc>
      </w:tr>
    </w:tbl>
    <w:p w14:paraId="49CBA65F" w14:textId="33777FCF" w:rsidR="000E3B74" w:rsidRDefault="000E3B74" w:rsidP="00E10528">
      <w:pPr>
        <w:pStyle w:val="footnotetextextension"/>
      </w:pPr>
    </w:p>
    <w:p w14:paraId="5D46E6FB" w14:textId="011C5A2B" w:rsidR="00361107" w:rsidRDefault="00361107" w:rsidP="00361107">
      <w:pPr>
        <w:pStyle w:val="TableTitleExtension"/>
      </w:pPr>
      <w:r>
        <w:t xml:space="preserve">Figure IDC-5. The effect of rates of dry Soygreen on soybean yield across multiple IDC severities for a highly IDC tolerate (Tol.) and highly IDC susceptible (Susc.) soybean variety. </w:t>
      </w:r>
    </w:p>
    <w:p w14:paraId="0AEB1F60" w14:textId="51D0A978" w:rsidR="00685733" w:rsidRDefault="00361107" w:rsidP="00D941D0">
      <w:pPr>
        <w:pStyle w:val="ParagraphExtension"/>
        <w:jc w:val="center"/>
      </w:pPr>
      <w:r w:rsidRPr="00361107">
        <w:rPr>
          <w:noProof/>
        </w:rPr>
        <w:drawing>
          <wp:inline distT="0" distB="0" distL="0" distR="0" wp14:anchorId="76420FA5" wp14:editId="09C7661B">
            <wp:extent cx="4572000" cy="336550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15499"/>
                    <a:stretch/>
                  </pic:blipFill>
                  <pic:spPr bwMode="auto">
                    <a:xfrm>
                      <a:off x="0" y="0"/>
                      <a:ext cx="4572000" cy="3365500"/>
                    </a:xfrm>
                    <a:prstGeom prst="rect">
                      <a:avLst/>
                    </a:prstGeom>
                    <a:noFill/>
                    <a:ln>
                      <a:noFill/>
                    </a:ln>
                    <a:extLst>
                      <a:ext uri="{53640926-AAD7-44D8-BBD7-CCE9431645EC}">
                        <a14:shadowObscured xmlns:a14="http://schemas.microsoft.com/office/drawing/2010/main"/>
                      </a:ext>
                    </a:extLst>
                  </pic:spPr>
                </pic:pic>
              </a:graphicData>
            </a:graphic>
          </wp:inline>
        </w:drawing>
      </w:r>
    </w:p>
    <w:p w14:paraId="45686433" w14:textId="357D27A5" w:rsidR="00685733" w:rsidRDefault="00685733" w:rsidP="000E3B74">
      <w:pPr>
        <w:pStyle w:val="ParagraphExtension"/>
      </w:pPr>
    </w:p>
    <w:p w14:paraId="6C24A704" w14:textId="572737EF" w:rsidR="00361107" w:rsidRPr="00D941D0" w:rsidRDefault="00361107" w:rsidP="00361107">
      <w:pPr>
        <w:pStyle w:val="Bullet"/>
      </w:pPr>
      <w:r w:rsidRPr="00D941D0">
        <w:t xml:space="preserve">Increasing soybean seeding rate has been reported to reduce the severity of IDC. </w:t>
      </w:r>
      <w:r w:rsidR="002D0BB0" w:rsidRPr="00D941D0">
        <w:t>However, the effect of increasing seeding rate has been found to be</w:t>
      </w:r>
      <w:r w:rsidR="009A7A64" w:rsidRPr="00D941D0">
        <w:t xml:space="preserve"> relatively small and</w:t>
      </w:r>
      <w:r w:rsidR="002D0BB0" w:rsidRPr="00D941D0">
        <w:t xml:space="preserve"> inconsistent among various environments. Recent data shows that increasing seeding rate can increase net return per acre for a highly tolerant variety grown in an area with severe IDC (Figure IDC-6). </w:t>
      </w:r>
      <w:r w:rsidR="005A7FDC" w:rsidRPr="00D941D0">
        <w:t>While increased seeding rates may not be economically viable in all situations, f</w:t>
      </w:r>
      <w:r w:rsidR="009A7A64" w:rsidRPr="00D941D0">
        <w:t>armer</w:t>
      </w:r>
      <w:r w:rsidR="005A7FDC" w:rsidRPr="00D941D0">
        <w:t>s</w:t>
      </w:r>
      <w:r w:rsidR="009A7A64" w:rsidRPr="00D941D0">
        <w:t xml:space="preserve"> should be especially </w:t>
      </w:r>
      <w:r w:rsidR="005A7FDC" w:rsidRPr="00D941D0">
        <w:t xml:space="preserve">careful to avoid deficient stands where IDC may be a concern. </w:t>
      </w:r>
      <w:r w:rsidR="002D0BB0" w:rsidRPr="00D941D0">
        <w:t>Net return from increased seeding rate was not a</w:t>
      </w:r>
      <w:r w:rsidR="00EB0237">
        <w:t>s</w:t>
      </w:r>
      <w:r w:rsidR="002D0BB0" w:rsidRPr="00D941D0">
        <w:t xml:space="preserve"> high as implementing other factors such as adding an ortho-ortho EDDHA iron </w:t>
      </w:r>
      <w:r w:rsidR="00EB0237" w:rsidRPr="00D941D0">
        <w:t>chelate</w:t>
      </w:r>
      <w:r w:rsidR="002D0BB0" w:rsidRPr="00D941D0">
        <w:t xml:space="preserve"> (Soygreen).</w:t>
      </w:r>
    </w:p>
    <w:p w14:paraId="4201D104" w14:textId="7F4EC08C" w:rsidR="00361107" w:rsidRDefault="00361107" w:rsidP="00361107">
      <w:pPr>
        <w:pStyle w:val="TableTitleExtension"/>
      </w:pPr>
      <w:r>
        <w:lastRenderedPageBreak/>
        <w:t xml:space="preserve">Figure IDC-6. Net return per </w:t>
      </w:r>
      <w:r w:rsidR="00C409BF">
        <w:t>acre</w:t>
      </w:r>
      <w:r>
        <w:t xml:space="preserve"> for the impact of </w:t>
      </w:r>
      <w:r w:rsidR="00CE72CB">
        <w:t>Soygreen and increasing seeding rates based on severity of IDC within a field and planting a highly- and moderately IDC tolerant variety</w:t>
      </w:r>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5"/>
        <w:gridCol w:w="5035"/>
      </w:tblGrid>
      <w:tr w:rsidR="00361107" w14:paraId="7088D08E" w14:textId="77777777" w:rsidTr="00361107">
        <w:tc>
          <w:tcPr>
            <w:tcW w:w="5035" w:type="dxa"/>
          </w:tcPr>
          <w:p w14:paraId="110A4561" w14:textId="1E22418D" w:rsidR="00361107" w:rsidRDefault="00361107" w:rsidP="00361107">
            <w:pPr>
              <w:pStyle w:val="ParagraphExtension"/>
              <w:jc w:val="center"/>
            </w:pPr>
            <w:r w:rsidRPr="00361107">
              <w:rPr>
                <w:noProof/>
              </w:rPr>
              <w:drawing>
                <wp:inline distT="0" distB="0" distL="0" distR="0" wp14:anchorId="2339723A" wp14:editId="6DDFD0CB">
                  <wp:extent cx="2743200" cy="2234293"/>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b="21601"/>
                          <a:stretch/>
                        </pic:blipFill>
                        <pic:spPr bwMode="auto">
                          <a:xfrm>
                            <a:off x="0" y="0"/>
                            <a:ext cx="2743200" cy="223429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035" w:type="dxa"/>
          </w:tcPr>
          <w:p w14:paraId="52145189" w14:textId="2CF725C0" w:rsidR="00361107" w:rsidRDefault="00361107" w:rsidP="00361107">
            <w:pPr>
              <w:pStyle w:val="ParagraphExtension"/>
              <w:jc w:val="center"/>
            </w:pPr>
            <w:r w:rsidRPr="00361107">
              <w:rPr>
                <w:noProof/>
              </w:rPr>
              <w:drawing>
                <wp:inline distT="0" distB="0" distL="0" distR="0" wp14:anchorId="206FEFEC" wp14:editId="0153FAEB">
                  <wp:extent cx="2743200" cy="2223407"/>
                  <wp:effectExtent l="0" t="0" r="0" b="571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b="21982"/>
                          <a:stretch/>
                        </pic:blipFill>
                        <pic:spPr bwMode="auto">
                          <a:xfrm>
                            <a:off x="0" y="0"/>
                            <a:ext cx="2743200" cy="2223407"/>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2ED4F072" w14:textId="481BB758" w:rsidR="002D0BB0" w:rsidRDefault="002D0BB0" w:rsidP="002D0BB0">
      <w:pPr>
        <w:pStyle w:val="Heading2Extension"/>
      </w:pPr>
      <w:r>
        <w:t>Summary</w:t>
      </w:r>
    </w:p>
    <w:p w14:paraId="2AEDC749" w14:textId="2CF190DB" w:rsidR="00347236" w:rsidRDefault="00361107" w:rsidP="00361107">
      <w:pPr>
        <w:pStyle w:val="ParagraphExtension"/>
      </w:pPr>
      <w:r w:rsidRPr="00D941D0">
        <w:t>Research involving the combination of tolerant variety, companion crop, seed placed ortho-ortho chelate</w:t>
      </w:r>
      <w:r w:rsidR="002D0BB0" w:rsidRPr="00D941D0">
        <w:t>, and soybean seeding rate has demonstrated that each can be used to reduce the impact of IDC. However, IDC is a process that is impacted by both soil and environmental factors.</w:t>
      </w:r>
      <w:r w:rsidRPr="00D941D0">
        <w:t xml:space="preserve"> </w:t>
      </w:r>
      <w:r w:rsidR="002D0BB0" w:rsidRPr="00D941D0">
        <w:t xml:space="preserve">While all factors together may potentially benefit soybean by reducing IDC severity, not all may be needed in all environments to reduce IDC severity. </w:t>
      </w:r>
      <w:r w:rsidR="00347236" w:rsidRPr="00D941D0">
        <w:t>From both</w:t>
      </w:r>
      <w:r w:rsidR="00347236" w:rsidRPr="00347236">
        <w:t xml:space="preserve"> a yield and economic perspective, the management practices that were most beneficial for producers were </w:t>
      </w:r>
      <w:r w:rsidR="00347236" w:rsidRPr="00D941D0">
        <w:t>variety selection, followed by a seed placed ortho-ortho chelate, increased seeding rate, and lastly the companion crop</w:t>
      </w:r>
      <w:r w:rsidR="00347236" w:rsidRPr="00347236">
        <w:t>.</w:t>
      </w:r>
      <w:r w:rsidR="00EB0237">
        <w:t xml:space="preserve"> </w:t>
      </w:r>
      <w:r w:rsidR="00347236" w:rsidRPr="00347236">
        <w:t>Farmers should tailor these practices to their farms or parts of farms based on risk of loss from IDC as well as their own logistical</w:t>
      </w:r>
      <w:r w:rsidR="00347236">
        <w:t xml:space="preserve">, mechanical, or </w:t>
      </w:r>
      <w:r w:rsidR="00347236" w:rsidRPr="00347236">
        <w:t>management limitations.</w:t>
      </w:r>
      <w:r w:rsidR="00347236">
        <w:t xml:space="preserve">    </w:t>
      </w:r>
    </w:p>
    <w:p w14:paraId="6D475B3B" w14:textId="7A6E329F" w:rsidR="00872A54" w:rsidRDefault="00872A54" w:rsidP="000E3B74">
      <w:pPr>
        <w:pStyle w:val="ParagraphExtension"/>
      </w:pPr>
    </w:p>
    <w:p w14:paraId="1AB96588" w14:textId="456013BC" w:rsidR="002D0BB0" w:rsidRDefault="003E6E09" w:rsidP="000E3B74">
      <w:pPr>
        <w:pStyle w:val="ParagraphExtension"/>
      </w:pPr>
      <w:r w:rsidRPr="005A2C09">
        <w:rPr>
          <w:b/>
          <w:bCs/>
        </w:rPr>
        <w:t>View the full U of M soybean fertilizer guidelines at</w:t>
      </w:r>
      <w:r>
        <w:rPr>
          <w:b/>
          <w:bCs/>
        </w:rPr>
        <w:t>:</w:t>
      </w:r>
      <w:r w:rsidRPr="003E6E09">
        <w:t xml:space="preserve"> </w:t>
      </w:r>
      <w:hyperlink r:id="rId18" w:history="1">
        <w:r w:rsidRPr="003E6E09">
          <w:rPr>
            <w:rStyle w:val="Hyperlink"/>
          </w:rPr>
          <w:t>z.umn.edu/SoybeanFertilizer</w:t>
        </w:r>
      </w:hyperlink>
    </w:p>
    <w:p w14:paraId="7484C0F2" w14:textId="23EAFA9A" w:rsidR="00D941D0" w:rsidRDefault="00D941D0" w:rsidP="000E3B74">
      <w:pPr>
        <w:pStyle w:val="ParagraphExtension"/>
      </w:pPr>
    </w:p>
    <w:p w14:paraId="089CB500" w14:textId="7ED86650" w:rsidR="00D941D0" w:rsidRDefault="00D941D0" w:rsidP="000E3B74">
      <w:pPr>
        <w:pStyle w:val="ParagraphExtension"/>
      </w:pPr>
    </w:p>
    <w:p w14:paraId="4ED9F66F" w14:textId="1ACFE568" w:rsidR="00D941D0" w:rsidRDefault="00D941D0" w:rsidP="000E3B74">
      <w:pPr>
        <w:pStyle w:val="ParagraphExtension"/>
      </w:pPr>
    </w:p>
    <w:p w14:paraId="34A07B88" w14:textId="0BAFE574" w:rsidR="00D941D0" w:rsidRDefault="00D941D0" w:rsidP="000E3B74">
      <w:pPr>
        <w:pStyle w:val="ParagraphExtension"/>
      </w:pPr>
    </w:p>
    <w:p w14:paraId="76024CD5" w14:textId="77777777" w:rsidR="00D941D0" w:rsidRPr="000E3B74" w:rsidRDefault="00D941D0" w:rsidP="000E3B74">
      <w:pPr>
        <w:pStyle w:val="ParagraphExtension"/>
      </w:pPr>
    </w:p>
    <w:p w14:paraId="16333624" w14:textId="77777777" w:rsidR="000E3B74" w:rsidRPr="000E3B74" w:rsidRDefault="000E3B74" w:rsidP="000E3B74">
      <w:pPr>
        <w:pStyle w:val="ParagraphExtension"/>
      </w:pPr>
    </w:p>
    <w:p w14:paraId="336F81C0" w14:textId="5D72BFC1" w:rsidR="00F738D3" w:rsidRDefault="00F738D3" w:rsidP="00A9345A">
      <w:pPr>
        <w:pStyle w:val="ParagraphExtension"/>
      </w:pPr>
      <w:r>
        <w:rPr>
          <w:noProof/>
        </w:rPr>
        <w:drawing>
          <wp:anchor distT="91440" distB="91440" distL="114300" distR="114300" simplePos="0" relativeHeight="251664384" behindDoc="0" locked="0" layoutInCell="1" allowOverlap="0" wp14:anchorId="194AD887" wp14:editId="7D059E78">
            <wp:simplePos x="0" y="0"/>
            <wp:positionH relativeFrom="column">
              <wp:posOffset>0</wp:posOffset>
            </wp:positionH>
            <wp:positionV relativeFrom="paragraph">
              <wp:posOffset>416990</wp:posOffset>
            </wp:positionV>
            <wp:extent cx="3026664" cy="265176"/>
            <wp:effectExtent l="0" t="0" r="0" b="1905"/>
            <wp:wrapTopAndBottom/>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026664" cy="265176"/>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inline distT="0" distB="0" distL="0" distR="0" wp14:anchorId="1788C297" wp14:editId="47788098">
                <wp:extent cx="6400800" cy="274320"/>
                <wp:effectExtent l="0" t="0" r="12700" b="17780"/>
                <wp:docPr id="5" name="Text Box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274320"/>
                        </a:xfrm>
                        <a:prstGeom prst="rect">
                          <a:avLst/>
                        </a:prstGeom>
                        <a:noFill/>
                        <a:ln w="6350">
                          <a:solidFill>
                            <a:schemeClr val="accent1"/>
                          </a:solidFill>
                        </a:ln>
                      </wps:spPr>
                      <wps:txbx>
                        <w:txbxContent>
                          <w:p w14:paraId="38655E2D" w14:textId="77777777" w:rsidR="00F738D3" w:rsidRPr="00EF3520" w:rsidRDefault="00F738D3" w:rsidP="00EF3520">
                            <w:pPr>
                              <w:pStyle w:val="Call-outtextmaroonExtension"/>
                            </w:pPr>
                            <w:r w:rsidRPr="00EF3520">
                              <w:t>Funding for printing this publication is provided by Minnesota’s Agricultural Fertilizer Research and Education Council (AFREC).</w:t>
                            </w:r>
                          </w:p>
                        </w:txbxContent>
                      </wps:txbx>
                      <wps:bodyPr rot="0" vert="horz" wrap="square" lIns="0" tIns="0" rIns="0" bIns="0" anchor="ctr" anchorCtr="0" upright="1">
                        <a:noAutofit/>
                      </wps:bodyPr>
                    </wps:wsp>
                  </a:graphicData>
                </a:graphic>
              </wp:inline>
            </w:drawing>
          </mc:Choice>
          <mc:Fallback xmlns:w16du="http://schemas.microsoft.com/office/word/2023/wordml/word16du">
            <w:pict>
              <v:shape w14:anchorId="1788C297" id="Text Box 21" o:spid="_x0000_s1033" type="#_x0000_t202" alt="&quot;&quot;" style="width:7in;height:21.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" filled="f" strokecolor="#7a0019 [3204]" strokeweight=".5pt">
                <v:textbox inset="0,0,0,0">
                  <w:txbxContent>
                    <w:p w14:paraId="38655E2D" w14:textId="77777777" w:rsidR="00F738D3" w:rsidRPr="00EF3520" w:rsidRDefault="00F738D3" w:rsidP="00EF3520">
                      <w:pPr>
                        <w:pStyle w:val="Call-outtextmaroonExtension"/>
                      </w:pPr>
                      <w:r w:rsidRPr="00EF3520">
                        <w:t>Funding for printing this publication is provided by Minnesota’s Agricultural Fertilizer Research and Education Council (AFREC).</w:t>
                      </w:r>
                    </w:p>
                  </w:txbxContent>
                </v:textbox>
                <w10:anchorlock/>
              </v:shape>
            </w:pict>
          </mc:Fallback>
        </mc:AlternateContent>
      </w:r>
    </w:p>
    <w:p w14:paraId="05F6A3B2" w14:textId="70B72A2E" w:rsidR="00A9345A" w:rsidRPr="00455E2E" w:rsidRDefault="00A9345A" w:rsidP="00CE34EF">
      <w:pPr>
        <w:pStyle w:val="LegalTextExtension"/>
      </w:pPr>
      <w:r w:rsidRPr="00455E2E">
        <w:t>© 202</w:t>
      </w:r>
      <w:r w:rsidR="004E51C5">
        <w:t>3</w:t>
      </w:r>
      <w:r w:rsidRPr="00455E2E">
        <w:t>, Regents of the University of Minnesota. University of Minnesota Extension is an equal opportunity educator and employer. In accordance with the Americans with Disabilities Act, this publication/material is available in alternative formats upon request. Direct requests to 612-624-1222.</w:t>
      </w:r>
    </w:p>
    <w:sectPr w:rsidR="00A9345A" w:rsidRPr="00455E2E" w:rsidSect="007216DE">
      <w:headerReference w:type="default" r:id="rId20"/>
      <w:footerReference w:type="default" r:id="rId21"/>
      <w:headerReference w:type="first" r:id="rId22"/>
      <w:footerReference w:type="first" r:id="rId23"/>
      <w:type w:val="continuous"/>
      <w:pgSz w:w="12240" w:h="15840"/>
      <w:pgMar w:top="1440" w:right="1080" w:bottom="1152" w:left="1080" w:header="720" w:footer="86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91007B" w14:textId="77777777" w:rsidR="00632A06" w:rsidRDefault="00632A06" w:rsidP="0052797E">
      <w:r>
        <w:separator/>
      </w:r>
    </w:p>
    <w:p w14:paraId="23CC2562" w14:textId="77777777" w:rsidR="00632A06" w:rsidRDefault="00632A06"/>
    <w:p w14:paraId="69C2EB01" w14:textId="77777777" w:rsidR="00632A06" w:rsidRDefault="00632A06"/>
  </w:endnote>
  <w:endnote w:type="continuationSeparator" w:id="0">
    <w:p w14:paraId="2576671F" w14:textId="77777777" w:rsidR="00632A06" w:rsidRDefault="00632A06" w:rsidP="0052797E">
      <w:r>
        <w:continuationSeparator/>
      </w:r>
    </w:p>
    <w:p w14:paraId="4A5EDE1D" w14:textId="77777777" w:rsidR="00632A06" w:rsidRDefault="00632A06"/>
    <w:p w14:paraId="347BCDCF" w14:textId="77777777" w:rsidR="00632A06" w:rsidRDefault="00632A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Bright">
    <w:panose1 w:val="020406020505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XT DINOT-Bold">
    <w:altName w:val="Calibri"/>
    <w:panose1 w:val="00000000000000000000"/>
    <w:charset w:val="00"/>
    <w:family w:val="modern"/>
    <w:notTrueType/>
    <w:pitch w:val="variable"/>
    <w:sig w:usb0="00000003" w:usb1="00000001" w:usb2="00000000" w:usb3="00000000" w:csb0="00000001" w:csb1="00000000"/>
  </w:font>
  <w:font w:name="HelveticaNeueLTStd-Bd">
    <w:altName w:val="Arial"/>
    <w:panose1 w:val="00000000000000000000"/>
    <w:charset w:val="4D"/>
    <w:family w:val="swiss"/>
    <w:notTrueType/>
    <w:pitch w:val="variable"/>
    <w:sig w:usb0="00000003" w:usb1="00000000" w:usb2="00000000" w:usb3="00000000" w:csb0="00000001" w:csb1="00000000"/>
  </w:font>
  <w:font w:name="GlyphaLTStd">
    <w:altName w:val="Calibri"/>
    <w:panose1 w:val="00000000000000000000"/>
    <w:charset w:val="4D"/>
    <w:family w:val="auto"/>
    <w:notTrueType/>
    <w:pitch w:val="default"/>
    <w:sig w:usb0="00000003" w:usb1="00000000" w:usb2="00000000" w:usb3="00000000" w:csb0="00000001" w:csb1="00000000"/>
  </w:font>
  <w:font w:name="Times New Roman (Body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731644846"/>
      <w:docPartObj>
        <w:docPartGallery w:val="Page Numbers (Bottom of Page)"/>
        <w:docPartUnique/>
      </w:docPartObj>
    </w:sdtPr>
    <w:sdtEndPr>
      <w:rPr>
        <w:sz w:val="13"/>
        <w:szCs w:val="13"/>
      </w:rPr>
    </w:sdtEndPr>
    <w:sdtContent>
      <w:p w14:paraId="418EFD93" w14:textId="191D42A6" w:rsidR="002B419A" w:rsidRPr="00FF6012" w:rsidRDefault="00872A54" w:rsidP="009B437E">
        <w:pPr>
          <w:pStyle w:val="Footer"/>
        </w:pPr>
        <w:r>
          <w:t>IDC</w:t>
        </w:r>
        <w:r w:rsidR="00993E54">
          <w:t>-</w:t>
        </w:r>
        <w:r w:rsidR="002B419A" w:rsidRPr="00FF6012">
          <w:rPr>
            <w:noProof w:val="0"/>
          </w:rPr>
          <w:fldChar w:fldCharType="begin"/>
        </w:r>
        <w:r w:rsidR="002B419A" w:rsidRPr="00FF6012">
          <w:instrText xml:space="preserve"> PAGE   \* MERGEFORMAT </w:instrText>
        </w:r>
        <w:r w:rsidR="002B419A" w:rsidRPr="00FF6012">
          <w:rPr>
            <w:noProof w:val="0"/>
          </w:rPr>
          <w:fldChar w:fldCharType="separate"/>
        </w:r>
        <w:r w:rsidR="002B419A">
          <w:t>4</w:t>
        </w:r>
        <w:r w:rsidR="002B419A" w:rsidRPr="00FF6012">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090355635"/>
      <w:docPartObj>
        <w:docPartGallery w:val="Page Numbers (Bottom of Page)"/>
        <w:docPartUnique/>
      </w:docPartObj>
    </w:sdtPr>
    <w:sdtEndPr>
      <w:rPr>
        <w:sz w:val="13"/>
        <w:szCs w:val="13"/>
      </w:rPr>
    </w:sdtEndPr>
    <w:sdtContent>
      <w:sdt>
        <w:sdtPr>
          <w:rPr>
            <w:sz w:val="16"/>
            <w:szCs w:val="16"/>
          </w:rPr>
          <w:id w:val="-1226454031"/>
          <w:docPartObj>
            <w:docPartGallery w:val="Page Numbers (Bottom of Page)"/>
            <w:docPartUnique/>
          </w:docPartObj>
        </w:sdtPr>
        <w:sdtEndPr>
          <w:rPr>
            <w:sz w:val="13"/>
            <w:szCs w:val="13"/>
          </w:rPr>
        </w:sdtEndPr>
        <w:sdtContent>
          <w:p w14:paraId="17C19FF6" w14:textId="229DA2BE" w:rsidR="00F15D37" w:rsidRPr="009B437E" w:rsidRDefault="007A352C" w:rsidP="00E2766B">
            <w:pPr>
              <w:pStyle w:val="Footer"/>
              <w:tabs>
                <w:tab w:val="clear" w:pos="4680"/>
                <w:tab w:val="clear" w:pos="9360"/>
                <w:tab w:val="right" w:pos="10080"/>
              </w:tabs>
              <w:jc w:val="left"/>
            </w:pPr>
            <w:r w:rsidRPr="007A352C">
              <w:t>A</w:t>
            </w:r>
            <w:r>
              <w:t>G-</w:t>
            </w:r>
            <w:r w:rsidRPr="007A352C">
              <w:t>FO-08672</w:t>
            </w:r>
            <w:r w:rsidRPr="00945AD9">
              <w:t xml:space="preserve"> </w:t>
            </w:r>
            <w:r>
              <w:tab/>
            </w:r>
            <w:r w:rsidR="00AD75BE">
              <w:t>IDC</w:t>
            </w:r>
            <w:r w:rsidRPr="00945AD9">
              <w:t>-</w:t>
            </w:r>
            <w:r w:rsidRPr="00945AD9">
              <w:fldChar w:fldCharType="begin"/>
            </w:r>
            <w:r w:rsidRPr="00945AD9">
              <w:instrText xml:space="preserve"> PAGE   \* MERGEFORMAT </w:instrText>
            </w:r>
            <w:r w:rsidRPr="00945AD9">
              <w:fldChar w:fldCharType="separate"/>
            </w:r>
            <w:r>
              <w:t>1</w:t>
            </w:r>
            <w:r w:rsidRPr="00945AD9">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7B2542" w14:textId="77777777" w:rsidR="00632A06" w:rsidRDefault="00632A06" w:rsidP="0052797E">
      <w:r>
        <w:separator/>
      </w:r>
    </w:p>
    <w:p w14:paraId="365138A2" w14:textId="77777777" w:rsidR="00632A06" w:rsidRDefault="00632A06"/>
    <w:p w14:paraId="64F668A7" w14:textId="77777777" w:rsidR="00632A06" w:rsidRDefault="00632A06"/>
  </w:footnote>
  <w:footnote w:type="continuationSeparator" w:id="0">
    <w:p w14:paraId="64A6783E" w14:textId="77777777" w:rsidR="00632A06" w:rsidRDefault="00632A06" w:rsidP="0052797E">
      <w:r>
        <w:continuationSeparator/>
      </w:r>
    </w:p>
    <w:p w14:paraId="615FD3AA" w14:textId="77777777" w:rsidR="00632A06" w:rsidRDefault="00632A06"/>
    <w:p w14:paraId="3448053D" w14:textId="77777777" w:rsidR="00632A06" w:rsidRDefault="00632A0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862F9" w14:textId="324D88A0" w:rsidR="005371EE" w:rsidRDefault="002B419A" w:rsidP="009B437E">
    <w:pPr>
      <w:pStyle w:val="Header"/>
    </w:pPr>
    <w:r>
      <w:rPr>
        <w:noProof/>
      </w:rPr>
      <w:drawing>
        <wp:anchor distT="0" distB="0" distL="114300" distR="114300" simplePos="0" relativeHeight="251680768" behindDoc="1" locked="1" layoutInCell="1" allowOverlap="1" wp14:anchorId="302A5DCC" wp14:editId="72D4678C">
          <wp:simplePos x="0" y="0"/>
          <wp:positionH relativeFrom="page">
            <wp:posOffset>0</wp:posOffset>
          </wp:positionH>
          <wp:positionV relativeFrom="page">
            <wp:posOffset>0</wp:posOffset>
          </wp:positionV>
          <wp:extent cx="7772400" cy="10058400"/>
          <wp:effectExtent l="0" t="0" r="0"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nfo-sheet-bg-2020-v3-2.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36EF1" w14:textId="77777777" w:rsidR="00AC2273" w:rsidRPr="00AC2273" w:rsidRDefault="00AC2273" w:rsidP="00A9345A">
    <w:pPr>
      <w:pStyle w:val="Header"/>
      <w:rPr>
        <w:sz w:val="23"/>
        <w:szCs w:val="23"/>
      </w:rPr>
    </w:pPr>
  </w:p>
  <w:p w14:paraId="7013644F" w14:textId="77777777" w:rsidR="00A9345A" w:rsidRPr="00AC2273" w:rsidRDefault="00A9345A" w:rsidP="00A9345A">
    <w:pPr>
      <w:pStyle w:val="Header"/>
      <w:rPr>
        <w:sz w:val="23"/>
        <w:szCs w:val="23"/>
      </w:rPr>
    </w:pPr>
  </w:p>
  <w:p w14:paraId="0E6E5899" w14:textId="77777777" w:rsidR="00A9345A" w:rsidRPr="00AC2273" w:rsidRDefault="00A9345A" w:rsidP="00A9345A">
    <w:pPr>
      <w:pStyle w:val="Header"/>
      <w:rPr>
        <w:sz w:val="23"/>
        <w:szCs w:val="23"/>
      </w:rPr>
    </w:pPr>
  </w:p>
  <w:p w14:paraId="17BD87B5" w14:textId="04E44A50" w:rsidR="00A9345A" w:rsidRPr="00AC2273" w:rsidRDefault="00A9345A" w:rsidP="00A9345A">
    <w:pPr>
      <w:pStyle w:val="Header"/>
      <w:rPr>
        <w:sz w:val="23"/>
        <w:szCs w:val="23"/>
      </w:rPr>
    </w:pPr>
    <w:r w:rsidRPr="00AC2273">
      <w:rPr>
        <w:noProof/>
        <w:sz w:val="23"/>
        <w:szCs w:val="23"/>
      </w:rPr>
      <w:drawing>
        <wp:anchor distT="0" distB="0" distL="114300" distR="114300" simplePos="0" relativeHeight="251682816" behindDoc="1" locked="1" layoutInCell="1" allowOverlap="1" wp14:anchorId="3B2187F8" wp14:editId="7FA3E4F8">
          <wp:simplePos x="0" y="0"/>
          <wp:positionH relativeFrom="page">
            <wp:posOffset>0</wp:posOffset>
          </wp:positionH>
          <wp:positionV relativeFrom="page">
            <wp:posOffset>0</wp:posOffset>
          </wp:positionV>
          <wp:extent cx="7772400" cy="10058400"/>
          <wp:effectExtent l="0" t="0" r="0" b="0"/>
          <wp:wrapNone/>
          <wp:docPr id="36" name="Picture 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nfo-sheet-bg-2020-v3-1.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538869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7F2E32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27C0FD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65C3B9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8E49F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A346AE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EA6C61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234D5A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B12B1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36EBC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1A715EB"/>
    <w:multiLevelType w:val="hybridMultilevel"/>
    <w:tmpl w:val="07AED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8F41E6A"/>
    <w:multiLevelType w:val="hybridMultilevel"/>
    <w:tmpl w:val="22E8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CE40C0"/>
    <w:multiLevelType w:val="hybridMultilevel"/>
    <w:tmpl w:val="8E48FAF8"/>
    <w:lvl w:ilvl="0" w:tplc="7C14829E">
      <w:start w:val="1"/>
      <w:numFmt w:val="bullet"/>
      <w:pStyle w:val="Bullet"/>
      <w:lvlText w:val=""/>
      <w:lvlJc w:val="left"/>
      <w:pPr>
        <w:ind w:left="360" w:hanging="360"/>
      </w:pPr>
      <w:rPr>
        <w:rFonts w:ascii="Symbol" w:hAnsi="Symbol" w:hint="default"/>
        <w:color w:val="7A0019"/>
        <w:sz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FA6CE2"/>
    <w:multiLevelType w:val="multilevel"/>
    <w:tmpl w:val="07AED924"/>
    <w:styleLink w:val="CurrentLi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DA6705B"/>
    <w:multiLevelType w:val="hybridMultilevel"/>
    <w:tmpl w:val="59F695CE"/>
    <w:lvl w:ilvl="0" w:tplc="6E1ED322">
      <w:start w:val="1"/>
      <w:numFmt w:val="bullet"/>
      <w:pStyle w:val="BulletExtension"/>
      <w:lvlText w:val=""/>
      <w:lvlJc w:val="left"/>
      <w:pPr>
        <w:ind w:left="720" w:hanging="360"/>
      </w:pPr>
      <w:rPr>
        <w:rFonts w:ascii="Wingdings" w:hAnsi="Wingdings" w:hint="default"/>
        <w:color w:val="CE1B22" w:themeColor="accent3"/>
        <w:sz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A66B01"/>
    <w:multiLevelType w:val="hybridMultilevel"/>
    <w:tmpl w:val="EBA0FB64"/>
    <w:lvl w:ilvl="0" w:tplc="B7F242A2">
      <w:start w:val="1"/>
      <w:numFmt w:val="bullet"/>
      <w:pStyle w:val="FormulaBullet"/>
      <w:lvlText w:val=""/>
      <w:lvlJc w:val="left"/>
      <w:pPr>
        <w:ind w:left="720" w:hanging="360"/>
      </w:pPr>
      <w:rPr>
        <w:rFonts w:ascii="Symbol" w:hAnsi="Symbol" w:hint="default"/>
        <w:color w:val="7A0019"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006387E"/>
    <w:multiLevelType w:val="hybridMultilevel"/>
    <w:tmpl w:val="F92CA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73900143">
    <w:abstractNumId w:val="13"/>
  </w:num>
  <w:num w:numId="2" w16cid:durableId="291062086">
    <w:abstractNumId w:val="15"/>
  </w:num>
  <w:num w:numId="3" w16cid:durableId="450131765">
    <w:abstractNumId w:val="12"/>
  </w:num>
  <w:num w:numId="4" w16cid:durableId="281806357">
    <w:abstractNumId w:val="17"/>
  </w:num>
  <w:num w:numId="5" w16cid:durableId="1145045455">
    <w:abstractNumId w:val="0"/>
  </w:num>
  <w:num w:numId="6" w16cid:durableId="2068798135">
    <w:abstractNumId w:val="1"/>
  </w:num>
  <w:num w:numId="7" w16cid:durableId="1138495822">
    <w:abstractNumId w:val="2"/>
  </w:num>
  <w:num w:numId="8" w16cid:durableId="1855875662">
    <w:abstractNumId w:val="3"/>
  </w:num>
  <w:num w:numId="9" w16cid:durableId="134374460">
    <w:abstractNumId w:val="8"/>
  </w:num>
  <w:num w:numId="10" w16cid:durableId="148714803">
    <w:abstractNumId w:val="4"/>
  </w:num>
  <w:num w:numId="11" w16cid:durableId="819006778">
    <w:abstractNumId w:val="5"/>
  </w:num>
  <w:num w:numId="12" w16cid:durableId="114177156">
    <w:abstractNumId w:val="6"/>
  </w:num>
  <w:num w:numId="13" w16cid:durableId="1868717866">
    <w:abstractNumId w:val="7"/>
  </w:num>
  <w:num w:numId="14" w16cid:durableId="755253537">
    <w:abstractNumId w:val="9"/>
  </w:num>
  <w:num w:numId="15" w16cid:durableId="2108504928">
    <w:abstractNumId w:val="11"/>
  </w:num>
  <w:num w:numId="16" w16cid:durableId="45951824">
    <w:abstractNumId w:val="14"/>
  </w:num>
  <w:num w:numId="17" w16cid:durableId="1694913775">
    <w:abstractNumId w:val="16"/>
  </w:num>
  <w:num w:numId="18" w16cid:durableId="16317840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74F1"/>
    <w:rsid w:val="00003F83"/>
    <w:rsid w:val="00007D7F"/>
    <w:rsid w:val="0001339A"/>
    <w:rsid w:val="000161C0"/>
    <w:rsid w:val="00017059"/>
    <w:rsid w:val="00025995"/>
    <w:rsid w:val="00026539"/>
    <w:rsid w:val="00033987"/>
    <w:rsid w:val="000350A4"/>
    <w:rsid w:val="00036D57"/>
    <w:rsid w:val="00041941"/>
    <w:rsid w:val="00042008"/>
    <w:rsid w:val="000420BF"/>
    <w:rsid w:val="00042524"/>
    <w:rsid w:val="00045582"/>
    <w:rsid w:val="00052461"/>
    <w:rsid w:val="00061402"/>
    <w:rsid w:val="00070B2F"/>
    <w:rsid w:val="00081D8A"/>
    <w:rsid w:val="00091F64"/>
    <w:rsid w:val="000955F3"/>
    <w:rsid w:val="0009787D"/>
    <w:rsid w:val="000A1933"/>
    <w:rsid w:val="000A4578"/>
    <w:rsid w:val="000A5526"/>
    <w:rsid w:val="000B191A"/>
    <w:rsid w:val="000C199E"/>
    <w:rsid w:val="000D02A9"/>
    <w:rsid w:val="000D603D"/>
    <w:rsid w:val="000E3B74"/>
    <w:rsid w:val="000E3D26"/>
    <w:rsid w:val="000F323B"/>
    <w:rsid w:val="000F4DF7"/>
    <w:rsid w:val="00102C32"/>
    <w:rsid w:val="00110464"/>
    <w:rsid w:val="0011546B"/>
    <w:rsid w:val="00120A63"/>
    <w:rsid w:val="0013275F"/>
    <w:rsid w:val="00132E22"/>
    <w:rsid w:val="00137426"/>
    <w:rsid w:val="00137804"/>
    <w:rsid w:val="001617DA"/>
    <w:rsid w:val="0016553E"/>
    <w:rsid w:val="0017738E"/>
    <w:rsid w:val="0018177C"/>
    <w:rsid w:val="00183F52"/>
    <w:rsid w:val="00190AAC"/>
    <w:rsid w:val="0019360F"/>
    <w:rsid w:val="00194677"/>
    <w:rsid w:val="001A419E"/>
    <w:rsid w:val="001A55CB"/>
    <w:rsid w:val="001A5D32"/>
    <w:rsid w:val="001B4B99"/>
    <w:rsid w:val="001C2357"/>
    <w:rsid w:val="001C2CB4"/>
    <w:rsid w:val="001E0A69"/>
    <w:rsid w:val="001E1D80"/>
    <w:rsid w:val="001F2D63"/>
    <w:rsid w:val="001F3280"/>
    <w:rsid w:val="001F46E7"/>
    <w:rsid w:val="00211BF6"/>
    <w:rsid w:val="00217469"/>
    <w:rsid w:val="00222A8C"/>
    <w:rsid w:val="00223CC5"/>
    <w:rsid w:val="00225D7A"/>
    <w:rsid w:val="00236149"/>
    <w:rsid w:val="002374F1"/>
    <w:rsid w:val="00241EA9"/>
    <w:rsid w:val="0025756A"/>
    <w:rsid w:val="0026055F"/>
    <w:rsid w:val="00263752"/>
    <w:rsid w:val="0027163F"/>
    <w:rsid w:val="0027239F"/>
    <w:rsid w:val="00275931"/>
    <w:rsid w:val="0028322A"/>
    <w:rsid w:val="00283A89"/>
    <w:rsid w:val="00285F72"/>
    <w:rsid w:val="00293586"/>
    <w:rsid w:val="0029461B"/>
    <w:rsid w:val="002B419A"/>
    <w:rsid w:val="002B7B70"/>
    <w:rsid w:val="002D0BB0"/>
    <w:rsid w:val="002D2F80"/>
    <w:rsid w:val="002F0992"/>
    <w:rsid w:val="002F733F"/>
    <w:rsid w:val="00303A96"/>
    <w:rsid w:val="00310653"/>
    <w:rsid w:val="00310C7E"/>
    <w:rsid w:val="00324248"/>
    <w:rsid w:val="00325CCD"/>
    <w:rsid w:val="0033204A"/>
    <w:rsid w:val="003324C3"/>
    <w:rsid w:val="00347236"/>
    <w:rsid w:val="00347373"/>
    <w:rsid w:val="00361107"/>
    <w:rsid w:val="003660CD"/>
    <w:rsid w:val="00370E73"/>
    <w:rsid w:val="00380427"/>
    <w:rsid w:val="00381501"/>
    <w:rsid w:val="00384B52"/>
    <w:rsid w:val="00385613"/>
    <w:rsid w:val="003858FC"/>
    <w:rsid w:val="003B1C47"/>
    <w:rsid w:val="003B4A89"/>
    <w:rsid w:val="003C3C5A"/>
    <w:rsid w:val="003C5DC8"/>
    <w:rsid w:val="003C6FE3"/>
    <w:rsid w:val="003D0FFA"/>
    <w:rsid w:val="003D2E8D"/>
    <w:rsid w:val="003E6E09"/>
    <w:rsid w:val="003F0ABB"/>
    <w:rsid w:val="003F3763"/>
    <w:rsid w:val="003F4E0B"/>
    <w:rsid w:val="00412BC8"/>
    <w:rsid w:val="00415DFF"/>
    <w:rsid w:val="00422C13"/>
    <w:rsid w:val="00431C65"/>
    <w:rsid w:val="004323C8"/>
    <w:rsid w:val="00434251"/>
    <w:rsid w:val="004347F4"/>
    <w:rsid w:val="00454140"/>
    <w:rsid w:val="00455E2E"/>
    <w:rsid w:val="00476E9F"/>
    <w:rsid w:val="004807C2"/>
    <w:rsid w:val="0048387B"/>
    <w:rsid w:val="0049750E"/>
    <w:rsid w:val="004B4F99"/>
    <w:rsid w:val="004C2E0B"/>
    <w:rsid w:val="004C45DA"/>
    <w:rsid w:val="004D1F59"/>
    <w:rsid w:val="004D2E4F"/>
    <w:rsid w:val="004E51C5"/>
    <w:rsid w:val="00506597"/>
    <w:rsid w:val="0050742A"/>
    <w:rsid w:val="0052181A"/>
    <w:rsid w:val="005250B7"/>
    <w:rsid w:val="00526BBA"/>
    <w:rsid w:val="0052797E"/>
    <w:rsid w:val="00527F45"/>
    <w:rsid w:val="00532117"/>
    <w:rsid w:val="005371EE"/>
    <w:rsid w:val="005403BE"/>
    <w:rsid w:val="0054748B"/>
    <w:rsid w:val="00552F9E"/>
    <w:rsid w:val="0055740C"/>
    <w:rsid w:val="00564150"/>
    <w:rsid w:val="00567107"/>
    <w:rsid w:val="00575C82"/>
    <w:rsid w:val="005A2C09"/>
    <w:rsid w:val="005A31C7"/>
    <w:rsid w:val="005A5C1E"/>
    <w:rsid w:val="005A6B7A"/>
    <w:rsid w:val="005A7FDC"/>
    <w:rsid w:val="005B1F3B"/>
    <w:rsid w:val="005B4B2D"/>
    <w:rsid w:val="005B60ED"/>
    <w:rsid w:val="005C392D"/>
    <w:rsid w:val="005C5F36"/>
    <w:rsid w:val="005D4D3B"/>
    <w:rsid w:val="005D7FC5"/>
    <w:rsid w:val="005E79F0"/>
    <w:rsid w:val="0060656C"/>
    <w:rsid w:val="00617112"/>
    <w:rsid w:val="00632A06"/>
    <w:rsid w:val="00633CB0"/>
    <w:rsid w:val="00635A81"/>
    <w:rsid w:val="00635E86"/>
    <w:rsid w:val="00647DBF"/>
    <w:rsid w:val="006536D4"/>
    <w:rsid w:val="006613A0"/>
    <w:rsid w:val="006650AC"/>
    <w:rsid w:val="006676D5"/>
    <w:rsid w:val="00681274"/>
    <w:rsid w:val="00681BB3"/>
    <w:rsid w:val="00685733"/>
    <w:rsid w:val="00690DDC"/>
    <w:rsid w:val="006B4A83"/>
    <w:rsid w:val="006C4627"/>
    <w:rsid w:val="006D16E8"/>
    <w:rsid w:val="006D7800"/>
    <w:rsid w:val="006E0DE3"/>
    <w:rsid w:val="006E274E"/>
    <w:rsid w:val="006E5E5E"/>
    <w:rsid w:val="00707AF6"/>
    <w:rsid w:val="007216DE"/>
    <w:rsid w:val="00725D24"/>
    <w:rsid w:val="00745276"/>
    <w:rsid w:val="00760EDD"/>
    <w:rsid w:val="00771C80"/>
    <w:rsid w:val="007803BD"/>
    <w:rsid w:val="00784A2C"/>
    <w:rsid w:val="00792635"/>
    <w:rsid w:val="00793B2D"/>
    <w:rsid w:val="007A352C"/>
    <w:rsid w:val="007A78D3"/>
    <w:rsid w:val="007C0198"/>
    <w:rsid w:val="007C565F"/>
    <w:rsid w:val="007C5CDA"/>
    <w:rsid w:val="007C62D3"/>
    <w:rsid w:val="007C710F"/>
    <w:rsid w:val="007D2E9A"/>
    <w:rsid w:val="007F49A9"/>
    <w:rsid w:val="008065CA"/>
    <w:rsid w:val="00807357"/>
    <w:rsid w:val="00821E25"/>
    <w:rsid w:val="00822407"/>
    <w:rsid w:val="008308EC"/>
    <w:rsid w:val="00836956"/>
    <w:rsid w:val="00856D58"/>
    <w:rsid w:val="0087066A"/>
    <w:rsid w:val="00872A54"/>
    <w:rsid w:val="008A6B7B"/>
    <w:rsid w:val="008B3F5B"/>
    <w:rsid w:val="008D470B"/>
    <w:rsid w:val="008E1AA3"/>
    <w:rsid w:val="008E2FC4"/>
    <w:rsid w:val="009114FE"/>
    <w:rsid w:val="00922BD3"/>
    <w:rsid w:val="00923353"/>
    <w:rsid w:val="00933871"/>
    <w:rsid w:val="00937DD7"/>
    <w:rsid w:val="009435FF"/>
    <w:rsid w:val="00946EFE"/>
    <w:rsid w:val="00954EF2"/>
    <w:rsid w:val="00961ABC"/>
    <w:rsid w:val="009660B6"/>
    <w:rsid w:val="00970869"/>
    <w:rsid w:val="00970995"/>
    <w:rsid w:val="009739E9"/>
    <w:rsid w:val="00973EB7"/>
    <w:rsid w:val="00975A28"/>
    <w:rsid w:val="00993E54"/>
    <w:rsid w:val="009A191E"/>
    <w:rsid w:val="009A7A64"/>
    <w:rsid w:val="009B1482"/>
    <w:rsid w:val="009B342E"/>
    <w:rsid w:val="009B387E"/>
    <w:rsid w:val="009B437E"/>
    <w:rsid w:val="009D030C"/>
    <w:rsid w:val="009D3A7D"/>
    <w:rsid w:val="009F27DE"/>
    <w:rsid w:val="00A01155"/>
    <w:rsid w:val="00A02210"/>
    <w:rsid w:val="00A0413A"/>
    <w:rsid w:val="00A1030B"/>
    <w:rsid w:val="00A12E58"/>
    <w:rsid w:val="00A13B1C"/>
    <w:rsid w:val="00A14FF6"/>
    <w:rsid w:val="00A36571"/>
    <w:rsid w:val="00A443B4"/>
    <w:rsid w:val="00A4483D"/>
    <w:rsid w:val="00A5146A"/>
    <w:rsid w:val="00A5656E"/>
    <w:rsid w:val="00A61363"/>
    <w:rsid w:val="00A618FA"/>
    <w:rsid w:val="00A62907"/>
    <w:rsid w:val="00A64685"/>
    <w:rsid w:val="00A70A1C"/>
    <w:rsid w:val="00A75435"/>
    <w:rsid w:val="00A758D1"/>
    <w:rsid w:val="00A917E3"/>
    <w:rsid w:val="00A9183C"/>
    <w:rsid w:val="00A9345A"/>
    <w:rsid w:val="00A96A29"/>
    <w:rsid w:val="00AA2CDA"/>
    <w:rsid w:val="00AC2273"/>
    <w:rsid w:val="00AC4720"/>
    <w:rsid w:val="00AD02B3"/>
    <w:rsid w:val="00AD0DFC"/>
    <w:rsid w:val="00AD131E"/>
    <w:rsid w:val="00AD75BE"/>
    <w:rsid w:val="00B04032"/>
    <w:rsid w:val="00B11137"/>
    <w:rsid w:val="00B214D7"/>
    <w:rsid w:val="00B264F2"/>
    <w:rsid w:val="00B40845"/>
    <w:rsid w:val="00B41FBC"/>
    <w:rsid w:val="00B53ADA"/>
    <w:rsid w:val="00B614AE"/>
    <w:rsid w:val="00B63E54"/>
    <w:rsid w:val="00B73070"/>
    <w:rsid w:val="00B83EC7"/>
    <w:rsid w:val="00B91C0D"/>
    <w:rsid w:val="00B92885"/>
    <w:rsid w:val="00B95D4F"/>
    <w:rsid w:val="00B96F08"/>
    <w:rsid w:val="00BA59CC"/>
    <w:rsid w:val="00BB3058"/>
    <w:rsid w:val="00BB6603"/>
    <w:rsid w:val="00BC3A80"/>
    <w:rsid w:val="00BD0062"/>
    <w:rsid w:val="00BD308B"/>
    <w:rsid w:val="00BE0E48"/>
    <w:rsid w:val="00BF08D9"/>
    <w:rsid w:val="00C0052C"/>
    <w:rsid w:val="00C0302A"/>
    <w:rsid w:val="00C06DCA"/>
    <w:rsid w:val="00C07082"/>
    <w:rsid w:val="00C102A3"/>
    <w:rsid w:val="00C15F8E"/>
    <w:rsid w:val="00C25DD0"/>
    <w:rsid w:val="00C27CF3"/>
    <w:rsid w:val="00C409BF"/>
    <w:rsid w:val="00C44689"/>
    <w:rsid w:val="00C46B5E"/>
    <w:rsid w:val="00C50202"/>
    <w:rsid w:val="00C60364"/>
    <w:rsid w:val="00C64B08"/>
    <w:rsid w:val="00C76C89"/>
    <w:rsid w:val="00C8529C"/>
    <w:rsid w:val="00C93F98"/>
    <w:rsid w:val="00C96C35"/>
    <w:rsid w:val="00CA1819"/>
    <w:rsid w:val="00CA710F"/>
    <w:rsid w:val="00CC0C6D"/>
    <w:rsid w:val="00CC70F9"/>
    <w:rsid w:val="00CD0C1B"/>
    <w:rsid w:val="00CD2230"/>
    <w:rsid w:val="00CE34EF"/>
    <w:rsid w:val="00CE5B1B"/>
    <w:rsid w:val="00CE72CB"/>
    <w:rsid w:val="00CF7D88"/>
    <w:rsid w:val="00D049A0"/>
    <w:rsid w:val="00D10602"/>
    <w:rsid w:val="00D11AE6"/>
    <w:rsid w:val="00D26875"/>
    <w:rsid w:val="00D3317B"/>
    <w:rsid w:val="00D3397A"/>
    <w:rsid w:val="00D43A67"/>
    <w:rsid w:val="00D46DBD"/>
    <w:rsid w:val="00D479E8"/>
    <w:rsid w:val="00D518B3"/>
    <w:rsid w:val="00D5357C"/>
    <w:rsid w:val="00D610C5"/>
    <w:rsid w:val="00D709D6"/>
    <w:rsid w:val="00D76A62"/>
    <w:rsid w:val="00D844E8"/>
    <w:rsid w:val="00D93AB3"/>
    <w:rsid w:val="00D941D0"/>
    <w:rsid w:val="00DA3360"/>
    <w:rsid w:val="00DA5C71"/>
    <w:rsid w:val="00DC6624"/>
    <w:rsid w:val="00DD0FE6"/>
    <w:rsid w:val="00DE4E40"/>
    <w:rsid w:val="00DF2BE4"/>
    <w:rsid w:val="00DF5F39"/>
    <w:rsid w:val="00E00B2F"/>
    <w:rsid w:val="00E00D1D"/>
    <w:rsid w:val="00E03885"/>
    <w:rsid w:val="00E10528"/>
    <w:rsid w:val="00E15919"/>
    <w:rsid w:val="00E248E8"/>
    <w:rsid w:val="00E2766B"/>
    <w:rsid w:val="00E33732"/>
    <w:rsid w:val="00E35F8A"/>
    <w:rsid w:val="00E519FA"/>
    <w:rsid w:val="00E57BAA"/>
    <w:rsid w:val="00E620D3"/>
    <w:rsid w:val="00EA15E2"/>
    <w:rsid w:val="00EB0237"/>
    <w:rsid w:val="00EB1166"/>
    <w:rsid w:val="00EB1EF7"/>
    <w:rsid w:val="00EB2B7E"/>
    <w:rsid w:val="00EB3DC4"/>
    <w:rsid w:val="00EB6B0F"/>
    <w:rsid w:val="00ED0646"/>
    <w:rsid w:val="00ED06EE"/>
    <w:rsid w:val="00ED4C51"/>
    <w:rsid w:val="00ED5D1B"/>
    <w:rsid w:val="00EE2C31"/>
    <w:rsid w:val="00EF3520"/>
    <w:rsid w:val="00EF3E36"/>
    <w:rsid w:val="00EF61BE"/>
    <w:rsid w:val="00F10885"/>
    <w:rsid w:val="00F1360C"/>
    <w:rsid w:val="00F15D37"/>
    <w:rsid w:val="00F16903"/>
    <w:rsid w:val="00F24891"/>
    <w:rsid w:val="00F3683F"/>
    <w:rsid w:val="00F37724"/>
    <w:rsid w:val="00F37C0F"/>
    <w:rsid w:val="00F428C9"/>
    <w:rsid w:val="00F473FF"/>
    <w:rsid w:val="00F738D3"/>
    <w:rsid w:val="00F834E1"/>
    <w:rsid w:val="00F86F79"/>
    <w:rsid w:val="00FA3030"/>
    <w:rsid w:val="00FB3435"/>
    <w:rsid w:val="00FC001F"/>
    <w:rsid w:val="00FC7C94"/>
    <w:rsid w:val="00FF60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7F9FE8"/>
  <w15:docId w15:val="{97DCB7ED-87F8-FC40-BA39-78E2853BD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ja-JP" w:bidi="ar-SA"/>
      </w:rPr>
    </w:rPrDefault>
    <w:pPrDefault>
      <w:pPr>
        <w:spacing w:after="200"/>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C3C5A"/>
    <w:pPr>
      <w:spacing w:after="0"/>
    </w:pPr>
  </w:style>
  <w:style w:type="paragraph" w:styleId="Heading1">
    <w:name w:val="heading 1"/>
    <w:basedOn w:val="Normal"/>
    <w:next w:val="Normal"/>
    <w:link w:val="Heading1Char"/>
    <w:uiPriority w:val="9"/>
    <w:rsid w:val="000955F3"/>
    <w:pPr>
      <w:keepNext/>
      <w:keepLines/>
      <w:spacing w:before="480"/>
      <w:outlineLvl w:val="0"/>
    </w:pPr>
    <w:rPr>
      <w:rFonts w:asciiTheme="majorHAnsi" w:eastAsiaTheme="majorEastAsia" w:hAnsiTheme="majorHAnsi" w:cstheme="majorBidi"/>
      <w:b/>
      <w:bCs/>
      <w:color w:val="5B0012" w:themeColor="accent1" w:themeShade="BF"/>
      <w:sz w:val="28"/>
      <w:szCs w:val="28"/>
    </w:rPr>
  </w:style>
  <w:style w:type="paragraph" w:styleId="Heading2">
    <w:name w:val="heading 2"/>
    <w:basedOn w:val="Normal"/>
    <w:next w:val="Normal"/>
    <w:link w:val="Heading2Char"/>
    <w:uiPriority w:val="9"/>
    <w:semiHidden/>
    <w:unhideWhenUsed/>
    <w:rsid w:val="000955F3"/>
    <w:pPr>
      <w:keepNext/>
      <w:keepLines/>
      <w:spacing w:before="200"/>
      <w:outlineLvl w:val="1"/>
    </w:pPr>
    <w:rPr>
      <w:rFonts w:asciiTheme="majorHAnsi" w:eastAsiaTheme="majorEastAsia" w:hAnsiTheme="majorHAnsi" w:cstheme="majorBidi"/>
      <w:b/>
      <w:bCs/>
      <w:color w:val="7A0019" w:themeColor="accent1"/>
      <w:sz w:val="26"/>
      <w:szCs w:val="26"/>
    </w:rPr>
  </w:style>
  <w:style w:type="paragraph" w:styleId="Heading3">
    <w:name w:val="heading 3"/>
    <w:basedOn w:val="Normal"/>
    <w:next w:val="Normal"/>
    <w:link w:val="Heading3Char"/>
    <w:uiPriority w:val="9"/>
    <w:semiHidden/>
    <w:unhideWhenUsed/>
    <w:qFormat/>
    <w:rsid w:val="00026539"/>
    <w:pPr>
      <w:keepNext/>
      <w:keepLines/>
      <w:spacing w:before="200"/>
      <w:outlineLvl w:val="2"/>
    </w:pPr>
    <w:rPr>
      <w:rFonts w:asciiTheme="majorHAnsi" w:eastAsiaTheme="majorEastAsia" w:hAnsiTheme="majorHAnsi" w:cstheme="majorBidi"/>
      <w:b/>
      <w:bCs/>
      <w:color w:val="7A0019" w:themeColor="accen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026539"/>
    <w:rPr>
      <w:rFonts w:asciiTheme="majorHAnsi" w:eastAsiaTheme="majorEastAsia" w:hAnsiTheme="majorHAnsi" w:cstheme="majorBidi"/>
      <w:b/>
      <w:bCs/>
      <w:color w:val="7A0019" w:themeColor="accent1"/>
      <w:sz w:val="24"/>
    </w:rPr>
  </w:style>
  <w:style w:type="paragraph" w:styleId="Header">
    <w:name w:val="header"/>
    <w:basedOn w:val="Normal"/>
    <w:link w:val="HeaderChar"/>
    <w:uiPriority w:val="99"/>
    <w:unhideWhenUsed/>
    <w:rsid w:val="00A9345A"/>
    <w:pPr>
      <w:tabs>
        <w:tab w:val="center" w:pos="4680"/>
        <w:tab w:val="right" w:pos="9360"/>
      </w:tabs>
    </w:pPr>
  </w:style>
  <w:style w:type="character" w:customStyle="1" w:styleId="Heading1Char">
    <w:name w:val="Heading 1 Char"/>
    <w:basedOn w:val="DefaultParagraphFont"/>
    <w:link w:val="Heading1"/>
    <w:uiPriority w:val="9"/>
    <w:rsid w:val="000955F3"/>
    <w:rPr>
      <w:rFonts w:asciiTheme="majorHAnsi" w:eastAsiaTheme="majorEastAsia" w:hAnsiTheme="majorHAnsi" w:cstheme="majorBidi"/>
      <w:b/>
      <w:bCs/>
      <w:color w:val="5B0012" w:themeColor="accent1" w:themeShade="BF"/>
      <w:sz w:val="28"/>
      <w:szCs w:val="28"/>
    </w:rPr>
  </w:style>
  <w:style w:type="character" w:customStyle="1" w:styleId="HeaderChar">
    <w:name w:val="Header Char"/>
    <w:basedOn w:val="DefaultParagraphFont"/>
    <w:link w:val="Header"/>
    <w:uiPriority w:val="99"/>
    <w:rsid w:val="00A9345A"/>
  </w:style>
  <w:style w:type="paragraph" w:styleId="Footer">
    <w:name w:val="footer"/>
    <w:basedOn w:val="Normal"/>
    <w:link w:val="FooterChar"/>
    <w:uiPriority w:val="99"/>
    <w:unhideWhenUsed/>
    <w:rsid w:val="009B437E"/>
    <w:pPr>
      <w:tabs>
        <w:tab w:val="center" w:pos="4680"/>
        <w:tab w:val="right" w:pos="9360"/>
      </w:tabs>
      <w:jc w:val="right"/>
    </w:pPr>
    <w:rPr>
      <w:rFonts w:ascii="Arial" w:hAnsi="Arial" w:cs="Arial"/>
      <w:noProof/>
      <w:sz w:val="13"/>
      <w:szCs w:val="13"/>
    </w:rPr>
  </w:style>
  <w:style w:type="character" w:customStyle="1" w:styleId="Heading2Char">
    <w:name w:val="Heading 2 Char"/>
    <w:basedOn w:val="DefaultParagraphFont"/>
    <w:link w:val="Heading2"/>
    <w:uiPriority w:val="9"/>
    <w:semiHidden/>
    <w:rsid w:val="000955F3"/>
    <w:rPr>
      <w:rFonts w:asciiTheme="majorHAnsi" w:eastAsiaTheme="majorEastAsia" w:hAnsiTheme="majorHAnsi" w:cstheme="majorBidi"/>
      <w:b/>
      <w:bCs/>
      <w:color w:val="7A0019" w:themeColor="accent1"/>
      <w:sz w:val="26"/>
      <w:szCs w:val="26"/>
    </w:rPr>
  </w:style>
  <w:style w:type="character" w:customStyle="1" w:styleId="FooterChar">
    <w:name w:val="Footer Char"/>
    <w:basedOn w:val="DefaultParagraphFont"/>
    <w:link w:val="Footer"/>
    <w:uiPriority w:val="99"/>
    <w:rsid w:val="009B437E"/>
    <w:rPr>
      <w:rFonts w:ascii="Arial" w:hAnsi="Arial" w:cs="Arial"/>
      <w:noProof/>
      <w:sz w:val="13"/>
      <w:szCs w:val="13"/>
    </w:rPr>
  </w:style>
  <w:style w:type="paragraph" w:styleId="BalloonText">
    <w:name w:val="Balloon Text"/>
    <w:basedOn w:val="Normal"/>
    <w:link w:val="BalloonTextChar"/>
    <w:uiPriority w:val="99"/>
    <w:semiHidden/>
    <w:unhideWhenUsed/>
    <w:rsid w:val="0052797E"/>
    <w:rPr>
      <w:rFonts w:ascii="Tahoma" w:hAnsi="Tahoma" w:cs="Tahoma"/>
      <w:sz w:val="16"/>
      <w:szCs w:val="16"/>
    </w:rPr>
  </w:style>
  <w:style w:type="character" w:customStyle="1" w:styleId="BalloonTextChar">
    <w:name w:val="Balloon Text Char"/>
    <w:basedOn w:val="DefaultParagraphFont"/>
    <w:link w:val="BalloonText"/>
    <w:uiPriority w:val="99"/>
    <w:semiHidden/>
    <w:rsid w:val="0052797E"/>
    <w:rPr>
      <w:rFonts w:ascii="Tahoma" w:hAnsi="Tahoma" w:cs="Tahoma"/>
      <w:sz w:val="16"/>
      <w:szCs w:val="16"/>
    </w:rPr>
  </w:style>
  <w:style w:type="paragraph" w:customStyle="1" w:styleId="TitleExtension">
    <w:name w:val="Title Extension"/>
    <w:rsid w:val="00026539"/>
    <w:pPr>
      <w:spacing w:after="120" w:line="480" w:lineRule="atLeast"/>
    </w:pPr>
    <w:rPr>
      <w:rFonts w:ascii="Arial" w:hAnsi="Arial" w:cs="Arial"/>
      <w:color w:val="CE1B22" w:themeColor="accent3"/>
      <w:spacing w:val="-20"/>
      <w:sz w:val="47"/>
      <w:szCs w:val="47"/>
    </w:rPr>
  </w:style>
  <w:style w:type="paragraph" w:customStyle="1" w:styleId="ParagraphExtension">
    <w:name w:val="Paragraph Extension"/>
    <w:basedOn w:val="Normal"/>
    <w:qFormat/>
    <w:rsid w:val="00A5146A"/>
    <w:pPr>
      <w:autoSpaceDE w:val="0"/>
      <w:autoSpaceDN w:val="0"/>
      <w:adjustRightInd w:val="0"/>
      <w:spacing w:after="120" w:line="288" w:lineRule="auto"/>
    </w:pPr>
    <w:rPr>
      <w:rFonts w:ascii="Lucida Bright" w:eastAsiaTheme="minorHAnsi" w:hAnsi="Lucida Bright" w:cs="EXT DINOT-Bold"/>
      <w:color w:val="000000" w:themeColor="text1"/>
      <w:sz w:val="21"/>
      <w:szCs w:val="24"/>
      <w:lang w:eastAsia="en-US" w:bidi="en-US"/>
    </w:rPr>
  </w:style>
  <w:style w:type="paragraph" w:customStyle="1" w:styleId="Subhead3Extension">
    <w:name w:val="Subhead 3 Extension"/>
    <w:qFormat/>
    <w:rsid w:val="00455E2E"/>
    <w:pPr>
      <w:spacing w:before="240" w:after="90"/>
    </w:pPr>
    <w:rPr>
      <w:rFonts w:ascii="Arial" w:hAnsi="Arial" w:cs="HelveticaNeueLTStd-Bd"/>
      <w:b/>
      <w:bCs/>
      <w:color w:val="7A0019" w:themeColor="accent1"/>
      <w:szCs w:val="18"/>
    </w:rPr>
  </w:style>
  <w:style w:type="paragraph" w:customStyle="1" w:styleId="Bullet">
    <w:name w:val="Bullet"/>
    <w:link w:val="BulletChar"/>
    <w:qFormat/>
    <w:rsid w:val="00041941"/>
    <w:pPr>
      <w:numPr>
        <w:numId w:val="1"/>
      </w:numPr>
      <w:spacing w:line="288" w:lineRule="auto"/>
    </w:pPr>
    <w:rPr>
      <w:sz w:val="21"/>
      <w:szCs w:val="21"/>
    </w:rPr>
  </w:style>
  <w:style w:type="paragraph" w:customStyle="1" w:styleId="CaptionExtension">
    <w:name w:val="Caption (Extension)"/>
    <w:basedOn w:val="Normal"/>
    <w:uiPriority w:val="1"/>
    <w:qFormat/>
    <w:rsid w:val="006676D5"/>
    <w:pPr>
      <w:spacing w:before="40" w:after="120"/>
    </w:pPr>
    <w:rPr>
      <w:rFonts w:ascii="Arial" w:hAnsi="Arial" w:cstheme="minorHAnsi"/>
      <w:color w:val="7A0019"/>
      <w:sz w:val="16"/>
      <w:szCs w:val="18"/>
    </w:rPr>
  </w:style>
  <w:style w:type="paragraph" w:customStyle="1" w:styleId="NoParagraphStyle">
    <w:name w:val="[No Paragraph Style]"/>
    <w:rsid w:val="00822407"/>
    <w:pPr>
      <w:autoSpaceDE w:val="0"/>
      <w:autoSpaceDN w:val="0"/>
      <w:adjustRightInd w:val="0"/>
      <w:spacing w:after="0" w:line="288" w:lineRule="auto"/>
      <w:textAlignment w:val="center"/>
    </w:pPr>
    <w:rPr>
      <w:rFonts w:ascii="HelveticaNeueLTStd-Bd" w:hAnsi="HelveticaNeueLTStd-Bd"/>
      <w:color w:val="000000"/>
      <w:sz w:val="24"/>
      <w:szCs w:val="24"/>
    </w:rPr>
  </w:style>
  <w:style w:type="paragraph" w:customStyle="1" w:styleId="Call-outtextmaroonExtension">
    <w:name w:val="Call-out text maroon (Extension)"/>
    <w:basedOn w:val="Normal"/>
    <w:rsid w:val="005B4B2D"/>
    <w:pPr>
      <w:suppressAutoHyphens/>
      <w:autoSpaceDE w:val="0"/>
      <w:autoSpaceDN w:val="0"/>
      <w:adjustRightInd w:val="0"/>
      <w:ind w:left="180" w:right="195"/>
      <w:textAlignment w:val="center"/>
    </w:pPr>
    <w:rPr>
      <w:rFonts w:ascii="Arial" w:hAnsi="Arial" w:cs="GlyphaLTStd"/>
      <w:color w:val="7A0019"/>
      <w:spacing w:val="3"/>
      <w:sz w:val="16"/>
      <w:szCs w:val="18"/>
    </w:rPr>
  </w:style>
  <w:style w:type="paragraph" w:customStyle="1" w:styleId="LegalTextExtension">
    <w:name w:val="Legal Text (Extension)"/>
    <w:basedOn w:val="footnotetextextension"/>
    <w:qFormat/>
    <w:rsid w:val="00E519FA"/>
    <w:rPr>
      <w:szCs w:val="14"/>
    </w:rPr>
  </w:style>
  <w:style w:type="paragraph" w:customStyle="1" w:styleId="BullettextcloseExtension">
    <w:name w:val="Bullet text close (Extension)"/>
    <w:basedOn w:val="Bullet"/>
    <w:rsid w:val="003F0ABB"/>
    <w:pPr>
      <w:spacing w:after="0"/>
    </w:pPr>
  </w:style>
  <w:style w:type="paragraph" w:customStyle="1" w:styleId="CitationExtension">
    <w:name w:val="Citation (Extension)"/>
    <w:basedOn w:val="Normal"/>
    <w:qFormat/>
    <w:rsid w:val="00183F52"/>
    <w:pPr>
      <w:pBdr>
        <w:top w:val="single" w:sz="6" w:space="1" w:color="7A0019" w:themeColor="accent1"/>
      </w:pBdr>
      <w:suppressAutoHyphens/>
      <w:autoSpaceDE w:val="0"/>
      <w:autoSpaceDN w:val="0"/>
      <w:adjustRightInd w:val="0"/>
      <w:spacing w:after="216" w:line="288" w:lineRule="auto"/>
      <w:textAlignment w:val="center"/>
    </w:pPr>
    <w:rPr>
      <w:rFonts w:ascii="Arial" w:hAnsi="Arial" w:cs="Arial"/>
      <w:color w:val="000000" w:themeColor="text1"/>
      <w:spacing w:val="3"/>
      <w:sz w:val="18"/>
      <w:szCs w:val="18"/>
    </w:rPr>
  </w:style>
  <w:style w:type="paragraph" w:customStyle="1" w:styleId="tablerowtext">
    <w:name w:val="table row text"/>
    <w:basedOn w:val="Normal"/>
    <w:link w:val="tablerowtextChar"/>
    <w:rsid w:val="00532117"/>
    <w:pPr>
      <w:autoSpaceDE w:val="0"/>
      <w:autoSpaceDN w:val="0"/>
      <w:adjustRightInd w:val="0"/>
      <w:jc w:val="center"/>
      <w:textAlignment w:val="center"/>
    </w:pPr>
    <w:rPr>
      <w:rFonts w:ascii="Arial" w:eastAsia="Times New Roman" w:hAnsi="Arial" w:cs="Arial"/>
      <w:color w:val="820024"/>
      <w:spacing w:val="5"/>
      <w:sz w:val="16"/>
      <w:szCs w:val="16"/>
      <w:lang w:eastAsia="en-US"/>
    </w:rPr>
  </w:style>
  <w:style w:type="paragraph" w:customStyle="1" w:styleId="ProgramName">
    <w:name w:val="Program Name"/>
    <w:basedOn w:val="Normal"/>
    <w:link w:val="ProgramNameChar"/>
    <w:rsid w:val="00026539"/>
    <w:rPr>
      <w:rFonts w:asciiTheme="majorHAnsi" w:hAnsiTheme="majorHAnsi"/>
      <w:b/>
      <w:color w:val="7A0019" w:themeColor="accent1"/>
      <w:sz w:val="22"/>
      <w:szCs w:val="22"/>
    </w:rPr>
  </w:style>
  <w:style w:type="character" w:customStyle="1" w:styleId="tablerowtextChar">
    <w:name w:val="table row text Char"/>
    <w:basedOn w:val="DefaultParagraphFont"/>
    <w:link w:val="tablerowtext"/>
    <w:rsid w:val="00532117"/>
    <w:rPr>
      <w:rFonts w:ascii="Arial" w:eastAsia="Times New Roman" w:hAnsi="Arial" w:cs="Arial"/>
      <w:color w:val="820024"/>
      <w:spacing w:val="5"/>
      <w:sz w:val="16"/>
      <w:szCs w:val="16"/>
      <w:lang w:eastAsia="en-US"/>
    </w:rPr>
  </w:style>
  <w:style w:type="paragraph" w:customStyle="1" w:styleId="Heading1Extension">
    <w:name w:val="Heading 1 (Extension)"/>
    <w:basedOn w:val="Heading1"/>
    <w:link w:val="Heading1ExtensionChar"/>
    <w:qFormat/>
    <w:rsid w:val="008D470B"/>
    <w:pPr>
      <w:spacing w:before="500" w:after="120"/>
    </w:pPr>
    <w:rPr>
      <w:rFonts w:ascii="Arial" w:hAnsi="Arial" w:cs="Arial"/>
      <w:color w:val="7A0019"/>
      <w:spacing w:val="-20"/>
      <w:kern w:val="50"/>
      <w:sz w:val="47"/>
      <w:lang w:eastAsia="en-US" w:bidi="en-US"/>
    </w:rPr>
  </w:style>
  <w:style w:type="character" w:customStyle="1" w:styleId="ProgramNameChar">
    <w:name w:val="Program Name Char"/>
    <w:basedOn w:val="DefaultParagraphFont"/>
    <w:link w:val="ProgramName"/>
    <w:rsid w:val="00026539"/>
    <w:rPr>
      <w:rFonts w:asciiTheme="majorHAnsi" w:hAnsiTheme="majorHAnsi"/>
      <w:b/>
      <w:color w:val="7A0019" w:themeColor="accent1"/>
      <w:sz w:val="22"/>
      <w:szCs w:val="22"/>
    </w:rPr>
  </w:style>
  <w:style w:type="character" w:customStyle="1" w:styleId="Heading1ExtensionChar">
    <w:name w:val="Heading 1 (Extension) Char"/>
    <w:basedOn w:val="DefaultParagraphFont"/>
    <w:link w:val="Heading1Extension"/>
    <w:rsid w:val="008D470B"/>
    <w:rPr>
      <w:rFonts w:ascii="Arial" w:eastAsiaTheme="majorEastAsia" w:hAnsi="Arial" w:cs="Arial"/>
      <w:b/>
      <w:bCs/>
      <w:color w:val="7A0019"/>
      <w:spacing w:val="-20"/>
      <w:kern w:val="50"/>
      <w:sz w:val="47"/>
      <w:szCs w:val="28"/>
      <w:lang w:eastAsia="en-US" w:bidi="en-US"/>
    </w:rPr>
  </w:style>
  <w:style w:type="paragraph" w:customStyle="1" w:styleId="footnotetextextension">
    <w:name w:val="footnote text extension"/>
    <w:basedOn w:val="Normal"/>
    <w:rsid w:val="00CE34EF"/>
    <w:pPr>
      <w:spacing w:before="40" w:after="120"/>
    </w:pPr>
    <w:rPr>
      <w:rFonts w:ascii="Arial" w:eastAsiaTheme="minorHAnsi" w:hAnsi="Arial" w:cs="Arial"/>
      <w:color w:val="000000"/>
      <w:kern w:val="28"/>
      <w:sz w:val="16"/>
      <w:szCs w:val="16"/>
      <w:lang w:eastAsia="en-US"/>
    </w:rPr>
  </w:style>
  <w:style w:type="character" w:styleId="PageNumber">
    <w:name w:val="page number"/>
    <w:basedOn w:val="DefaultParagraphFont"/>
    <w:uiPriority w:val="99"/>
    <w:semiHidden/>
    <w:unhideWhenUsed/>
    <w:rsid w:val="00EB3DC4"/>
  </w:style>
  <w:style w:type="paragraph" w:customStyle="1" w:styleId="Heading2Extension">
    <w:name w:val="Heading 2 (Extension)"/>
    <w:basedOn w:val="Heading2"/>
    <w:link w:val="Heading2ExtensionChar"/>
    <w:qFormat/>
    <w:rsid w:val="00324248"/>
    <w:pPr>
      <w:autoSpaceDE w:val="0"/>
      <w:autoSpaceDN w:val="0"/>
      <w:adjustRightInd w:val="0"/>
      <w:spacing w:before="280" w:after="130"/>
    </w:pPr>
    <w:rPr>
      <w:rFonts w:ascii="Arial" w:hAnsi="Arial" w:cs="EXT DINOT-Bold"/>
      <w:b w:val="0"/>
      <w:bCs w:val="0"/>
      <w:noProof/>
      <w:szCs w:val="24"/>
      <w:lang w:eastAsia="en-US"/>
    </w:rPr>
  </w:style>
  <w:style w:type="character" w:customStyle="1" w:styleId="Heading2ExtensionChar">
    <w:name w:val="Heading 2 (Extension) Char"/>
    <w:basedOn w:val="DefaultParagraphFont"/>
    <w:link w:val="Heading2Extension"/>
    <w:rsid w:val="00324248"/>
    <w:rPr>
      <w:rFonts w:ascii="Arial" w:eastAsiaTheme="majorEastAsia" w:hAnsi="Arial" w:cs="EXT DINOT-Bold"/>
      <w:noProof/>
      <w:color w:val="7A0019" w:themeColor="accent1"/>
      <w:sz w:val="26"/>
      <w:szCs w:val="24"/>
      <w:lang w:eastAsia="en-US"/>
    </w:rPr>
  </w:style>
  <w:style w:type="paragraph" w:customStyle="1" w:styleId="Heading4Extension">
    <w:name w:val="Heading 4 (Extension)"/>
    <w:basedOn w:val="Normal"/>
    <w:qFormat/>
    <w:rsid w:val="00970995"/>
    <w:pPr>
      <w:spacing w:line="276" w:lineRule="auto"/>
    </w:pPr>
    <w:rPr>
      <w:rFonts w:ascii="Arial" w:eastAsiaTheme="minorHAnsi" w:hAnsi="Arial"/>
      <w:b/>
      <w:color w:val="CE1B22" w:themeColor="accent3"/>
      <w:sz w:val="26"/>
      <w:szCs w:val="26"/>
      <w:lang w:eastAsia="en-US"/>
    </w:rPr>
  </w:style>
  <w:style w:type="paragraph" w:customStyle="1" w:styleId="SubtitleExtension">
    <w:name w:val="Subtitle (Extension)"/>
    <w:basedOn w:val="Normal"/>
    <w:qFormat/>
    <w:rsid w:val="00026539"/>
    <w:pPr>
      <w:spacing w:line="276" w:lineRule="auto"/>
    </w:pPr>
    <w:rPr>
      <w:rFonts w:ascii="Lucida Bright" w:eastAsiaTheme="minorHAnsi" w:hAnsi="Lucida Bright"/>
      <w:i/>
      <w:sz w:val="21"/>
      <w:szCs w:val="21"/>
      <w:lang w:eastAsia="en-US"/>
    </w:rPr>
  </w:style>
  <w:style w:type="paragraph" w:customStyle="1" w:styleId="SubtleSubtitleExtension">
    <w:name w:val="Subtle Subtitle (Extension)"/>
    <w:basedOn w:val="Normal"/>
    <w:uiPriority w:val="1"/>
    <w:qFormat/>
    <w:rsid w:val="00026539"/>
    <w:rPr>
      <w:rFonts w:ascii="Lucida Bright" w:hAnsi="Lucida Bright"/>
      <w:i/>
      <w:color w:val="877E78"/>
      <w:sz w:val="21"/>
      <w:szCs w:val="21"/>
    </w:rPr>
  </w:style>
  <w:style w:type="paragraph" w:customStyle="1" w:styleId="BulletExtension">
    <w:name w:val="Bullet (Extension)"/>
    <w:basedOn w:val="Normal"/>
    <w:rsid w:val="00026539"/>
    <w:pPr>
      <w:numPr>
        <w:numId w:val="2"/>
      </w:numPr>
      <w:spacing w:before="120" w:after="120"/>
    </w:pPr>
    <w:rPr>
      <w:rFonts w:ascii="Lucida Bright" w:eastAsiaTheme="minorHAnsi" w:hAnsi="Lucida Bright"/>
      <w:color w:val="000000" w:themeColor="text1"/>
      <w:kern w:val="50"/>
      <w:sz w:val="21"/>
      <w:szCs w:val="22"/>
      <w:lang w:eastAsia="en-US" w:bidi="en-US"/>
    </w:rPr>
  </w:style>
  <w:style w:type="table" w:styleId="TableGrid">
    <w:name w:val="Table Grid"/>
    <w:basedOn w:val="TableNormal"/>
    <w:uiPriority w:val="59"/>
    <w:rsid w:val="001F46E7"/>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ISLegalCopy">
    <w:name w:val="IS_Legal Copy"/>
    <w:basedOn w:val="Normal"/>
    <w:rsid w:val="00E03885"/>
    <w:pPr>
      <w:spacing w:line="288" w:lineRule="auto"/>
      <w:ind w:left="187" w:right="187"/>
      <w:jc w:val="center"/>
    </w:pPr>
    <w:rPr>
      <w:rFonts w:ascii="Arial" w:eastAsia="Times New Roman" w:hAnsi="Arial" w:cs="Arial"/>
      <w:i/>
      <w:color w:val="000000"/>
      <w:kern w:val="28"/>
      <w:sz w:val="15"/>
      <w:szCs w:val="15"/>
      <w:lang w:eastAsia="en-US"/>
    </w:rPr>
  </w:style>
  <w:style w:type="character" w:customStyle="1" w:styleId="BulletChar">
    <w:name w:val="Bullet Char"/>
    <w:basedOn w:val="DefaultParagraphFont"/>
    <w:link w:val="Bullet"/>
    <w:rsid w:val="005250B7"/>
    <w:rPr>
      <w:sz w:val="21"/>
      <w:szCs w:val="21"/>
    </w:rPr>
  </w:style>
  <w:style w:type="table" w:styleId="TableGridLight">
    <w:name w:val="Grid Table Light"/>
    <w:basedOn w:val="TableNormal"/>
    <w:uiPriority w:val="40"/>
    <w:rsid w:val="000A5526"/>
    <w:pPr>
      <w:spacing w:after="0"/>
    </w:p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TitleExtension">
    <w:name w:val="Table Title Extension"/>
    <w:basedOn w:val="Subhead3Extension"/>
    <w:rsid w:val="008308EC"/>
    <w:pPr>
      <w:spacing w:after="120"/>
    </w:pPr>
    <w:rPr>
      <w:color w:val="7A0019"/>
      <w:sz w:val="18"/>
      <w:szCs w:val="16"/>
    </w:rPr>
  </w:style>
  <w:style w:type="paragraph" w:customStyle="1" w:styleId="IntroLinesTitleextension">
    <w:name w:val="Intro Lines Title extension"/>
    <w:basedOn w:val="Normal"/>
    <w:rsid w:val="00052461"/>
    <w:pPr>
      <w:spacing w:before="40"/>
    </w:pPr>
    <w:rPr>
      <w:rFonts w:ascii="Arial" w:hAnsi="Arial"/>
      <w:b/>
      <w:color w:val="000000" w:themeColor="accent4"/>
      <w:sz w:val="14"/>
      <w:szCs w:val="16"/>
    </w:rPr>
  </w:style>
  <w:style w:type="paragraph" w:customStyle="1" w:styleId="IntroLinesExtension">
    <w:name w:val="Intro Lines Extension"/>
    <w:rsid w:val="00052461"/>
    <w:pPr>
      <w:spacing w:after="0"/>
    </w:pPr>
    <w:rPr>
      <w:rFonts w:ascii="Arial" w:eastAsia="Times New Roman" w:hAnsi="Arial" w:cs="Arial"/>
      <w:b/>
      <w:color w:val="000000" w:themeColor="accent4"/>
      <w:kern w:val="28"/>
      <w:sz w:val="22"/>
      <w:szCs w:val="22"/>
      <w:lang w:eastAsia="en-US"/>
    </w:rPr>
  </w:style>
  <w:style w:type="paragraph" w:customStyle="1" w:styleId="Tablecolumnheader">
    <w:name w:val="Table column header"/>
    <w:basedOn w:val="Normal"/>
    <w:rsid w:val="0028322A"/>
    <w:pPr>
      <w:autoSpaceDE w:val="0"/>
      <w:autoSpaceDN w:val="0"/>
      <w:adjustRightInd w:val="0"/>
      <w:jc w:val="center"/>
      <w:textAlignment w:val="center"/>
    </w:pPr>
    <w:rPr>
      <w:rFonts w:ascii="Arial" w:eastAsia="Times New Roman" w:hAnsi="Arial" w:cs="Arial"/>
      <w:color w:val="FFFFFF" w:themeColor="background1"/>
      <w:spacing w:val="5"/>
      <w:sz w:val="16"/>
      <w:szCs w:val="13"/>
      <w:lang w:eastAsia="en-US"/>
    </w:rPr>
  </w:style>
  <w:style w:type="table" w:customStyle="1" w:styleId="Tablerowtext0">
    <w:name w:val="Table row text"/>
    <w:basedOn w:val="TableNormal"/>
    <w:uiPriority w:val="99"/>
    <w:rsid w:val="006676D5"/>
    <w:pPr>
      <w:spacing w:after="0"/>
    </w:pPr>
    <w:tblPr/>
  </w:style>
  <w:style w:type="paragraph" w:customStyle="1" w:styleId="dividerlineextenion">
    <w:name w:val="divider line extenion"/>
    <w:basedOn w:val="ParagraphExtension"/>
    <w:rsid w:val="00872A54"/>
    <w:pPr>
      <w:pBdr>
        <w:bottom w:val="single" w:sz="4" w:space="1" w:color="878878" w:themeColor="text2"/>
      </w:pBdr>
      <w:spacing w:after="280" w:line="240" w:lineRule="auto"/>
    </w:pPr>
    <w:rPr>
      <w:sz w:val="20"/>
      <w:szCs w:val="22"/>
    </w:rPr>
  </w:style>
  <w:style w:type="paragraph" w:customStyle="1" w:styleId="FormulaExtension">
    <w:name w:val="Formula Extension"/>
    <w:basedOn w:val="ParagraphExtension"/>
    <w:rsid w:val="00AC2273"/>
    <w:pPr>
      <w:spacing w:after="0"/>
    </w:pPr>
    <w:rPr>
      <w:rFonts w:ascii="Arial" w:hAnsi="Arial" w:cs="Arial"/>
      <w:b/>
      <w:bCs/>
      <w:sz w:val="24"/>
    </w:rPr>
  </w:style>
  <w:style w:type="paragraph" w:customStyle="1" w:styleId="FormulaSubtitle">
    <w:name w:val="Formula Subtitle"/>
    <w:basedOn w:val="ParagraphExtension"/>
    <w:rsid w:val="00AC2273"/>
    <w:pPr>
      <w:spacing w:after="40"/>
    </w:pPr>
    <w:rPr>
      <w:rFonts w:ascii="Arial" w:hAnsi="Arial" w:cs="Arial"/>
      <w:color w:val="7A0019" w:themeColor="accent1"/>
      <w:sz w:val="14"/>
      <w:szCs w:val="14"/>
    </w:rPr>
  </w:style>
  <w:style w:type="paragraph" w:customStyle="1" w:styleId="FormulaText">
    <w:name w:val="Formula Text"/>
    <w:basedOn w:val="ParagraphExtension"/>
    <w:rsid w:val="00AC2273"/>
    <w:pPr>
      <w:spacing w:after="0"/>
    </w:pPr>
    <w:rPr>
      <w:rFonts w:ascii="Arial" w:hAnsi="Arial" w:cs="Arial"/>
      <w:sz w:val="18"/>
      <w:szCs w:val="21"/>
    </w:rPr>
  </w:style>
  <w:style w:type="paragraph" w:customStyle="1" w:styleId="Heading3Extension">
    <w:name w:val="Heading 3 (Extension)"/>
    <w:basedOn w:val="Heading2Extension"/>
    <w:link w:val="Heading3ExtensionChar"/>
    <w:qFormat/>
    <w:rsid w:val="00CD0C1B"/>
    <w:pPr>
      <w:keepLines w:val="0"/>
      <w:spacing w:before="200" w:after="90"/>
    </w:pPr>
    <w:rPr>
      <w:b/>
      <w:sz w:val="22"/>
      <w:lang w:bidi="en-US"/>
    </w:rPr>
  </w:style>
  <w:style w:type="character" w:customStyle="1" w:styleId="Heading3ExtensionChar">
    <w:name w:val="Heading 3 (Extension) Char"/>
    <w:basedOn w:val="DefaultParagraphFont"/>
    <w:link w:val="Heading3Extension"/>
    <w:rsid w:val="00CD0C1B"/>
    <w:rPr>
      <w:rFonts w:ascii="Arial" w:eastAsiaTheme="majorEastAsia" w:hAnsi="Arial" w:cs="EXT DINOT-Bold"/>
      <w:b/>
      <w:noProof/>
      <w:color w:val="7A0019" w:themeColor="accent1"/>
      <w:sz w:val="22"/>
      <w:szCs w:val="24"/>
      <w:lang w:eastAsia="en-US" w:bidi="en-US"/>
    </w:rPr>
  </w:style>
  <w:style w:type="numbering" w:customStyle="1" w:styleId="CurrentList1">
    <w:name w:val="Current List1"/>
    <w:uiPriority w:val="99"/>
    <w:rsid w:val="00BD308B"/>
    <w:pPr>
      <w:numPr>
        <w:numId w:val="16"/>
      </w:numPr>
    </w:pPr>
  </w:style>
  <w:style w:type="paragraph" w:customStyle="1" w:styleId="FormulaBullet">
    <w:name w:val="Formula Bullet"/>
    <w:basedOn w:val="FormulaText"/>
    <w:rsid w:val="00BD308B"/>
    <w:pPr>
      <w:numPr>
        <w:numId w:val="17"/>
      </w:numPr>
      <w:ind w:left="180" w:hanging="180"/>
    </w:pPr>
    <w:rPr>
      <w:noProof/>
    </w:rPr>
  </w:style>
  <w:style w:type="paragraph" w:customStyle="1" w:styleId="Prehead">
    <w:name w:val="Prehead"/>
    <w:basedOn w:val="Normal"/>
    <w:rsid w:val="0050742A"/>
    <w:pPr>
      <w:tabs>
        <w:tab w:val="right" w:pos="5580"/>
      </w:tabs>
      <w:spacing w:after="20"/>
    </w:pPr>
    <w:rPr>
      <w:rFonts w:ascii="Arial" w:hAnsi="Arial" w:cs="Times New Roman (Body CS)"/>
      <w:caps/>
      <w:color w:val="7A0019" w:themeColor="accent1"/>
      <w:sz w:val="18"/>
      <w:szCs w:val="18"/>
    </w:rPr>
  </w:style>
  <w:style w:type="table" w:customStyle="1" w:styleId="UMNExtension">
    <w:name w:val="UMN Extension"/>
    <w:basedOn w:val="TableNormal"/>
    <w:uiPriority w:val="99"/>
    <w:rsid w:val="005A31C7"/>
    <w:pPr>
      <w:spacing w:after="0"/>
    </w:pPr>
    <w:tblPr/>
  </w:style>
  <w:style w:type="paragraph" w:styleId="Revision">
    <w:name w:val="Revision"/>
    <w:hidden/>
    <w:uiPriority w:val="99"/>
    <w:semiHidden/>
    <w:rsid w:val="006E274E"/>
    <w:pPr>
      <w:spacing w:after="0"/>
    </w:pPr>
  </w:style>
  <w:style w:type="character" w:styleId="CommentReference">
    <w:name w:val="annotation reference"/>
    <w:basedOn w:val="DefaultParagraphFont"/>
    <w:uiPriority w:val="99"/>
    <w:semiHidden/>
    <w:unhideWhenUsed/>
    <w:rsid w:val="00B91C0D"/>
    <w:rPr>
      <w:sz w:val="16"/>
      <w:szCs w:val="16"/>
    </w:rPr>
  </w:style>
  <w:style w:type="paragraph" w:styleId="CommentText">
    <w:name w:val="annotation text"/>
    <w:basedOn w:val="Normal"/>
    <w:link w:val="CommentTextChar"/>
    <w:uiPriority w:val="99"/>
    <w:unhideWhenUsed/>
    <w:rsid w:val="00B91C0D"/>
  </w:style>
  <w:style w:type="character" w:customStyle="1" w:styleId="CommentTextChar">
    <w:name w:val="Comment Text Char"/>
    <w:basedOn w:val="DefaultParagraphFont"/>
    <w:link w:val="CommentText"/>
    <w:uiPriority w:val="99"/>
    <w:rsid w:val="00B91C0D"/>
  </w:style>
  <w:style w:type="paragraph" w:styleId="CommentSubject">
    <w:name w:val="annotation subject"/>
    <w:basedOn w:val="CommentText"/>
    <w:next w:val="CommentText"/>
    <w:link w:val="CommentSubjectChar"/>
    <w:uiPriority w:val="99"/>
    <w:semiHidden/>
    <w:unhideWhenUsed/>
    <w:rsid w:val="00B91C0D"/>
    <w:rPr>
      <w:b/>
      <w:bCs/>
    </w:rPr>
  </w:style>
  <w:style w:type="character" w:customStyle="1" w:styleId="CommentSubjectChar">
    <w:name w:val="Comment Subject Char"/>
    <w:basedOn w:val="CommentTextChar"/>
    <w:link w:val="CommentSubject"/>
    <w:uiPriority w:val="99"/>
    <w:semiHidden/>
    <w:rsid w:val="00B91C0D"/>
    <w:rPr>
      <w:b/>
      <w:bCs/>
    </w:rPr>
  </w:style>
  <w:style w:type="character" w:styleId="Hyperlink">
    <w:name w:val="Hyperlink"/>
    <w:basedOn w:val="DefaultParagraphFont"/>
    <w:uiPriority w:val="99"/>
    <w:unhideWhenUsed/>
    <w:rsid w:val="003E6E09"/>
    <w:rPr>
      <w:color w:val="CE1B22" w:themeColor="hyperlink"/>
      <w:u w:val="single"/>
    </w:rPr>
  </w:style>
  <w:style w:type="character" w:styleId="UnresolvedMention">
    <w:name w:val="Unresolved Mention"/>
    <w:basedOn w:val="DefaultParagraphFont"/>
    <w:uiPriority w:val="99"/>
    <w:semiHidden/>
    <w:unhideWhenUsed/>
    <w:rsid w:val="003E6E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7698113">
      <w:bodyDiv w:val="1"/>
      <w:marLeft w:val="0"/>
      <w:marRight w:val="0"/>
      <w:marTop w:val="0"/>
      <w:marBottom w:val="0"/>
      <w:divBdr>
        <w:top w:val="none" w:sz="0" w:space="0" w:color="auto"/>
        <w:left w:val="none" w:sz="0" w:space="0" w:color="auto"/>
        <w:bottom w:val="none" w:sz="0" w:space="0" w:color="auto"/>
        <w:right w:val="none" w:sz="0" w:space="0" w:color="auto"/>
      </w:divBdr>
    </w:div>
    <w:div w:id="1674259259">
      <w:bodyDiv w:val="1"/>
      <w:marLeft w:val="0"/>
      <w:marRight w:val="0"/>
      <w:marTop w:val="0"/>
      <w:marBottom w:val="0"/>
      <w:divBdr>
        <w:top w:val="none" w:sz="0" w:space="0" w:color="auto"/>
        <w:left w:val="none" w:sz="0" w:space="0" w:color="auto"/>
        <w:bottom w:val="none" w:sz="0" w:space="0" w:color="auto"/>
        <w:right w:val="none" w:sz="0" w:space="0" w:color="auto"/>
      </w:divBdr>
    </w:div>
    <w:div w:id="1911883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yperlink" Target="http://z.umn.edu/soybeanfertilizer"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e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2.jpg"/></Relationships>
</file>

<file path=word/_rels/header2.xml.rels><?xml version="1.0" encoding="UTF-8" standalone="yes"?>
<Relationships xmlns="http://schemas.openxmlformats.org/package/2006/relationships"><Relationship Id="rId1" Type="http://schemas.openxmlformats.org/officeDocument/2006/relationships/image" Target="media/image13.jp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878878"/>
      </a:dk2>
      <a:lt2>
        <a:srgbClr val="DDD6CE"/>
      </a:lt2>
      <a:accent1>
        <a:srgbClr val="7A0019"/>
      </a:accent1>
      <a:accent2>
        <a:srgbClr val="FFCC33"/>
      </a:accent2>
      <a:accent3>
        <a:srgbClr val="CE1B22"/>
      </a:accent3>
      <a:accent4>
        <a:srgbClr val="000000"/>
      </a:accent4>
      <a:accent5>
        <a:srgbClr val="59C8DC"/>
      </a:accent5>
      <a:accent6>
        <a:srgbClr val="F79440"/>
      </a:accent6>
      <a:hlink>
        <a:srgbClr val="CE1B22"/>
      </a:hlink>
      <a:folHlink>
        <a:srgbClr val="EE787C"/>
      </a:folHlink>
    </a:clrScheme>
    <a:fontScheme name="UMN">
      <a:majorFont>
        <a:latin typeface="Calibri"/>
        <a:ea typeface=""/>
        <a:cs typeface=""/>
      </a:majorFont>
      <a:minorFont>
        <a:latin typeface="Lucida Br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noFill/>
        <a:ln w="6350">
          <a:noFill/>
        </a:ln>
      </a:spPr>
      <a:bodyPr wrap="square" lIns="0" rtlCol="0"/>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141E31-E0B0-4DB6-B132-BB68AA897B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1930</Words>
  <Characters>11006</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Extension Info Sheet Template</vt:lpstr>
    </vt:vector>
  </TitlesOfParts>
  <Manager>Extension</Manager>
  <Company>University of Minnesota</Company>
  <LinksUpToDate>false</LinksUpToDate>
  <CharactersWithSpaces>12911</CharactersWithSpaces>
  <SharedDoc>false</SharedDoc>
  <HyperlinkBase>extension.umn.edu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Extension Info Sheet Template</dc:title>
  <dc:subject>Agriculture, Research, Education</dc:subject>
  <dc:creator>Mark Ohm</dc:creator>
  <cp:keywords>Agriculture, Research, Education, Extension, U of MN</cp:keywords>
  <cp:lastModifiedBy>Reviewer</cp:lastModifiedBy>
  <cp:revision>2</cp:revision>
  <cp:lastPrinted>2022-02-16T19:18:00Z</cp:lastPrinted>
  <dcterms:created xsi:type="dcterms:W3CDTF">2023-04-26T20:07:00Z</dcterms:created>
  <dcterms:modified xsi:type="dcterms:W3CDTF">2023-04-26T20:07:00Z</dcterms:modified>
  <cp:category>Education</cp:category>
</cp:coreProperties>
</file>