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9A829F" w14:textId="70E5F28B" w:rsidR="00905F1C" w:rsidRPr="0087144D" w:rsidRDefault="00905F1C" w:rsidP="0087144D">
      <w:pPr>
        <w:pStyle w:val="Heading1"/>
      </w:pPr>
      <w:r w:rsidRPr="0087144D">
        <w:t>Technical Report</w:t>
      </w:r>
    </w:p>
    <w:p w14:paraId="3491DD69" w14:textId="77777777" w:rsidR="004A03F3" w:rsidRPr="00996727" w:rsidRDefault="004A03F3" w:rsidP="009F0744">
      <w:pPr>
        <w:spacing w:after="0" w:line="240" w:lineRule="auto"/>
        <w:rPr>
          <w:rFonts w:cstheme="minorHAnsi"/>
        </w:rPr>
      </w:pPr>
      <w:r w:rsidRPr="00996727">
        <w:rPr>
          <w:rFonts w:cstheme="minorHAnsi"/>
        </w:rPr>
        <w:t>Project Title: Cost-Effective Soy-Based Garden Pots</w:t>
      </w:r>
    </w:p>
    <w:p w14:paraId="5AE7E234" w14:textId="77777777" w:rsidR="004A03F3" w:rsidRPr="00996727" w:rsidRDefault="004A03F3" w:rsidP="009F0744">
      <w:pPr>
        <w:spacing w:after="0" w:line="240" w:lineRule="auto"/>
        <w:rPr>
          <w:rFonts w:cstheme="minorHAnsi"/>
        </w:rPr>
      </w:pPr>
      <w:r w:rsidRPr="00996727">
        <w:rPr>
          <w:rFonts w:cstheme="minorHAnsi"/>
        </w:rPr>
        <w:t>Sponsor Agency: North Dakota Soy Council (NDSC)</w:t>
      </w:r>
    </w:p>
    <w:p w14:paraId="0CDDD5A9" w14:textId="77777777" w:rsidR="004A03F3" w:rsidRPr="00996727" w:rsidRDefault="004A03F3" w:rsidP="009F0744">
      <w:pPr>
        <w:spacing w:after="0" w:line="240" w:lineRule="auto"/>
        <w:rPr>
          <w:rFonts w:cstheme="minorHAnsi"/>
        </w:rPr>
      </w:pPr>
      <w:r w:rsidRPr="00996727">
        <w:rPr>
          <w:rFonts w:cstheme="minorHAnsi"/>
        </w:rPr>
        <w:t>Award Date: July 1, 2020 – June 30, 2021. No-Cost Extension up to  December 31, 2021</w:t>
      </w:r>
    </w:p>
    <w:p w14:paraId="355A7608" w14:textId="7DF70B38" w:rsidR="004A03F3" w:rsidRPr="00996727" w:rsidRDefault="004A03F3" w:rsidP="009F0744">
      <w:pPr>
        <w:spacing w:after="0" w:line="240" w:lineRule="auto"/>
        <w:rPr>
          <w:rFonts w:cstheme="minorHAnsi"/>
        </w:rPr>
      </w:pPr>
      <w:r w:rsidRPr="00996727">
        <w:rPr>
          <w:rFonts w:cstheme="minorHAnsi"/>
        </w:rPr>
        <w:t>PI(s): Nita Yodo, Chiwon</w:t>
      </w:r>
      <w:r w:rsidR="00D806F3" w:rsidRPr="00996727">
        <w:rPr>
          <w:rFonts w:cstheme="minorHAnsi"/>
        </w:rPr>
        <w:t xml:space="preserve"> </w:t>
      </w:r>
      <w:r w:rsidRPr="00996727">
        <w:rPr>
          <w:rFonts w:cstheme="minorHAnsi"/>
        </w:rPr>
        <w:t>Lee, and David Grewell, North Dakota State University</w:t>
      </w:r>
    </w:p>
    <w:p w14:paraId="09765B4F" w14:textId="77777777" w:rsidR="000D7FE6" w:rsidRPr="00996727" w:rsidRDefault="000D7FE6" w:rsidP="009F0744">
      <w:pPr>
        <w:spacing w:after="0" w:line="240" w:lineRule="auto"/>
      </w:pPr>
    </w:p>
    <w:p w14:paraId="6A6EEF3D" w14:textId="77777777" w:rsidR="00CB462F" w:rsidRPr="009F0744" w:rsidRDefault="00905F1C" w:rsidP="009F0744">
      <w:pPr>
        <w:pStyle w:val="Heading2"/>
        <w:spacing w:before="0" w:line="240" w:lineRule="auto"/>
        <w:rPr>
          <w:b/>
          <w:sz w:val="24"/>
          <w:szCs w:val="22"/>
        </w:rPr>
      </w:pPr>
      <w:r w:rsidRPr="009F0744">
        <w:rPr>
          <w:b/>
          <w:sz w:val="24"/>
          <w:szCs w:val="22"/>
        </w:rPr>
        <w:t>1. Project Summary</w:t>
      </w:r>
    </w:p>
    <w:p w14:paraId="3CDCEB4D" w14:textId="041A8A52" w:rsidR="00905F1C" w:rsidRPr="00996727" w:rsidRDefault="00905F1C" w:rsidP="009F0744">
      <w:pPr>
        <w:spacing w:after="0" w:line="240" w:lineRule="auto"/>
        <w:jc w:val="both"/>
        <w:rPr>
          <w:rFonts w:cstheme="minorHAnsi"/>
          <w:bCs/>
        </w:rPr>
      </w:pPr>
      <w:r w:rsidRPr="00996727">
        <w:rPr>
          <w:rFonts w:cstheme="minorHAnsi"/>
        </w:rPr>
        <w:t>This work developed novel bioplastic formulations that incorporated soy-based fractions to improve the performance of garden pots while being cost-competitive</w:t>
      </w:r>
      <w:r w:rsidR="00D4557C" w:rsidRPr="00996727">
        <w:rPr>
          <w:rFonts w:cstheme="minorHAnsi"/>
        </w:rPr>
        <w:t xml:space="preserve">. </w:t>
      </w:r>
      <w:r w:rsidRPr="00996727">
        <w:rPr>
          <w:rFonts w:cstheme="minorHAnsi"/>
        </w:rPr>
        <w:t>The new soy-based pots are fully biobased, degradable, provide inherent fertilizer for plant growth, and also reduced root circling</w:t>
      </w:r>
      <w:r w:rsidR="00D4557C" w:rsidRPr="00996727">
        <w:rPr>
          <w:rFonts w:cstheme="minorHAnsi"/>
        </w:rPr>
        <w:t xml:space="preserve">. </w:t>
      </w:r>
      <w:r w:rsidRPr="00996727">
        <w:rPr>
          <w:rFonts w:cstheme="minorHAnsi"/>
          <w:bCs/>
        </w:rPr>
        <w:t>The measurable objectives this research accomplished were:</w:t>
      </w:r>
    </w:p>
    <w:p w14:paraId="023BB148" w14:textId="77777777" w:rsidR="00905F1C" w:rsidRPr="00996727" w:rsidRDefault="00905F1C" w:rsidP="009F0744">
      <w:pPr>
        <w:pStyle w:val="ListParagraph"/>
        <w:numPr>
          <w:ilvl w:val="0"/>
          <w:numId w:val="5"/>
        </w:numPr>
        <w:spacing w:after="0" w:line="240" w:lineRule="auto"/>
        <w:ind w:left="720" w:hanging="360"/>
        <w:rPr>
          <w:rFonts w:cstheme="minorHAnsi"/>
        </w:rPr>
      </w:pPr>
      <w:r w:rsidRPr="00996727">
        <w:rPr>
          <w:rFonts w:cstheme="minorHAnsi"/>
        </w:rPr>
        <w:t xml:space="preserve">Tested plant health and yield with containers produced from four formulations for two months in </w:t>
      </w:r>
      <w:r w:rsidRPr="00996727">
        <w:rPr>
          <w:rFonts w:cstheme="minorHAnsi"/>
        </w:rPr>
        <w:t>the North Dakota State University (</w:t>
      </w:r>
      <w:r w:rsidRPr="00996727">
        <w:rPr>
          <w:rFonts w:cstheme="minorHAnsi"/>
        </w:rPr>
        <w:t>NDSU</w:t>
      </w:r>
      <w:r w:rsidRPr="00996727">
        <w:rPr>
          <w:rFonts w:cstheme="minorHAnsi"/>
        </w:rPr>
        <w:t>)</w:t>
      </w:r>
      <w:r w:rsidRPr="00996727">
        <w:rPr>
          <w:rFonts w:cstheme="minorHAnsi"/>
        </w:rPr>
        <w:t xml:space="preserve"> greenhouses </w:t>
      </w:r>
    </w:p>
    <w:p w14:paraId="470CD57F" w14:textId="4A499156" w:rsidR="00905F1C" w:rsidRPr="00996727" w:rsidRDefault="00905F1C" w:rsidP="009F0744">
      <w:pPr>
        <w:pStyle w:val="ListParagraph"/>
        <w:numPr>
          <w:ilvl w:val="0"/>
          <w:numId w:val="5"/>
        </w:numPr>
        <w:spacing w:after="0" w:line="240" w:lineRule="auto"/>
        <w:ind w:left="720" w:hanging="360"/>
        <w:rPr>
          <w:rFonts w:cstheme="minorHAnsi"/>
        </w:rPr>
      </w:pPr>
      <w:r w:rsidRPr="00996727">
        <w:rPr>
          <w:rFonts w:cstheme="minorHAnsi"/>
        </w:rPr>
        <w:t>Determined de</w:t>
      </w:r>
      <w:r w:rsidR="00D4557C" w:rsidRPr="00996727">
        <w:rPr>
          <w:rFonts w:cstheme="minorHAnsi"/>
        </w:rPr>
        <w:t>gradation</w:t>
      </w:r>
      <w:r w:rsidRPr="00996727">
        <w:rPr>
          <w:rFonts w:cstheme="minorHAnsi"/>
        </w:rPr>
        <w:t xml:space="preserve"> rates for the containers produced from the various formulations.</w:t>
      </w:r>
    </w:p>
    <w:p w14:paraId="526747C6" w14:textId="25AEFC14" w:rsidR="00972610" w:rsidRPr="00996727" w:rsidRDefault="00905F1C" w:rsidP="009F0744">
      <w:pPr>
        <w:pStyle w:val="ListParagraph"/>
        <w:numPr>
          <w:ilvl w:val="0"/>
          <w:numId w:val="5"/>
        </w:numPr>
        <w:spacing w:after="0" w:line="240" w:lineRule="auto"/>
        <w:ind w:left="720" w:hanging="360"/>
        <w:rPr>
          <w:rFonts w:cstheme="minorHAnsi"/>
        </w:rPr>
      </w:pPr>
      <w:r w:rsidRPr="00996727">
        <w:rPr>
          <w:rFonts w:cstheme="minorHAnsi"/>
        </w:rPr>
        <w:t xml:space="preserve">Performed </w:t>
      </w:r>
      <w:r w:rsidR="003A2C4F" w:rsidRPr="00996727">
        <w:rPr>
          <w:rFonts w:cstheme="minorHAnsi"/>
        </w:rPr>
        <w:t>techno-</w:t>
      </w:r>
      <w:r w:rsidRPr="00996727">
        <w:rPr>
          <w:rFonts w:cstheme="minorHAnsi"/>
        </w:rPr>
        <w:t>economic analysis</w:t>
      </w:r>
      <w:r w:rsidR="003A2C4F" w:rsidRPr="00996727">
        <w:rPr>
          <w:rFonts w:cstheme="minorHAnsi"/>
        </w:rPr>
        <w:t xml:space="preserve"> (TEA)</w:t>
      </w:r>
    </w:p>
    <w:p w14:paraId="4A7C71B1" w14:textId="77777777" w:rsidR="000D7FE6" w:rsidRPr="00996727" w:rsidRDefault="000D7FE6" w:rsidP="009F0744">
      <w:pPr>
        <w:spacing w:after="0" w:line="240" w:lineRule="auto"/>
        <w:rPr>
          <w:rFonts w:cstheme="minorHAnsi"/>
        </w:rPr>
      </w:pPr>
    </w:p>
    <w:p w14:paraId="5F395137" w14:textId="77777777" w:rsidR="00972610" w:rsidRPr="009F0744" w:rsidRDefault="00905F1C" w:rsidP="009F0744">
      <w:pPr>
        <w:pStyle w:val="Heading2"/>
        <w:spacing w:before="0" w:line="240" w:lineRule="auto"/>
        <w:rPr>
          <w:b/>
          <w:sz w:val="24"/>
          <w:szCs w:val="22"/>
        </w:rPr>
      </w:pPr>
      <w:r w:rsidRPr="009F0744">
        <w:rPr>
          <w:b/>
          <w:sz w:val="24"/>
          <w:szCs w:val="22"/>
        </w:rPr>
        <w:t xml:space="preserve">2. </w:t>
      </w:r>
      <w:r w:rsidR="00CB462F" w:rsidRPr="009F0744">
        <w:rPr>
          <w:b/>
          <w:sz w:val="24"/>
          <w:szCs w:val="22"/>
        </w:rPr>
        <w:t>Methodology</w:t>
      </w:r>
    </w:p>
    <w:p w14:paraId="34EDA677" w14:textId="6B5AEF5B" w:rsidR="00905F1C" w:rsidRPr="009F0744" w:rsidRDefault="00905F1C" w:rsidP="009F0744">
      <w:pPr>
        <w:pStyle w:val="Heading2"/>
        <w:spacing w:before="0" w:line="240" w:lineRule="auto"/>
        <w:rPr>
          <w:rFonts w:cstheme="minorHAnsi"/>
          <w:b/>
          <w:sz w:val="24"/>
          <w:szCs w:val="22"/>
        </w:rPr>
      </w:pPr>
      <w:bookmarkStart w:id="0" w:name="_Toc90226570"/>
      <w:r w:rsidRPr="009F0744">
        <w:rPr>
          <w:rFonts w:cstheme="minorHAnsi"/>
          <w:b/>
          <w:sz w:val="24"/>
          <w:szCs w:val="22"/>
        </w:rPr>
        <w:t xml:space="preserve">2.1 </w:t>
      </w:r>
      <w:r w:rsidR="00D4557C" w:rsidRPr="009F0744">
        <w:rPr>
          <w:rFonts w:cstheme="minorHAnsi"/>
          <w:b/>
          <w:sz w:val="24"/>
          <w:szCs w:val="22"/>
        </w:rPr>
        <w:t xml:space="preserve">Pots </w:t>
      </w:r>
      <w:r w:rsidRPr="009F0744">
        <w:rPr>
          <w:rFonts w:cstheme="minorHAnsi"/>
          <w:b/>
          <w:sz w:val="24"/>
          <w:szCs w:val="22"/>
        </w:rPr>
        <w:t>Formulations</w:t>
      </w:r>
      <w:bookmarkEnd w:id="0"/>
    </w:p>
    <w:p w14:paraId="1C17E3E5" w14:textId="18E46B8C" w:rsidR="00905F1C" w:rsidRPr="00996727" w:rsidRDefault="00905F1C" w:rsidP="009F0744">
      <w:pPr>
        <w:autoSpaceDE w:val="0"/>
        <w:autoSpaceDN w:val="0"/>
        <w:adjustRightInd w:val="0"/>
        <w:spacing w:after="0" w:line="240" w:lineRule="auto"/>
        <w:rPr>
          <w:rFonts w:cstheme="minorHAnsi"/>
          <w:lang w:val="en-US"/>
        </w:rPr>
      </w:pPr>
      <w:r w:rsidRPr="00996727">
        <w:rPr>
          <w:rFonts w:cstheme="minorHAnsi"/>
          <w:bCs/>
          <w:lang w:val="en-US"/>
        </w:rPr>
        <w:t xml:space="preserve">Two soy-based </w:t>
      </w:r>
      <w:r w:rsidRPr="00996727">
        <w:rPr>
          <w:rFonts w:cstheme="minorHAnsi"/>
          <w:lang w:val="en-US"/>
        </w:rPr>
        <w:t xml:space="preserve">pots formulations </w:t>
      </w:r>
      <w:r w:rsidRPr="00996727">
        <w:rPr>
          <w:rFonts w:cstheme="minorHAnsi"/>
        </w:rPr>
        <w:t xml:space="preserve">with different compositions of soy-hulls, soy protein isolate (SPI), and polylactic acid (PLA) </w:t>
      </w:r>
      <w:r w:rsidRPr="00996727">
        <w:rPr>
          <w:rFonts w:cstheme="minorHAnsi"/>
          <w:lang w:val="en-US"/>
        </w:rPr>
        <w:t>were molded into 3</w:t>
      </w:r>
      <w:r w:rsidR="009F0744">
        <w:rPr>
          <w:rFonts w:cstheme="minorHAnsi"/>
          <w:lang w:val="en-US"/>
        </w:rPr>
        <w:t>"</w:t>
      </w:r>
      <w:r w:rsidRPr="00996727">
        <w:rPr>
          <w:rFonts w:cstheme="minorHAnsi"/>
          <w:lang w:val="en-US"/>
        </w:rPr>
        <w:t xml:space="preserve"> garden pots</w:t>
      </w:r>
      <w:r w:rsidR="00D4557C" w:rsidRPr="00996727">
        <w:rPr>
          <w:rFonts w:cstheme="minorHAnsi"/>
          <w:lang w:val="en-US"/>
        </w:rPr>
        <w:t xml:space="preserve">. </w:t>
      </w:r>
      <w:r w:rsidRPr="00996727">
        <w:rPr>
          <w:rFonts w:cstheme="minorHAnsi"/>
          <w:lang w:val="en-US"/>
        </w:rPr>
        <w:t>These new formulations are compared with existing garden pots.</w:t>
      </w:r>
      <w:r w:rsidR="00D4557C" w:rsidRPr="00996727">
        <w:rPr>
          <w:rFonts w:cstheme="minorHAnsi"/>
          <w:lang w:val="en-US"/>
        </w:rPr>
        <w:t xml:space="preserve"> </w:t>
      </w:r>
      <w:r w:rsidRPr="00996727">
        <w:rPr>
          <w:rFonts w:cstheme="minorHAnsi"/>
          <w:lang w:val="en-US"/>
        </w:rPr>
        <w:t>The four types of pots studied were:</w:t>
      </w:r>
    </w:p>
    <w:p w14:paraId="5B8E98AA" w14:textId="58449883" w:rsidR="00905F1C" w:rsidRPr="00996727" w:rsidRDefault="00905F1C" w:rsidP="009F0744">
      <w:pPr>
        <w:pStyle w:val="ListParagraph"/>
        <w:numPr>
          <w:ilvl w:val="0"/>
          <w:numId w:val="10"/>
        </w:numPr>
        <w:tabs>
          <w:tab w:val="left" w:pos="270"/>
        </w:tabs>
        <w:spacing w:after="0" w:line="240" w:lineRule="auto"/>
        <w:rPr>
          <w:rFonts w:cstheme="minorHAnsi"/>
        </w:rPr>
      </w:pPr>
      <w:r w:rsidRPr="00996727">
        <w:rPr>
          <w:rFonts w:cstheme="minorHAnsi"/>
        </w:rPr>
        <w:t>Plastic: Control (Polyethylene) Purchased from a commercial source</w:t>
      </w:r>
    </w:p>
    <w:p w14:paraId="08838EBF" w14:textId="7ED11B92" w:rsidR="00905F1C" w:rsidRPr="00996727" w:rsidRDefault="00905F1C" w:rsidP="009F0744">
      <w:pPr>
        <w:pStyle w:val="ListParagraph"/>
        <w:numPr>
          <w:ilvl w:val="0"/>
          <w:numId w:val="10"/>
        </w:numPr>
        <w:tabs>
          <w:tab w:val="left" w:pos="270"/>
        </w:tabs>
        <w:spacing w:after="0" w:line="240" w:lineRule="auto"/>
        <w:rPr>
          <w:rFonts w:cstheme="minorHAnsi"/>
        </w:rPr>
      </w:pPr>
      <w:r w:rsidRPr="00996727">
        <w:rPr>
          <w:rFonts w:cstheme="minorHAnsi"/>
        </w:rPr>
        <w:t>SelfEco: Existing formulation from SelfEco</w:t>
      </w:r>
    </w:p>
    <w:p w14:paraId="3A07F8D3" w14:textId="173D3945" w:rsidR="00905F1C" w:rsidRPr="00996727" w:rsidRDefault="00905F1C" w:rsidP="009F0744">
      <w:pPr>
        <w:pStyle w:val="ListParagraph"/>
        <w:numPr>
          <w:ilvl w:val="0"/>
          <w:numId w:val="10"/>
        </w:numPr>
        <w:tabs>
          <w:tab w:val="left" w:pos="270"/>
        </w:tabs>
        <w:spacing w:after="0" w:line="240" w:lineRule="auto"/>
        <w:rPr>
          <w:rFonts w:cstheme="minorHAnsi"/>
        </w:rPr>
      </w:pPr>
      <w:r w:rsidRPr="00996727">
        <w:rPr>
          <w:rFonts w:cstheme="minorHAnsi"/>
        </w:rPr>
        <w:t xml:space="preserve">New </w:t>
      </w:r>
      <w:r w:rsidR="002612CB" w:rsidRPr="00996727">
        <w:rPr>
          <w:rFonts w:cstheme="minorHAnsi"/>
        </w:rPr>
        <w:t>F</w:t>
      </w:r>
      <w:r w:rsidRPr="00996727">
        <w:rPr>
          <w:rFonts w:cstheme="minorHAnsi"/>
        </w:rPr>
        <w:t>ormulation 1 (70% PLA + 30% soy hulls)</w:t>
      </w:r>
    </w:p>
    <w:p w14:paraId="6D08DC60" w14:textId="1694D887" w:rsidR="002612CB" w:rsidRPr="00996727" w:rsidRDefault="002612CB" w:rsidP="009F0744">
      <w:pPr>
        <w:pStyle w:val="ListParagraph"/>
        <w:numPr>
          <w:ilvl w:val="0"/>
          <w:numId w:val="10"/>
        </w:numPr>
        <w:tabs>
          <w:tab w:val="left" w:pos="270"/>
        </w:tabs>
        <w:spacing w:after="0" w:line="240" w:lineRule="auto"/>
        <w:rPr>
          <w:rFonts w:cstheme="minorHAnsi"/>
        </w:rPr>
      </w:pPr>
      <w:r w:rsidRPr="00996727">
        <w:rPr>
          <w:rFonts w:cstheme="minorHAnsi"/>
        </w:rPr>
        <w:t>S</w:t>
      </w:r>
      <w:r w:rsidR="00905F1C" w:rsidRPr="00996727">
        <w:rPr>
          <w:rFonts w:cstheme="minorHAnsi"/>
        </w:rPr>
        <w:t xml:space="preserve">New </w:t>
      </w:r>
      <w:r w:rsidRPr="00996727">
        <w:rPr>
          <w:rFonts w:cstheme="minorHAnsi"/>
        </w:rPr>
        <w:t>F</w:t>
      </w:r>
      <w:r w:rsidR="00905F1C" w:rsidRPr="00996727">
        <w:rPr>
          <w:rFonts w:cstheme="minorHAnsi"/>
        </w:rPr>
        <w:t>ormulation 2 (65% PLA + 30% soy hulls + 5% SPI)</w:t>
      </w:r>
    </w:p>
    <w:p w14:paraId="674369BD" w14:textId="77777777" w:rsidR="000D7FE6" w:rsidRPr="00996727" w:rsidRDefault="000D7FE6" w:rsidP="009F0744">
      <w:pPr>
        <w:pStyle w:val="ListParagraph"/>
        <w:tabs>
          <w:tab w:val="left" w:pos="270"/>
        </w:tabs>
        <w:spacing w:after="0" w:line="240" w:lineRule="auto"/>
        <w:rPr>
          <w:rFonts w:cstheme="minorHAnsi"/>
        </w:rPr>
      </w:pPr>
    </w:p>
    <w:p w14:paraId="72AAE18B" w14:textId="77777777" w:rsidR="002612CB" w:rsidRPr="00996727" w:rsidRDefault="002612CB" w:rsidP="009F0744">
      <w:pPr>
        <w:tabs>
          <w:tab w:val="left" w:pos="270"/>
        </w:tabs>
        <w:spacing w:after="0" w:line="240" w:lineRule="auto"/>
        <w:ind w:left="360"/>
        <w:jc w:val="center"/>
        <w:rPr>
          <w:rFonts w:eastAsia="MS Mincho" w:cstheme="minorHAnsi"/>
          <w:bCs/>
        </w:rPr>
      </w:pPr>
      <w:r w:rsidRPr="00996727">
        <w:rPr>
          <w:noProof/>
        </w:rPr>
        <w:drawing>
          <wp:inline distT="0" distB="0" distL="0" distR="0" wp14:anchorId="5193AACB" wp14:editId="0F150A89">
            <wp:extent cx="5449770" cy="3273357"/>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59396" cy="3279139"/>
                    </a:xfrm>
                    <a:prstGeom prst="rect">
                      <a:avLst/>
                    </a:prstGeom>
                    <a:noFill/>
                    <a:ln>
                      <a:noFill/>
                    </a:ln>
                  </pic:spPr>
                </pic:pic>
              </a:graphicData>
            </a:graphic>
          </wp:inline>
        </w:drawing>
      </w:r>
    </w:p>
    <w:p w14:paraId="20B94F54" w14:textId="0873076D" w:rsidR="002612CB" w:rsidRPr="00996727" w:rsidRDefault="002612CB" w:rsidP="009F0744">
      <w:pPr>
        <w:tabs>
          <w:tab w:val="left" w:pos="270"/>
        </w:tabs>
        <w:spacing w:after="0" w:line="240" w:lineRule="auto"/>
        <w:ind w:left="360"/>
        <w:jc w:val="center"/>
        <w:rPr>
          <w:rFonts w:cstheme="minorHAnsi"/>
        </w:rPr>
      </w:pPr>
      <w:r w:rsidRPr="00996727">
        <w:rPr>
          <w:rFonts w:eastAsia="MS Mincho" w:cstheme="minorHAnsi"/>
          <w:bCs/>
        </w:rPr>
        <w:t xml:space="preserve">Figure </w:t>
      </w:r>
      <w:r w:rsidRPr="00996727">
        <w:rPr>
          <w:rFonts w:eastAsia="MS Mincho" w:cstheme="minorHAnsi"/>
          <w:bCs/>
        </w:rPr>
        <w:fldChar w:fldCharType="begin"/>
      </w:r>
      <w:r w:rsidRPr="00996727">
        <w:rPr>
          <w:rFonts w:eastAsia="MS Mincho" w:cstheme="minorHAnsi"/>
          <w:bCs/>
        </w:rPr>
        <w:instrText xml:space="preserve"> SEQ Figure \* ARABIC </w:instrText>
      </w:r>
      <w:r w:rsidRPr="00996727">
        <w:rPr>
          <w:rFonts w:eastAsia="MS Mincho" w:cstheme="minorHAnsi"/>
          <w:bCs/>
        </w:rPr>
        <w:fldChar w:fldCharType="separate"/>
      </w:r>
      <w:r w:rsidRPr="00996727">
        <w:rPr>
          <w:rFonts w:eastAsia="MS Mincho" w:cstheme="minorHAnsi"/>
          <w:bCs/>
          <w:noProof/>
        </w:rPr>
        <w:t>1</w:t>
      </w:r>
      <w:r w:rsidRPr="00996727">
        <w:rPr>
          <w:rFonts w:eastAsia="MS Mincho" w:cstheme="minorHAnsi"/>
          <w:bCs/>
        </w:rPr>
        <w:fldChar w:fldCharType="end"/>
      </w:r>
      <w:r w:rsidRPr="00996727">
        <w:rPr>
          <w:rFonts w:eastAsia="MS Mincho" w:cstheme="minorHAnsi"/>
          <w:bCs/>
        </w:rPr>
        <w:t xml:space="preserve">. </w:t>
      </w:r>
      <w:r w:rsidRPr="00996727">
        <w:rPr>
          <w:rFonts w:eastAsia="MS Mincho" w:cstheme="minorHAnsi"/>
          <w:bCs/>
        </w:rPr>
        <w:t>P</w:t>
      </w:r>
      <w:r w:rsidRPr="00996727">
        <w:rPr>
          <w:rFonts w:eastAsia="MS Mincho" w:cstheme="minorHAnsi"/>
          <w:bCs/>
        </w:rPr>
        <w:t>rocess breakdown</w:t>
      </w:r>
      <w:r w:rsidRPr="00996727">
        <w:rPr>
          <w:rFonts w:eastAsia="MS Mincho" w:cstheme="minorHAnsi"/>
          <w:bCs/>
        </w:rPr>
        <w:t xml:space="preserve"> of the pots formulation</w:t>
      </w:r>
    </w:p>
    <w:p w14:paraId="4D597488" w14:textId="20A173E8" w:rsidR="002612CB" w:rsidRPr="00996727" w:rsidRDefault="00905F1C" w:rsidP="009F0744">
      <w:pPr>
        <w:spacing w:after="0" w:line="240" w:lineRule="auto"/>
        <w:jc w:val="both"/>
        <w:rPr>
          <w:rFonts w:cstheme="minorHAnsi"/>
          <w:bCs/>
        </w:rPr>
      </w:pPr>
      <w:r w:rsidRPr="00996727">
        <w:rPr>
          <w:rFonts w:cstheme="minorHAnsi"/>
        </w:rPr>
        <w:lastRenderedPageBreak/>
        <w:t xml:space="preserve">The overall activity to obtain the new garden pot formulation is shown in Figure 1. Step 1 was completed in NDSU Industrial and Manufacturing Laboratory, Step 2 – Step 4 was accomplished in C2Renew Facilities, </w:t>
      </w:r>
    </w:p>
    <w:p w14:paraId="68193A48" w14:textId="77777777" w:rsidR="002612CB" w:rsidRPr="00996727" w:rsidRDefault="00905F1C" w:rsidP="009F0744">
      <w:pPr>
        <w:spacing w:after="0" w:line="240" w:lineRule="auto"/>
        <w:jc w:val="both"/>
        <w:rPr>
          <w:rFonts w:cstheme="minorHAnsi"/>
        </w:rPr>
      </w:pPr>
      <w:r w:rsidRPr="00996727">
        <w:rPr>
          <w:rFonts w:cstheme="minorHAnsi"/>
        </w:rPr>
        <w:t xml:space="preserve">and Step 5 was performed by SelfEco. </w:t>
      </w:r>
    </w:p>
    <w:p w14:paraId="178D3E73" w14:textId="77777777" w:rsidR="002612CB" w:rsidRPr="00996727" w:rsidRDefault="002612CB" w:rsidP="009F0744">
      <w:pPr>
        <w:spacing w:after="0" w:line="240" w:lineRule="auto"/>
        <w:jc w:val="both"/>
        <w:rPr>
          <w:rFonts w:cstheme="minorHAnsi"/>
          <w:b/>
        </w:rPr>
      </w:pPr>
    </w:p>
    <w:p w14:paraId="66027AAD" w14:textId="5C1AE77B" w:rsidR="002612CB" w:rsidRPr="00996727" w:rsidRDefault="002612CB" w:rsidP="009F0744">
      <w:pPr>
        <w:spacing w:after="0" w:line="240" w:lineRule="auto"/>
        <w:jc w:val="both"/>
        <w:rPr>
          <w:rFonts w:cstheme="minorHAnsi"/>
        </w:rPr>
      </w:pPr>
      <w:r w:rsidRPr="00996727">
        <w:rPr>
          <w:rFonts w:cstheme="minorHAnsi"/>
          <w:b/>
        </w:rPr>
        <w:t>Step 1 Raw Materials.</w:t>
      </w:r>
      <w:r w:rsidRPr="00996727">
        <w:rPr>
          <w:rFonts w:cstheme="minorHAnsi"/>
        </w:rPr>
        <w:t xml:space="preserve"> Polylactic acid (PLA) was obtained from NatureWorks, and soy hulls from Carrington Research Extension Center and NDSU Northern Crops Institute (NCI) Feed Production Center. The PI(s) had SPI in hand. Soy hulls were first ground to granular size using a Retsch SK 100 mill machine to an approximately average diameter of 100 µm before compounding with the plastic.  </w:t>
      </w:r>
    </w:p>
    <w:p w14:paraId="082919E4" w14:textId="77777777" w:rsidR="002612CB" w:rsidRPr="00996727" w:rsidRDefault="002612CB" w:rsidP="009F0744">
      <w:pPr>
        <w:spacing w:after="0" w:line="240" w:lineRule="auto"/>
        <w:jc w:val="both"/>
        <w:rPr>
          <w:rFonts w:cstheme="minorHAnsi"/>
        </w:rPr>
      </w:pPr>
    </w:p>
    <w:p w14:paraId="1D781905" w14:textId="42B2B01C" w:rsidR="002612CB" w:rsidRPr="00996727" w:rsidRDefault="002612CB" w:rsidP="009F0744">
      <w:pPr>
        <w:spacing w:after="0" w:line="240" w:lineRule="auto"/>
        <w:jc w:val="both"/>
        <w:rPr>
          <w:rFonts w:cstheme="minorHAnsi"/>
          <w:bCs/>
        </w:rPr>
      </w:pPr>
      <w:r w:rsidRPr="00996727">
        <w:rPr>
          <w:rFonts w:cstheme="minorHAnsi"/>
          <w:b/>
          <w:bCs/>
        </w:rPr>
        <w:t>Step 2-4 Pelleting.</w:t>
      </w:r>
      <w:r w:rsidRPr="00996727">
        <w:rPr>
          <w:rFonts w:cstheme="minorHAnsi"/>
          <w:bCs/>
        </w:rPr>
        <w:t xml:space="preserve"> The pelleting process was completed in collaboration with C2Renew (Fargo, ND) in January 2021. The PLA, soy hulls, and SPI were dried in an oven for 12 hours and air-dried for an additional day. According to prespecified proportions, PLA and soy hulls were mixed thoroughly and uniformly by a mixer for approximately 10 minutes for Formulation 1. Similarly, PLA, soy hulls, and SPI were combined using the mixer for Formulation 2.</w:t>
      </w:r>
      <w:r w:rsidRPr="00996727">
        <w:rPr>
          <w:rFonts w:cstheme="minorHAnsi"/>
          <w:bCs/>
        </w:rPr>
        <w:t xml:space="preserve"> </w:t>
      </w:r>
      <w:r w:rsidRPr="00996727">
        <w:rPr>
          <w:rFonts w:cstheme="minorHAnsi"/>
          <w:bCs/>
        </w:rPr>
        <w:t>In the following step, an extruder was used to blend all ingredients of both formulations at high temperatures. The three zones had temperatures varied from 280F to 330F for both formulations. The extruded strands were then pelletized into 3 mm lengths. (Figure 2). The pellets were then forwarded to SelfEco in February 2021 for injection molding to produce the 32 pots of each formulation.</w:t>
      </w:r>
    </w:p>
    <w:p w14:paraId="0E7D7A29" w14:textId="77777777" w:rsidR="00905F1C" w:rsidRPr="00996727" w:rsidRDefault="00905F1C" w:rsidP="009F0744">
      <w:pPr>
        <w:spacing w:after="0" w:line="240" w:lineRule="auto"/>
        <w:jc w:val="center"/>
        <w:rPr>
          <w:rFonts w:cstheme="minorHAnsi"/>
          <w:bCs/>
        </w:rPr>
      </w:pPr>
      <w:r w:rsidRPr="00996727">
        <w:rPr>
          <w:rFonts w:cstheme="minorHAnsi"/>
          <w:noProof/>
        </w:rPr>
        <w:drawing>
          <wp:inline distT="0" distB="0" distL="0" distR="0" wp14:anchorId="7D27B723" wp14:editId="224FB190">
            <wp:extent cx="4846320" cy="18288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570"/>
                    <a:stretch/>
                  </pic:blipFill>
                  <pic:spPr bwMode="auto">
                    <a:xfrm>
                      <a:off x="0" y="0"/>
                      <a:ext cx="4846320" cy="1828860"/>
                    </a:xfrm>
                    <a:prstGeom prst="rect">
                      <a:avLst/>
                    </a:prstGeom>
                    <a:noFill/>
                    <a:ln>
                      <a:noFill/>
                    </a:ln>
                    <a:extLst>
                      <a:ext uri="{53640926-AAD7-44D8-BBD7-CCE9431645EC}">
                        <a14:shadowObscured xmlns:a14="http://schemas.microsoft.com/office/drawing/2010/main"/>
                      </a:ext>
                    </a:extLst>
                  </pic:spPr>
                </pic:pic>
              </a:graphicData>
            </a:graphic>
          </wp:inline>
        </w:drawing>
      </w:r>
    </w:p>
    <w:p w14:paraId="43E7E42A" w14:textId="3FF09546" w:rsidR="00D4557C" w:rsidRPr="00996727" w:rsidRDefault="00905F1C" w:rsidP="009F0744">
      <w:pPr>
        <w:spacing w:after="0" w:line="240" w:lineRule="auto"/>
        <w:jc w:val="center"/>
        <w:rPr>
          <w:rFonts w:eastAsia="MS Mincho" w:cstheme="minorHAnsi"/>
          <w:bCs/>
        </w:rPr>
      </w:pPr>
      <w:r w:rsidRPr="00996727">
        <w:rPr>
          <w:rFonts w:eastAsia="MS Mincho" w:cstheme="minorHAnsi"/>
          <w:bCs/>
        </w:rPr>
        <w:t xml:space="preserve">Figure 2. Snapshots from the pelleting process </w:t>
      </w:r>
    </w:p>
    <w:p w14:paraId="0B9B6C82" w14:textId="77777777" w:rsidR="000D7FE6" w:rsidRPr="00996727" w:rsidRDefault="000D7FE6" w:rsidP="009F0744">
      <w:pPr>
        <w:spacing w:after="0" w:line="240" w:lineRule="auto"/>
        <w:jc w:val="center"/>
        <w:rPr>
          <w:rFonts w:eastAsia="MS Mincho" w:cstheme="minorHAnsi"/>
          <w:bCs/>
        </w:rPr>
      </w:pPr>
    </w:p>
    <w:p w14:paraId="421B8709" w14:textId="3DDCB278" w:rsidR="00905F1C" w:rsidRPr="00996727" w:rsidRDefault="00D4557C" w:rsidP="009F0744">
      <w:pPr>
        <w:spacing w:after="0" w:line="240" w:lineRule="auto"/>
        <w:jc w:val="both"/>
        <w:rPr>
          <w:rFonts w:cstheme="minorHAnsi"/>
        </w:rPr>
      </w:pPr>
      <w:r w:rsidRPr="00996727">
        <w:rPr>
          <w:rFonts w:cstheme="minorHAnsi"/>
          <w:b/>
        </w:rPr>
        <w:t>Step 5 Molding.</w:t>
      </w:r>
      <w:r w:rsidRPr="00996727">
        <w:rPr>
          <w:rFonts w:cstheme="minorHAnsi"/>
        </w:rPr>
        <w:t xml:space="preserve"> </w:t>
      </w:r>
      <w:r w:rsidR="00905F1C" w:rsidRPr="00996727">
        <w:rPr>
          <w:rFonts w:cstheme="minorHAnsi"/>
        </w:rPr>
        <w:t>After multiple attempts on molding, the 3</w:t>
      </w:r>
      <w:r w:rsidR="009F0744">
        <w:rPr>
          <w:rFonts w:cstheme="minorHAnsi"/>
        </w:rPr>
        <w:t>"</w:t>
      </w:r>
      <w:r w:rsidR="00905F1C" w:rsidRPr="00996727">
        <w:rPr>
          <w:rFonts w:cstheme="minorHAnsi"/>
        </w:rPr>
        <w:t xml:space="preserve"> pots were eventually molded. The standard pot size initially planned was 4</w:t>
      </w:r>
      <w:r w:rsidR="009F0744">
        <w:rPr>
          <w:rFonts w:cstheme="minorHAnsi"/>
        </w:rPr>
        <w:t>"</w:t>
      </w:r>
      <w:r w:rsidR="00905F1C" w:rsidRPr="00996727">
        <w:rPr>
          <w:rFonts w:cstheme="minorHAnsi"/>
        </w:rPr>
        <w:t xml:space="preserve">. However, the pot sizes had to be reduced to achieve a higher quantity of molded pots because some formulation was sacrificed during the trial molding process. </w:t>
      </w:r>
    </w:p>
    <w:p w14:paraId="2DFCFB38" w14:textId="77777777" w:rsidR="000D7FE6" w:rsidRPr="00996727" w:rsidRDefault="000D7FE6" w:rsidP="009F0744">
      <w:pPr>
        <w:spacing w:after="0" w:line="240" w:lineRule="auto"/>
        <w:jc w:val="both"/>
        <w:rPr>
          <w:rFonts w:cstheme="minorHAnsi"/>
        </w:rPr>
      </w:pPr>
    </w:p>
    <w:p w14:paraId="3518326C" w14:textId="77777777" w:rsidR="00905F1C" w:rsidRPr="00996727" w:rsidRDefault="00905F1C" w:rsidP="009F0744">
      <w:pPr>
        <w:spacing w:after="0" w:line="240" w:lineRule="auto"/>
        <w:jc w:val="center"/>
        <w:rPr>
          <w:rFonts w:cstheme="minorHAnsi"/>
        </w:rPr>
      </w:pPr>
      <w:r w:rsidRPr="00996727">
        <w:rPr>
          <w:rFonts w:cstheme="minorHAnsi"/>
          <w:noProof/>
        </w:rPr>
        <w:drawing>
          <wp:inline distT="0" distB="0" distL="0" distR="0" wp14:anchorId="4293BD78" wp14:editId="527B8670">
            <wp:extent cx="4994565" cy="212063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2750"/>
                    <a:stretch/>
                  </pic:blipFill>
                  <pic:spPr bwMode="auto">
                    <a:xfrm>
                      <a:off x="0" y="0"/>
                      <a:ext cx="4994565" cy="2120630"/>
                    </a:xfrm>
                    <a:prstGeom prst="rect">
                      <a:avLst/>
                    </a:prstGeom>
                    <a:noFill/>
                    <a:ln>
                      <a:noFill/>
                    </a:ln>
                    <a:extLst>
                      <a:ext uri="{53640926-AAD7-44D8-BBD7-CCE9431645EC}">
                        <a14:shadowObscured xmlns:a14="http://schemas.microsoft.com/office/drawing/2010/main"/>
                      </a:ext>
                    </a:extLst>
                  </pic:spPr>
                </pic:pic>
              </a:graphicData>
            </a:graphic>
          </wp:inline>
        </w:drawing>
      </w:r>
    </w:p>
    <w:p w14:paraId="7C531E04" w14:textId="77777777" w:rsidR="00905F1C" w:rsidRPr="00996727" w:rsidRDefault="00905F1C" w:rsidP="009F0744">
      <w:pPr>
        <w:spacing w:after="0" w:line="240" w:lineRule="auto"/>
        <w:jc w:val="center"/>
        <w:rPr>
          <w:rFonts w:eastAsia="MS Mincho" w:cstheme="minorHAnsi"/>
          <w:bCs/>
        </w:rPr>
      </w:pPr>
      <w:r w:rsidRPr="00996727">
        <w:rPr>
          <w:rFonts w:eastAsia="MS Mincho" w:cstheme="minorHAnsi"/>
          <w:bCs/>
        </w:rPr>
        <w:t>Figure 3. Snapshots from the molding process and the four pots</w:t>
      </w:r>
    </w:p>
    <w:p w14:paraId="1BB375EB" w14:textId="67A76551" w:rsidR="00905F1C" w:rsidRPr="009F0744" w:rsidRDefault="00905F1C" w:rsidP="009F0744">
      <w:pPr>
        <w:pStyle w:val="Heading2"/>
        <w:spacing w:before="0" w:line="240" w:lineRule="auto"/>
        <w:rPr>
          <w:rFonts w:eastAsia="MS Mincho" w:cstheme="minorHAnsi"/>
          <w:b/>
          <w:sz w:val="22"/>
          <w:szCs w:val="22"/>
        </w:rPr>
      </w:pPr>
      <w:bookmarkStart w:id="1" w:name="_Toc90226574"/>
      <w:r w:rsidRPr="009F0744">
        <w:rPr>
          <w:rFonts w:eastAsia="MS Mincho" w:cstheme="minorHAnsi"/>
          <w:b/>
          <w:sz w:val="24"/>
          <w:szCs w:val="22"/>
        </w:rPr>
        <w:lastRenderedPageBreak/>
        <w:t xml:space="preserve">2.2 </w:t>
      </w:r>
      <w:r w:rsidRPr="009F0744">
        <w:rPr>
          <w:rFonts w:eastAsia="MS Mincho" w:cstheme="minorHAnsi"/>
          <w:b/>
          <w:sz w:val="24"/>
          <w:szCs w:val="22"/>
        </w:rPr>
        <w:t>Plant Growth Assessment</w:t>
      </w:r>
      <w:bookmarkEnd w:id="1"/>
    </w:p>
    <w:p w14:paraId="4EBF7297" w14:textId="4916FA5E" w:rsidR="00905F1C" w:rsidRPr="00996727" w:rsidRDefault="00905F1C" w:rsidP="009F0744">
      <w:pPr>
        <w:spacing w:after="0" w:line="240" w:lineRule="auto"/>
        <w:jc w:val="both"/>
        <w:rPr>
          <w:rFonts w:eastAsia="MS Mincho" w:cstheme="minorHAnsi"/>
        </w:rPr>
      </w:pPr>
      <w:r w:rsidRPr="00996727">
        <w:rPr>
          <w:rFonts w:eastAsia="MS Mincho" w:cstheme="minorHAnsi"/>
        </w:rPr>
        <w:t>The Department of Plant Sciences at NDSU tested the performance of selected horticultural crops in the four different formulations of garden pots</w:t>
      </w:r>
      <w:r w:rsidR="00D4557C" w:rsidRPr="00996727">
        <w:rPr>
          <w:rFonts w:eastAsia="MS Mincho" w:cstheme="minorHAnsi"/>
        </w:rPr>
        <w:t>.</w:t>
      </w:r>
      <w:r w:rsidRPr="00996727">
        <w:rPr>
          <w:rFonts w:eastAsia="MS Mincho" w:cstheme="minorHAnsi"/>
        </w:rPr>
        <w:t xml:space="preserve"> Plants to be tested include 1) non-fruit bearing vegetables (various lettuce), 2) fruit-bearing vegetables (tomato), and 3) floricultural crops (zinnia, french marigold). </w:t>
      </w:r>
    </w:p>
    <w:p w14:paraId="0C26BD19" w14:textId="77777777" w:rsidR="001A12C2" w:rsidRPr="00996727" w:rsidRDefault="001A12C2" w:rsidP="009F0744">
      <w:pPr>
        <w:spacing w:after="0" w:line="240" w:lineRule="auto"/>
        <w:jc w:val="both"/>
        <w:rPr>
          <w:rFonts w:cstheme="minorHAnsi"/>
          <w:b/>
          <w:bCs/>
        </w:rPr>
      </w:pPr>
    </w:p>
    <w:p w14:paraId="24DB1117" w14:textId="46CEF200" w:rsidR="00905F1C" w:rsidRPr="00996727" w:rsidRDefault="00905F1C" w:rsidP="009F0744">
      <w:pPr>
        <w:spacing w:after="0" w:line="240" w:lineRule="auto"/>
        <w:jc w:val="both"/>
        <w:rPr>
          <w:rFonts w:cstheme="minorHAnsi"/>
        </w:rPr>
      </w:pPr>
      <w:r w:rsidRPr="00996727">
        <w:rPr>
          <w:rFonts w:cstheme="minorHAnsi"/>
          <w:b/>
          <w:bCs/>
        </w:rPr>
        <w:t>Growing Medium and Fertilizer.</w:t>
      </w:r>
      <w:r w:rsidRPr="00996727">
        <w:rPr>
          <w:rFonts w:cstheme="minorHAnsi"/>
        </w:rPr>
        <w:t xml:space="preserve"> Pro-Mix BX medium (with microbial fungicide) by Sun Gro® Horticulture was used as a growing medium for all plant types. A water-soluble fertilizer, Jacks 20-20-20 General Purpose, was used with water to prepare a 200ppm solution for providing plant nutrient elements. The fertilizer mixed water was regularly applied to the growing medium from planting the seeds </w:t>
      </w:r>
      <w:r w:rsidR="00D4557C" w:rsidRPr="00996727">
        <w:rPr>
          <w:rFonts w:cstheme="minorHAnsi"/>
        </w:rPr>
        <w:t>to harvesting</w:t>
      </w:r>
      <w:r w:rsidRPr="00996727">
        <w:rPr>
          <w:rFonts w:cstheme="minorHAnsi"/>
        </w:rPr>
        <w:t xml:space="preserve">. </w:t>
      </w:r>
    </w:p>
    <w:p w14:paraId="0A81D187" w14:textId="77777777" w:rsidR="001A12C2" w:rsidRPr="00996727" w:rsidRDefault="001A12C2" w:rsidP="009F0744">
      <w:pPr>
        <w:spacing w:after="0" w:line="240" w:lineRule="auto"/>
        <w:jc w:val="both"/>
        <w:rPr>
          <w:rFonts w:cstheme="minorHAnsi"/>
          <w:b/>
          <w:bCs/>
        </w:rPr>
      </w:pPr>
    </w:p>
    <w:p w14:paraId="323D6E39" w14:textId="45312C6B" w:rsidR="00905F1C" w:rsidRPr="00996727" w:rsidRDefault="00905F1C" w:rsidP="009F0744">
      <w:pPr>
        <w:spacing w:after="0" w:line="240" w:lineRule="auto"/>
        <w:jc w:val="both"/>
        <w:rPr>
          <w:rFonts w:cstheme="minorHAnsi"/>
        </w:rPr>
      </w:pPr>
      <w:r w:rsidRPr="00996727">
        <w:rPr>
          <w:rFonts w:cstheme="minorHAnsi"/>
          <w:b/>
          <w:bCs/>
        </w:rPr>
        <w:t>Plant Species</w:t>
      </w:r>
      <w:r w:rsidRPr="00996727">
        <w:rPr>
          <w:rFonts w:cstheme="minorHAnsi"/>
        </w:rPr>
        <w:t xml:space="preserve">. Five plant species were selected for this study based on the availability and the allowable experimental time. Seedlings of the plant species were transplanted into the four types of pots. The five plant species for this experimental study were: </w:t>
      </w:r>
    </w:p>
    <w:p w14:paraId="79BA421E" w14:textId="77777777" w:rsidR="00905F1C" w:rsidRPr="00996727" w:rsidRDefault="00905F1C" w:rsidP="009F0744">
      <w:pPr>
        <w:pStyle w:val="ListParagraph"/>
        <w:numPr>
          <w:ilvl w:val="0"/>
          <w:numId w:val="4"/>
        </w:numPr>
        <w:spacing w:after="0" w:line="240" w:lineRule="auto"/>
        <w:ind w:hanging="270"/>
        <w:jc w:val="both"/>
        <w:rPr>
          <w:rFonts w:cstheme="minorHAnsi"/>
        </w:rPr>
      </w:pPr>
      <w:r w:rsidRPr="00996727">
        <w:rPr>
          <w:rFonts w:cstheme="minorHAnsi"/>
        </w:rPr>
        <w:t>Black Seeded Simpson Lettuce - Non-fruit bearing vegetables</w:t>
      </w:r>
    </w:p>
    <w:p w14:paraId="79877FB1" w14:textId="77777777" w:rsidR="00905F1C" w:rsidRPr="00996727" w:rsidRDefault="00905F1C" w:rsidP="009F0744">
      <w:pPr>
        <w:pStyle w:val="ListParagraph"/>
        <w:numPr>
          <w:ilvl w:val="0"/>
          <w:numId w:val="4"/>
        </w:numPr>
        <w:spacing w:after="0" w:line="240" w:lineRule="auto"/>
        <w:ind w:hanging="270"/>
        <w:jc w:val="both"/>
        <w:rPr>
          <w:rFonts w:cstheme="minorHAnsi"/>
        </w:rPr>
      </w:pPr>
      <w:r w:rsidRPr="00996727">
        <w:rPr>
          <w:rFonts w:cstheme="minorHAnsi"/>
        </w:rPr>
        <w:t xml:space="preserve">Tacitus R2 Lettuce - Non-fruit bearing vegetables </w:t>
      </w:r>
    </w:p>
    <w:p w14:paraId="5E3AA0CF" w14:textId="77777777" w:rsidR="00905F1C" w:rsidRPr="00996727" w:rsidRDefault="00905F1C" w:rsidP="009F0744">
      <w:pPr>
        <w:pStyle w:val="ListParagraph"/>
        <w:numPr>
          <w:ilvl w:val="0"/>
          <w:numId w:val="4"/>
        </w:numPr>
        <w:spacing w:after="0" w:line="240" w:lineRule="auto"/>
        <w:ind w:hanging="270"/>
        <w:jc w:val="both"/>
        <w:rPr>
          <w:rFonts w:cstheme="minorHAnsi"/>
        </w:rPr>
      </w:pPr>
      <w:r w:rsidRPr="00996727">
        <w:rPr>
          <w:rFonts w:cstheme="minorHAnsi"/>
        </w:rPr>
        <w:t>Zinnia -</w:t>
      </w:r>
      <w:r w:rsidRPr="00996727">
        <w:rPr>
          <w:rFonts w:eastAsia="MS Mincho" w:cstheme="minorHAnsi"/>
        </w:rPr>
        <w:t xml:space="preserve"> Floricultural crops</w:t>
      </w:r>
    </w:p>
    <w:p w14:paraId="0A381A9E" w14:textId="77777777" w:rsidR="00905F1C" w:rsidRPr="00996727" w:rsidRDefault="00905F1C" w:rsidP="009F0744">
      <w:pPr>
        <w:pStyle w:val="ListParagraph"/>
        <w:numPr>
          <w:ilvl w:val="0"/>
          <w:numId w:val="4"/>
        </w:numPr>
        <w:spacing w:after="0" w:line="240" w:lineRule="auto"/>
        <w:ind w:hanging="270"/>
        <w:jc w:val="both"/>
        <w:rPr>
          <w:rFonts w:cstheme="minorHAnsi"/>
        </w:rPr>
      </w:pPr>
      <w:r w:rsidRPr="00996727">
        <w:rPr>
          <w:rFonts w:cstheme="minorHAnsi"/>
        </w:rPr>
        <w:t xml:space="preserve">French Marigold - </w:t>
      </w:r>
      <w:r w:rsidRPr="00996727">
        <w:rPr>
          <w:rFonts w:eastAsia="MS Mincho" w:cstheme="minorHAnsi"/>
        </w:rPr>
        <w:t>Floricultural crops</w:t>
      </w:r>
    </w:p>
    <w:p w14:paraId="2561C4B7" w14:textId="77777777" w:rsidR="00905F1C" w:rsidRPr="00996727" w:rsidRDefault="00905F1C" w:rsidP="009F0744">
      <w:pPr>
        <w:pStyle w:val="ListParagraph"/>
        <w:numPr>
          <w:ilvl w:val="0"/>
          <w:numId w:val="4"/>
        </w:numPr>
        <w:spacing w:after="0" w:line="240" w:lineRule="auto"/>
        <w:ind w:hanging="270"/>
        <w:jc w:val="both"/>
        <w:rPr>
          <w:rFonts w:cstheme="minorHAnsi"/>
        </w:rPr>
      </w:pPr>
      <w:r w:rsidRPr="00996727">
        <w:rPr>
          <w:rFonts w:cstheme="minorHAnsi"/>
        </w:rPr>
        <w:t xml:space="preserve">Sheyenne Tomato - </w:t>
      </w:r>
      <w:r w:rsidRPr="00996727">
        <w:rPr>
          <w:rFonts w:eastAsia="MS Mincho" w:cstheme="minorHAnsi"/>
        </w:rPr>
        <w:t>Fruit-bearing vegetables</w:t>
      </w:r>
    </w:p>
    <w:p w14:paraId="5E99FB04" w14:textId="77777777" w:rsidR="001A12C2" w:rsidRPr="00996727" w:rsidRDefault="001A12C2" w:rsidP="009F0744">
      <w:pPr>
        <w:spacing w:after="0" w:line="240" w:lineRule="auto"/>
        <w:rPr>
          <w:rFonts w:eastAsia="MS Mincho" w:cstheme="minorHAnsi"/>
          <w:b/>
        </w:rPr>
      </w:pPr>
    </w:p>
    <w:p w14:paraId="3CC9B3EE" w14:textId="314FD48D" w:rsidR="000D7FE6" w:rsidRPr="00996727" w:rsidRDefault="00905F1C" w:rsidP="009F0744">
      <w:pPr>
        <w:spacing w:after="0" w:line="240" w:lineRule="auto"/>
        <w:rPr>
          <w:rFonts w:eastAsia="MS Mincho" w:cstheme="minorHAnsi"/>
          <w:bCs/>
        </w:rPr>
      </w:pPr>
      <w:r w:rsidRPr="00996727">
        <w:rPr>
          <w:rFonts w:eastAsia="MS Mincho" w:cstheme="minorHAnsi"/>
          <w:b/>
        </w:rPr>
        <w:t>Growth Experiment Procedure.</w:t>
      </w:r>
      <w:r w:rsidRPr="00996727">
        <w:rPr>
          <w:rFonts w:eastAsia="MS Mincho" w:cstheme="minorHAnsi"/>
          <w:bCs/>
        </w:rPr>
        <w:t xml:space="preserve"> Seeding, transplantation, visual growth inspection, stringing, harvesting, and plant growth measurement methods were the major chronological activities in the plant cultivation step, as shown in Figure </w:t>
      </w:r>
      <w:r w:rsidR="00D4557C" w:rsidRPr="00996727">
        <w:rPr>
          <w:rFonts w:eastAsia="MS Mincho" w:cstheme="minorHAnsi"/>
          <w:bCs/>
        </w:rPr>
        <w:t>4</w:t>
      </w:r>
      <w:r w:rsidRPr="00996727">
        <w:rPr>
          <w:rFonts w:eastAsia="MS Mincho" w:cstheme="minorHAnsi"/>
          <w:bCs/>
        </w:rPr>
        <w:t>. Each of these activities is discussed as follows.</w:t>
      </w:r>
      <w:r w:rsidRPr="00996727">
        <w:rPr>
          <w:rFonts w:cstheme="minorHAnsi"/>
          <w:noProof/>
        </w:rPr>
        <w:drawing>
          <wp:inline distT="0" distB="0" distL="0" distR="0" wp14:anchorId="1CFA7581" wp14:editId="4F7A9208">
            <wp:extent cx="5938520" cy="676275"/>
            <wp:effectExtent l="0" t="0" r="508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8520" cy="676275"/>
                    </a:xfrm>
                    <a:prstGeom prst="rect">
                      <a:avLst/>
                    </a:prstGeom>
                    <a:noFill/>
                    <a:ln>
                      <a:noFill/>
                    </a:ln>
                  </pic:spPr>
                </pic:pic>
              </a:graphicData>
            </a:graphic>
          </wp:inline>
        </w:drawing>
      </w:r>
    </w:p>
    <w:p w14:paraId="5D1E23A7" w14:textId="5637FBF4" w:rsidR="00905F1C" w:rsidRPr="00996727" w:rsidRDefault="00905F1C" w:rsidP="009F0744">
      <w:pPr>
        <w:spacing w:after="0" w:line="240" w:lineRule="auto"/>
        <w:jc w:val="center"/>
        <w:rPr>
          <w:rFonts w:eastAsia="MS Mincho" w:cstheme="minorHAnsi"/>
          <w:bCs/>
        </w:rPr>
      </w:pPr>
      <w:r w:rsidRPr="00996727">
        <w:rPr>
          <w:rFonts w:eastAsia="MS Mincho" w:cstheme="minorHAnsi"/>
          <w:bCs/>
        </w:rPr>
        <w:t xml:space="preserve">Figure </w:t>
      </w:r>
      <w:r w:rsidR="00D4557C" w:rsidRPr="00996727">
        <w:rPr>
          <w:rFonts w:eastAsia="MS Mincho" w:cstheme="minorHAnsi"/>
          <w:bCs/>
        </w:rPr>
        <w:t>4</w:t>
      </w:r>
      <w:r w:rsidRPr="00996727">
        <w:rPr>
          <w:rFonts w:eastAsia="MS Mincho" w:cstheme="minorHAnsi"/>
          <w:bCs/>
        </w:rPr>
        <w:t>. The activities involved in plant cultivation</w:t>
      </w:r>
    </w:p>
    <w:p w14:paraId="28224A58" w14:textId="77777777" w:rsidR="001A12C2" w:rsidRPr="00996727" w:rsidRDefault="001A12C2" w:rsidP="009F0744">
      <w:pPr>
        <w:spacing w:after="0" w:line="240" w:lineRule="auto"/>
        <w:jc w:val="both"/>
        <w:rPr>
          <w:rFonts w:cstheme="minorHAnsi"/>
          <w:b/>
          <w:bCs/>
        </w:rPr>
      </w:pPr>
    </w:p>
    <w:p w14:paraId="684A96D5" w14:textId="543FA178" w:rsidR="00905F1C" w:rsidRPr="00996727" w:rsidRDefault="00905F1C" w:rsidP="009F0744">
      <w:pPr>
        <w:spacing w:after="0" w:line="240" w:lineRule="auto"/>
        <w:jc w:val="both"/>
        <w:rPr>
          <w:rFonts w:cstheme="minorHAnsi"/>
        </w:rPr>
      </w:pPr>
      <w:r w:rsidRPr="00996727">
        <w:rPr>
          <w:rFonts w:cstheme="minorHAnsi"/>
          <w:b/>
          <w:bCs/>
        </w:rPr>
        <w:t xml:space="preserve">Procedure 1. Seeding. </w:t>
      </w:r>
      <w:r w:rsidRPr="00996727">
        <w:rPr>
          <w:rFonts w:cstheme="minorHAnsi"/>
        </w:rPr>
        <w:t>Seeds for all five plant species were planted in 4-cell plastic plant seed trays</w:t>
      </w:r>
      <w:r w:rsidR="00D4557C" w:rsidRPr="00996727">
        <w:rPr>
          <w:rFonts w:cstheme="minorHAnsi"/>
        </w:rPr>
        <w:t xml:space="preserve"> </w:t>
      </w:r>
      <w:r w:rsidRPr="00996727">
        <w:rPr>
          <w:rFonts w:cstheme="minorHAnsi"/>
        </w:rPr>
        <w:t>at Plant Science Horticulture Greenhouse, NDSU, on August 10, 2021. The conditions of the growing medium and the seedlings' growth were monitored frequently. Seeds were grown in these 4-cell plastic plant seed trays for four weeks before being transferred to four types of 3-inch garden pots.</w:t>
      </w:r>
    </w:p>
    <w:p w14:paraId="55BF8CD5" w14:textId="77777777" w:rsidR="001A12C2" w:rsidRPr="00996727" w:rsidRDefault="001A12C2" w:rsidP="009F0744">
      <w:pPr>
        <w:keepNext/>
        <w:spacing w:after="0" w:line="240" w:lineRule="auto"/>
        <w:jc w:val="both"/>
        <w:rPr>
          <w:rFonts w:cstheme="minorHAnsi"/>
          <w:b/>
          <w:bCs/>
        </w:rPr>
      </w:pPr>
    </w:p>
    <w:p w14:paraId="5F4B27FB" w14:textId="468ACBF7" w:rsidR="00905F1C" w:rsidRPr="00996727" w:rsidRDefault="00905F1C" w:rsidP="009F0744">
      <w:pPr>
        <w:keepNext/>
        <w:spacing w:after="0" w:line="240" w:lineRule="auto"/>
        <w:jc w:val="both"/>
        <w:rPr>
          <w:rFonts w:cstheme="minorHAnsi"/>
        </w:rPr>
      </w:pPr>
      <w:r w:rsidRPr="00996727">
        <w:rPr>
          <w:rFonts w:cstheme="minorHAnsi"/>
          <w:b/>
          <w:bCs/>
        </w:rPr>
        <w:t>Procedure 2. Transplantation.</w:t>
      </w:r>
      <w:r w:rsidRPr="00996727">
        <w:rPr>
          <w:rFonts w:cstheme="minorHAnsi"/>
        </w:rPr>
        <w:t xml:space="preserve"> After approximately four weeks of seedling growth in plastic trays, the plants were transferred to four plantation pots on two different dates: Black Seeded Simpson Lettuce on August 27, 2021, and Tacitus Lettuce, Zinnia, French Marigold, and Sheyenne Tomato on September 06, 2021.</w:t>
      </w:r>
      <w:r w:rsidR="00D4557C" w:rsidRPr="00996727">
        <w:rPr>
          <w:rFonts w:cstheme="minorHAnsi"/>
        </w:rPr>
        <w:t xml:space="preserve"> </w:t>
      </w:r>
      <w:r w:rsidRPr="00996727">
        <w:rPr>
          <w:rFonts w:cstheme="minorHAnsi"/>
        </w:rPr>
        <w:t xml:space="preserve">A total of sixteen seedlings are grown in the four-pot types for a plant species. However, two seedlings of the Black Seeded Simpson Lettuce plant were transplanted in every formulation of </w:t>
      </w:r>
      <w:r w:rsidR="00D4557C" w:rsidRPr="00996727">
        <w:rPr>
          <w:rFonts w:cstheme="minorHAnsi"/>
        </w:rPr>
        <w:t xml:space="preserve">the </w:t>
      </w:r>
      <w:r w:rsidRPr="00996727">
        <w:rPr>
          <w:rFonts w:cstheme="minorHAnsi"/>
        </w:rPr>
        <w:t xml:space="preserve">pot, for a total of eight seedlings. Thus, a total number of 72 plants were grown in the NDSU Plant Science Horticulture Greenhouse. </w:t>
      </w:r>
    </w:p>
    <w:p w14:paraId="55096877" w14:textId="77777777" w:rsidR="001A12C2" w:rsidRPr="00996727" w:rsidRDefault="001A12C2" w:rsidP="009F0744">
      <w:pPr>
        <w:spacing w:after="0" w:line="240" w:lineRule="auto"/>
        <w:jc w:val="both"/>
        <w:rPr>
          <w:rFonts w:cstheme="minorHAnsi"/>
          <w:b/>
          <w:bCs/>
        </w:rPr>
      </w:pPr>
    </w:p>
    <w:p w14:paraId="73945211" w14:textId="50D5DCAE" w:rsidR="001A12C2" w:rsidRPr="00996727" w:rsidRDefault="00905F1C" w:rsidP="009F0744">
      <w:pPr>
        <w:spacing w:after="0" w:line="240" w:lineRule="auto"/>
        <w:jc w:val="both"/>
        <w:rPr>
          <w:rFonts w:cstheme="minorHAnsi"/>
        </w:rPr>
      </w:pPr>
      <w:r w:rsidRPr="00996727">
        <w:rPr>
          <w:rFonts w:cstheme="minorHAnsi"/>
          <w:b/>
          <w:bCs/>
        </w:rPr>
        <w:t>Procedure 3. Growth</w:t>
      </w:r>
      <w:r w:rsidR="00996727">
        <w:rPr>
          <w:rFonts w:cstheme="minorHAnsi"/>
          <w:b/>
          <w:bCs/>
        </w:rPr>
        <w:t xml:space="preserve"> </w:t>
      </w:r>
      <w:r w:rsidRPr="00996727">
        <w:rPr>
          <w:rFonts w:cstheme="minorHAnsi"/>
          <w:b/>
          <w:bCs/>
        </w:rPr>
        <w:t>Inspection.</w:t>
      </w:r>
      <w:r w:rsidRPr="00996727">
        <w:rPr>
          <w:rFonts w:cstheme="minorHAnsi"/>
        </w:rPr>
        <w:t xml:space="preserve"> The plant growth, the growing medium, and water requirements were inspected regularly. Plants were periodically watered with the fertilizer mixed in the water. After three weeks of the transplantation, the following observations were made on the growth of the plants</w:t>
      </w:r>
      <w:r w:rsidR="001A12C2" w:rsidRPr="00996727">
        <w:rPr>
          <w:rFonts w:cstheme="minorHAnsi"/>
        </w:rPr>
        <w:t>: a</w:t>
      </w:r>
      <w:r w:rsidRPr="00996727">
        <w:rPr>
          <w:rFonts w:cstheme="minorHAnsi"/>
        </w:rPr>
        <w:t>ll five plant species grew well</w:t>
      </w:r>
      <w:r w:rsidR="001A12C2" w:rsidRPr="00996727">
        <w:rPr>
          <w:rFonts w:cstheme="minorHAnsi"/>
        </w:rPr>
        <w:t>, n</w:t>
      </w:r>
      <w:r w:rsidRPr="00996727">
        <w:rPr>
          <w:rFonts w:cstheme="minorHAnsi"/>
        </w:rPr>
        <w:t>o visual difference in plant growth in different pots for each plant species</w:t>
      </w:r>
      <w:r w:rsidR="001A12C2" w:rsidRPr="00996727">
        <w:rPr>
          <w:rFonts w:cstheme="minorHAnsi"/>
        </w:rPr>
        <w:t>, and n</w:t>
      </w:r>
      <w:r w:rsidRPr="00996727">
        <w:rPr>
          <w:rFonts w:cstheme="minorHAnsi"/>
        </w:rPr>
        <w:t>o sign of plant disease</w:t>
      </w:r>
      <w:r w:rsidR="00AA6658" w:rsidRPr="00996727">
        <w:rPr>
          <w:rFonts w:cstheme="minorHAnsi"/>
        </w:rPr>
        <w:t xml:space="preserve">. </w:t>
      </w:r>
      <w:r w:rsidRPr="00996727">
        <w:rPr>
          <w:rFonts w:cstheme="minorHAnsi"/>
        </w:rPr>
        <w:t xml:space="preserve">Three weeks after the transplantation, the appearance of the plants is captured and given in the following figures. The visual growth investigation for the four other plant species is shown in Figure </w:t>
      </w:r>
      <w:r w:rsidR="00D4557C" w:rsidRPr="00996727">
        <w:rPr>
          <w:rFonts w:cstheme="minorHAnsi"/>
        </w:rPr>
        <w:t>5</w:t>
      </w:r>
      <w:r w:rsidRPr="00996727">
        <w:rPr>
          <w:rFonts w:cstheme="minorHAnsi"/>
        </w:rPr>
        <w:t>.</w:t>
      </w:r>
    </w:p>
    <w:p w14:paraId="4C633BFC" w14:textId="77777777" w:rsidR="001A12C2" w:rsidRPr="00996727" w:rsidRDefault="001A12C2" w:rsidP="009F0744">
      <w:pPr>
        <w:spacing w:after="0" w:line="240" w:lineRule="auto"/>
        <w:jc w:val="center"/>
        <w:rPr>
          <w:rFonts w:cstheme="minorHAnsi"/>
        </w:rPr>
      </w:pPr>
      <w:r w:rsidRPr="00996727">
        <w:rPr>
          <w:rFonts w:cstheme="minorHAnsi"/>
          <w:noProof/>
        </w:rPr>
        <w:lastRenderedPageBreak/>
        <w:drawing>
          <wp:inline distT="0" distB="0" distL="0" distR="0" wp14:anchorId="43530BF8" wp14:editId="63FF0F98">
            <wp:extent cx="4109720" cy="3030220"/>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cstate="print">
                      <a:extLst>
                        <a:ext uri="{28A0092B-C50C-407E-A947-70E740481C1C}">
                          <a14:useLocalDpi xmlns:a14="http://schemas.microsoft.com/office/drawing/2010/main" val="0"/>
                        </a:ext>
                      </a:extLst>
                    </a:blip>
                    <a:srcRect b="3453"/>
                    <a:stretch>
                      <a:fillRect/>
                    </a:stretch>
                  </pic:blipFill>
                  <pic:spPr bwMode="auto">
                    <a:xfrm>
                      <a:off x="0" y="0"/>
                      <a:ext cx="4109720" cy="3030220"/>
                    </a:xfrm>
                    <a:prstGeom prst="rect">
                      <a:avLst/>
                    </a:prstGeom>
                    <a:noFill/>
                    <a:ln>
                      <a:noFill/>
                    </a:ln>
                  </pic:spPr>
                </pic:pic>
              </a:graphicData>
            </a:graphic>
          </wp:inline>
        </w:drawing>
      </w:r>
    </w:p>
    <w:p w14:paraId="16011A1A" w14:textId="77777777" w:rsidR="001A12C2" w:rsidRPr="00996727" w:rsidRDefault="001A12C2" w:rsidP="009F0744">
      <w:pPr>
        <w:spacing w:after="0" w:line="240" w:lineRule="auto"/>
        <w:jc w:val="center"/>
        <w:rPr>
          <w:rFonts w:cstheme="minorHAnsi"/>
        </w:rPr>
      </w:pPr>
      <w:r w:rsidRPr="00996727">
        <w:rPr>
          <w:rFonts w:cstheme="minorHAnsi"/>
          <w:bCs/>
        </w:rPr>
        <w:t>Figure 5. Photograph of visual growth inspection of Tacitus Lettuce, Zinnia, French Marigold, and Sheyenne Tomato</w:t>
      </w:r>
    </w:p>
    <w:p w14:paraId="2834EADA" w14:textId="77777777" w:rsidR="001A12C2" w:rsidRPr="00996727" w:rsidRDefault="001A12C2" w:rsidP="009F0744">
      <w:pPr>
        <w:spacing w:after="0" w:line="240" w:lineRule="auto"/>
        <w:jc w:val="both"/>
        <w:rPr>
          <w:rFonts w:cstheme="minorHAnsi"/>
        </w:rPr>
      </w:pPr>
    </w:p>
    <w:p w14:paraId="2B370FE0" w14:textId="55423DCB" w:rsidR="00905F1C" w:rsidRPr="00996727" w:rsidRDefault="002612CB" w:rsidP="009F0744">
      <w:pPr>
        <w:spacing w:after="0" w:line="240" w:lineRule="auto"/>
        <w:jc w:val="both"/>
        <w:rPr>
          <w:rFonts w:cstheme="minorHAnsi"/>
          <w:b/>
          <w:bCs/>
        </w:rPr>
      </w:pPr>
      <w:r w:rsidRPr="00996727">
        <w:rPr>
          <w:rFonts w:cstheme="minorHAnsi"/>
          <w:b/>
          <w:bCs/>
        </w:rPr>
        <w:t>Procedure 4. Stringing.</w:t>
      </w:r>
      <w:r w:rsidRPr="00996727">
        <w:rPr>
          <w:rFonts w:cstheme="minorHAnsi"/>
        </w:rPr>
        <w:t xml:space="preserve"> After four weeks of the transplantation, three plant species (Tomato, Zinnia, and Black Seeded Simpson Lettuce) grew too high to be supported by 3</w:t>
      </w:r>
      <w:r w:rsidR="009F0744">
        <w:rPr>
          <w:rFonts w:cstheme="minorHAnsi"/>
        </w:rPr>
        <w:t>"</w:t>
      </w:r>
      <w:r w:rsidRPr="00996727">
        <w:rPr>
          <w:rFonts w:cstheme="minorHAnsi"/>
        </w:rPr>
        <w:t xml:space="preserve"> pots. To provide structural support for climbing and carrying the weight of the stalks and stems, the plants of  Black Seeded Simpson Lettuce, Zinnia, and Sheyenne Tomatoes were supported with a string (strining) on September 23, 2021. The stringing was not necessary for the other two plant species.</w:t>
      </w:r>
    </w:p>
    <w:p w14:paraId="0067BC1A" w14:textId="77777777" w:rsidR="00AA6658" w:rsidRPr="00996727" w:rsidRDefault="00AA6658" w:rsidP="009F0744">
      <w:pPr>
        <w:spacing w:after="0" w:line="240" w:lineRule="auto"/>
        <w:jc w:val="both"/>
        <w:rPr>
          <w:rFonts w:cstheme="minorHAnsi"/>
          <w:b/>
          <w:bCs/>
        </w:rPr>
      </w:pPr>
    </w:p>
    <w:p w14:paraId="417E8969" w14:textId="54EA25B1" w:rsidR="00905F1C" w:rsidRPr="00996727" w:rsidRDefault="00905F1C" w:rsidP="009F0744">
      <w:pPr>
        <w:spacing w:after="0" w:line="240" w:lineRule="auto"/>
        <w:jc w:val="both"/>
        <w:rPr>
          <w:rFonts w:cstheme="minorHAnsi"/>
          <w:color w:val="FF0000"/>
        </w:rPr>
      </w:pPr>
      <w:r w:rsidRPr="00996727">
        <w:rPr>
          <w:rFonts w:cstheme="minorHAnsi"/>
          <w:b/>
          <w:bCs/>
        </w:rPr>
        <w:t xml:space="preserve">Procedure 5. </w:t>
      </w:r>
      <w:bookmarkStart w:id="2" w:name="_Hlk75771696"/>
      <w:r w:rsidRPr="00996727">
        <w:rPr>
          <w:rFonts w:cstheme="minorHAnsi"/>
          <w:b/>
          <w:bCs/>
        </w:rPr>
        <w:t xml:space="preserve">Harvesting and Plant Growth </w:t>
      </w:r>
      <w:r w:rsidR="000F62EA">
        <w:rPr>
          <w:rFonts w:cstheme="minorHAnsi"/>
          <w:b/>
          <w:bCs/>
        </w:rPr>
        <w:t>Measurement</w:t>
      </w:r>
      <w:r w:rsidRPr="00996727">
        <w:rPr>
          <w:rFonts w:cstheme="minorHAnsi"/>
          <w:b/>
          <w:bCs/>
        </w:rPr>
        <w:t>.</w:t>
      </w:r>
      <w:r w:rsidRPr="00996727">
        <w:rPr>
          <w:rFonts w:cstheme="minorHAnsi"/>
        </w:rPr>
        <w:t xml:space="preserve"> After approximately a 7-week of Black Seeded Simpson Lettuce transplantation and a 6-week of other plant species transplantation, the plant health measuring parameters and root circling were analy</w:t>
      </w:r>
      <w:r w:rsidR="00AA6658" w:rsidRPr="00996727">
        <w:rPr>
          <w:rFonts w:cstheme="minorHAnsi"/>
        </w:rPr>
        <w:t>z</w:t>
      </w:r>
      <w:r w:rsidRPr="00996727">
        <w:rPr>
          <w:rFonts w:cstheme="minorHAnsi"/>
        </w:rPr>
        <w:t xml:space="preserve">ed. In the plant growth assessment, both fresh and dry conditions were considered. The measurement parameters include plant height, plant width, shoot fresh weight, and shoot dry weight, fresh root weight, root dry weight. Plant growth was evaluated by employing destructive analysis, which involves removing the pots, separating root and shoot, and washing away the soil from roots. Then, the plant part that grows above the ground </w:t>
      </w:r>
      <w:r w:rsidR="00AA6658" w:rsidRPr="00996727">
        <w:rPr>
          <w:rFonts w:cstheme="minorHAnsi"/>
        </w:rPr>
        <w:t>i</w:t>
      </w:r>
      <w:r w:rsidRPr="00996727">
        <w:rPr>
          <w:rFonts w:cstheme="minorHAnsi"/>
        </w:rPr>
        <w:t>s separated from the roots. Also, the height and width of the fresh mass were recorded immediately</w:t>
      </w:r>
      <w:r w:rsidR="003F339D" w:rsidRPr="00996727">
        <w:rPr>
          <w:rFonts w:cstheme="minorHAnsi"/>
        </w:rPr>
        <w:t xml:space="preserve"> (</w:t>
      </w:r>
      <w:r w:rsidR="000F62EA">
        <w:rPr>
          <w:rFonts w:cstheme="minorHAnsi"/>
        </w:rPr>
        <w:t>F</w:t>
      </w:r>
      <w:r w:rsidR="003F339D" w:rsidRPr="00996727">
        <w:rPr>
          <w:rFonts w:cstheme="minorHAnsi"/>
        </w:rPr>
        <w:t>igure 6)</w:t>
      </w:r>
      <w:r w:rsidRPr="00996727">
        <w:rPr>
          <w:rFonts w:cstheme="minorHAnsi"/>
        </w:rPr>
        <w:t xml:space="preserve">. </w:t>
      </w:r>
    </w:p>
    <w:p w14:paraId="181CCD5C" w14:textId="77777777" w:rsidR="003F339D" w:rsidRPr="00996727" w:rsidRDefault="003F339D" w:rsidP="009F0744">
      <w:pPr>
        <w:keepNext/>
        <w:spacing w:after="0" w:line="240" w:lineRule="auto"/>
        <w:jc w:val="center"/>
        <w:rPr>
          <w:rFonts w:cstheme="minorHAnsi"/>
        </w:rPr>
      </w:pPr>
      <w:r w:rsidRPr="00996727">
        <w:rPr>
          <w:rFonts w:cstheme="minorHAnsi"/>
          <w:noProof/>
        </w:rPr>
        <w:drawing>
          <wp:inline distT="0" distB="0" distL="0" distR="0" wp14:anchorId="0942F22D" wp14:editId="2D339927">
            <wp:extent cx="3886885" cy="20085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3">
                      <a:extLst>
                        <a:ext uri="{28A0092B-C50C-407E-A947-70E740481C1C}">
                          <a14:useLocalDpi xmlns:a14="http://schemas.microsoft.com/office/drawing/2010/main" val="0"/>
                        </a:ext>
                      </a:extLst>
                    </a:blip>
                    <a:srcRect t="6746"/>
                    <a:stretch/>
                  </pic:blipFill>
                  <pic:spPr bwMode="auto">
                    <a:xfrm>
                      <a:off x="0" y="0"/>
                      <a:ext cx="3901918" cy="2016273"/>
                    </a:xfrm>
                    <a:prstGeom prst="rect">
                      <a:avLst/>
                    </a:prstGeom>
                    <a:noFill/>
                    <a:ln>
                      <a:noFill/>
                    </a:ln>
                    <a:extLst>
                      <a:ext uri="{53640926-AAD7-44D8-BBD7-CCE9431645EC}">
                        <a14:shadowObscured xmlns:a14="http://schemas.microsoft.com/office/drawing/2010/main"/>
                      </a:ext>
                    </a:extLst>
                  </pic:spPr>
                </pic:pic>
              </a:graphicData>
            </a:graphic>
          </wp:inline>
        </w:drawing>
      </w:r>
    </w:p>
    <w:p w14:paraId="33D8D450" w14:textId="5383D3E6" w:rsidR="00905F1C" w:rsidRPr="00996727" w:rsidRDefault="003F339D" w:rsidP="009F0744">
      <w:pPr>
        <w:pStyle w:val="Caption"/>
        <w:spacing w:after="0"/>
        <w:jc w:val="center"/>
        <w:rPr>
          <w:rFonts w:cstheme="minorHAnsi"/>
          <w:bCs/>
          <w:i w:val="0"/>
          <w:iCs w:val="0"/>
          <w:color w:val="auto"/>
          <w:sz w:val="22"/>
          <w:szCs w:val="22"/>
        </w:rPr>
      </w:pPr>
      <w:r w:rsidRPr="00996727">
        <w:rPr>
          <w:rFonts w:cstheme="minorHAnsi"/>
          <w:bCs/>
          <w:i w:val="0"/>
          <w:iCs w:val="0"/>
          <w:color w:val="auto"/>
          <w:sz w:val="22"/>
          <w:szCs w:val="22"/>
        </w:rPr>
        <w:t>Figure 6. Measurement parameters for plant growth assessment (Tacitus Lettuce, 10/13/2021)</w:t>
      </w:r>
      <w:bookmarkEnd w:id="2"/>
      <w:r w:rsidR="00905F1C" w:rsidRPr="00996727">
        <w:rPr>
          <w:rStyle w:val="CommentReference"/>
          <w:sz w:val="22"/>
          <w:szCs w:val="22"/>
        </w:rPr>
        <w:t/>
      </w:r>
    </w:p>
    <w:p w14:paraId="35D7FA49" w14:textId="2F872BCF" w:rsidR="003078D1" w:rsidRDefault="003078D1" w:rsidP="009F0744">
      <w:pPr>
        <w:spacing w:after="0" w:line="240" w:lineRule="auto"/>
        <w:jc w:val="both"/>
        <w:rPr>
          <w:rFonts w:cstheme="minorHAnsi"/>
          <w:color w:val="202124"/>
          <w:shd w:val="clear" w:color="auto" w:fill="FFFFFF"/>
        </w:rPr>
      </w:pPr>
      <w:r w:rsidRPr="00996727">
        <w:rPr>
          <w:rFonts w:cstheme="minorHAnsi"/>
          <w:b/>
          <w:bCs/>
        </w:rPr>
        <w:lastRenderedPageBreak/>
        <w:t>Procedure 6. Observation of Root Circling</w:t>
      </w:r>
      <w:r w:rsidRPr="00996727">
        <w:rPr>
          <w:rFonts w:cstheme="minorHAnsi"/>
          <w:b/>
          <w:bCs/>
        </w:rPr>
        <w:t xml:space="preserve">. </w:t>
      </w:r>
      <w:r w:rsidRPr="00996727">
        <w:rPr>
          <w:rFonts w:cstheme="minorHAnsi"/>
        </w:rPr>
        <w:t xml:space="preserve">It is important to note that </w:t>
      </w:r>
      <w:r w:rsidRPr="00996727">
        <w:rPr>
          <w:rFonts w:cstheme="minorHAnsi"/>
        </w:rPr>
        <w:t>each plant was exposed to a limited amount of growing medium because a constant pot size was used</w:t>
      </w:r>
      <w:r w:rsidRPr="00996727">
        <w:rPr>
          <w:rFonts w:cstheme="minorHAnsi"/>
        </w:rPr>
        <w:t>. Because of this</w:t>
      </w:r>
      <w:r w:rsidRPr="00996727">
        <w:rPr>
          <w:rFonts w:cstheme="minorHAnsi"/>
        </w:rPr>
        <w:t>,</w:t>
      </w:r>
      <w:r w:rsidRPr="00996727">
        <w:rPr>
          <w:rFonts w:cstheme="minorHAnsi"/>
        </w:rPr>
        <w:t xml:space="preserve"> as a plant grows and the root ball tries to expand beyond the pot size</w:t>
      </w:r>
      <w:r w:rsidRPr="00996727">
        <w:rPr>
          <w:rFonts w:cstheme="minorHAnsi"/>
        </w:rPr>
        <w:t>,</w:t>
      </w:r>
      <w:r w:rsidRPr="00996727">
        <w:rPr>
          <w:rFonts w:cstheme="minorHAnsi"/>
        </w:rPr>
        <w:t xml:space="preserve"> root hairs of the plant circle around the inner surface of the pot, and this condition of the root hairs is called root circling. Root circling often creates a </w:t>
      </w:r>
      <w:r w:rsidRPr="00996727">
        <w:rPr>
          <w:rFonts w:cstheme="minorHAnsi"/>
          <w:color w:val="202124"/>
          <w:shd w:val="clear" w:color="auto" w:fill="FFFFFF"/>
        </w:rPr>
        <w:t>root girdling problem, where one or more roots completely or partially encircle the stem and may cause bark and wood compression. These experiments were conducted to observe the root circling condition for all plant species and pot types.</w:t>
      </w:r>
    </w:p>
    <w:p w14:paraId="64BB752F" w14:textId="77777777" w:rsidR="000F62EA" w:rsidRPr="00996727" w:rsidRDefault="000F62EA" w:rsidP="009F0744">
      <w:pPr>
        <w:spacing w:after="0" w:line="240" w:lineRule="auto"/>
        <w:jc w:val="both"/>
        <w:rPr>
          <w:rFonts w:cstheme="minorHAnsi"/>
          <w:color w:val="202124"/>
          <w:shd w:val="clear" w:color="auto" w:fill="FFFFFF"/>
        </w:rPr>
      </w:pPr>
    </w:p>
    <w:p w14:paraId="0365068F" w14:textId="77655625" w:rsidR="003F339D" w:rsidRPr="009F0744" w:rsidRDefault="003F339D" w:rsidP="009F0744">
      <w:pPr>
        <w:pStyle w:val="Heading2"/>
        <w:spacing w:before="0" w:line="240" w:lineRule="auto"/>
        <w:rPr>
          <w:b/>
          <w:sz w:val="24"/>
          <w:szCs w:val="22"/>
        </w:rPr>
      </w:pPr>
      <w:r w:rsidRPr="009F0744">
        <w:rPr>
          <w:b/>
          <w:sz w:val="24"/>
          <w:szCs w:val="22"/>
        </w:rPr>
        <w:t>2.3 Degradation Analysis</w:t>
      </w:r>
    </w:p>
    <w:p w14:paraId="72E85AB0" w14:textId="068B7221" w:rsidR="003F339D" w:rsidRDefault="003F339D" w:rsidP="009F0744">
      <w:pPr>
        <w:spacing w:after="0" w:line="240" w:lineRule="auto"/>
        <w:jc w:val="both"/>
        <w:rPr>
          <w:rFonts w:cstheme="minorHAnsi"/>
        </w:rPr>
      </w:pPr>
      <w:r w:rsidRPr="00996727">
        <w:rPr>
          <w:rFonts w:cstheme="minorHAnsi"/>
        </w:rPr>
        <w:t xml:space="preserve">Monitoring the weight reduction of bioplastics is one of the most practical methods of evaluating their biodegradability. By measuring the dry weight of a pot before plantation and after harvesting, each pot's degradation or weight loss percentage (%) can be determined by using Eq. (1). </w:t>
      </w:r>
    </w:p>
    <w:p w14:paraId="2EA61E9A" w14:textId="77777777" w:rsidR="000F62EA" w:rsidRPr="00996727" w:rsidRDefault="000F62EA" w:rsidP="009F0744">
      <w:pPr>
        <w:spacing w:after="0" w:line="240" w:lineRule="auto"/>
        <w:jc w:val="both"/>
        <w:rPr>
          <w:rFonts w:cstheme="minorHAnsi"/>
          <w:lang w:val="en-US"/>
        </w:rPr>
      </w:pPr>
    </w:p>
    <w:p w14:paraId="56EBF930" w14:textId="35F0BFC8" w:rsidR="003F339D" w:rsidRPr="000F62EA" w:rsidRDefault="003F339D" w:rsidP="009F0744">
      <w:pPr>
        <w:spacing w:after="0" w:line="240" w:lineRule="auto"/>
        <w:jc w:val="both"/>
        <w:rPr>
          <w:rFonts w:eastAsiaTheme="minorEastAsia" w:cstheme="minorHAnsi"/>
        </w:rPr>
      </w:pPr>
      <m:oMathPara>
        <m:oMathParaPr>
          <m:jc m:val="right"/>
        </m:oMathParaPr>
        <m:oMath>
          <m:r>
            <w:rPr>
              <w:rFonts w:ascii="Cambria Math" w:hAnsi="Cambria Math" w:cstheme="minorHAnsi"/>
            </w:rPr>
            <m:t xml:space="preserve">Weight loss </m:t>
          </m:r>
          <m:d>
            <m:dPr>
              <m:ctrlPr>
                <w:rPr>
                  <w:rFonts w:ascii="Cambria Math" w:hAnsi="Cambria Math" w:cstheme="minorHAnsi"/>
                  <w:i/>
                </w:rPr>
              </m:ctrlPr>
            </m:dPr>
            <m:e>
              <m:r>
                <w:rPr>
                  <w:rFonts w:ascii="Cambria Math" w:hAnsi="Cambria Math" w:cstheme="minorHAnsi"/>
                </w:rPr>
                <m:t>%</m:t>
              </m:r>
            </m:e>
          </m:d>
          <m:r>
            <w:rPr>
              <w:rFonts w:ascii="Cambria Math" w:hAnsi="Cambria Math" w:cstheme="minorHAnsi"/>
            </w:rPr>
            <m:t xml:space="preserve">= </m:t>
          </m:r>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W</m:t>
                  </m:r>
                </m:e>
                <m:sub>
                  <m:r>
                    <w:rPr>
                      <w:rFonts w:ascii="Cambria Math" w:hAnsi="Cambria Math" w:cstheme="minorHAnsi"/>
                    </w:rPr>
                    <m:t>i</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W</m:t>
                  </m:r>
                </m:e>
                <m:sub>
                  <m:r>
                    <w:rPr>
                      <w:rFonts w:ascii="Cambria Math" w:hAnsi="Cambria Math" w:cstheme="minorHAnsi"/>
                    </w:rPr>
                    <m:t>f</m:t>
                  </m:r>
                </m:sub>
              </m:sSub>
            </m:num>
            <m:den>
              <m:sSub>
                <m:sSubPr>
                  <m:ctrlPr>
                    <w:rPr>
                      <w:rFonts w:ascii="Cambria Math" w:hAnsi="Cambria Math" w:cstheme="minorHAnsi"/>
                      <w:i/>
                    </w:rPr>
                  </m:ctrlPr>
                </m:sSubPr>
                <m:e>
                  <m:r>
                    <w:rPr>
                      <w:rFonts w:ascii="Cambria Math" w:hAnsi="Cambria Math" w:cstheme="minorHAnsi"/>
                    </w:rPr>
                    <m:t>W</m:t>
                  </m:r>
                </m:e>
                <m:sub>
                  <m:r>
                    <w:rPr>
                      <w:rFonts w:ascii="Cambria Math" w:hAnsi="Cambria Math" w:cstheme="minorHAnsi"/>
                    </w:rPr>
                    <m:t>i</m:t>
                  </m:r>
                </m:sub>
              </m:sSub>
            </m:den>
          </m:f>
          <m:r>
            <w:rPr>
              <w:rFonts w:ascii="Cambria Math" w:hAnsi="Cambria Math" w:cstheme="minorHAnsi"/>
            </w:rPr>
            <m:t>×100                                                (1)</m:t>
          </m:r>
        </m:oMath>
      </m:oMathPara>
    </w:p>
    <w:p w14:paraId="6FFA1A38" w14:textId="77777777" w:rsidR="000F62EA" w:rsidRPr="00996727" w:rsidRDefault="000F62EA" w:rsidP="009F0744">
      <w:pPr>
        <w:spacing w:after="0" w:line="240" w:lineRule="auto"/>
        <w:jc w:val="both"/>
        <w:rPr>
          <w:rFonts w:cstheme="minorHAnsi"/>
        </w:rPr>
      </w:pPr>
    </w:p>
    <w:p w14:paraId="1369C08A" w14:textId="7CB145E2" w:rsidR="000F62EA" w:rsidRDefault="003F339D" w:rsidP="009F0744">
      <w:pPr>
        <w:spacing w:after="0" w:line="240" w:lineRule="auto"/>
        <w:jc w:val="both"/>
        <w:rPr>
          <w:rFonts w:cstheme="minorHAnsi"/>
        </w:rPr>
      </w:pPr>
      <w:r w:rsidRPr="00996727">
        <w:rPr>
          <w:rFonts w:cstheme="minorHAnsi"/>
        </w:rPr>
        <w:t xml:space="preserve">where, </w:t>
      </w:r>
      <m:oMath>
        <m:sSub>
          <m:sSubPr>
            <m:ctrlPr>
              <w:rPr>
                <w:rFonts w:ascii="Cambria Math" w:hAnsi="Cambria Math" w:cstheme="minorHAnsi"/>
                <w:i/>
              </w:rPr>
            </m:ctrlPr>
          </m:sSubPr>
          <m:e>
            <m:r>
              <w:rPr>
                <w:rFonts w:ascii="Cambria Math" w:hAnsi="Cambria Math" w:cstheme="minorHAnsi"/>
              </w:rPr>
              <m:t>W</m:t>
            </m:r>
          </m:e>
          <m:sub>
            <m:r>
              <w:rPr>
                <w:rFonts w:ascii="Cambria Math" w:hAnsi="Cambria Math" w:cstheme="minorHAnsi"/>
                <w:vertAlign w:val="subscript"/>
              </w:rPr>
              <m:t>i</m:t>
            </m:r>
          </m:sub>
        </m:sSub>
      </m:oMath>
      <w:r w:rsidRPr="00996727">
        <w:rPr>
          <w:rFonts w:cstheme="minorHAnsi"/>
        </w:rPr>
        <w:t xml:space="preserve"> is the dry weight of a pot before starting the experiment and </w:t>
      </w:r>
      <m:oMath>
        <m:sSub>
          <m:sSubPr>
            <m:ctrlPr>
              <w:rPr>
                <w:rFonts w:ascii="Cambria Math" w:hAnsi="Cambria Math" w:cstheme="minorHAnsi"/>
                <w:i/>
              </w:rPr>
            </m:ctrlPr>
          </m:sSubPr>
          <m:e>
            <m:r>
              <w:rPr>
                <w:rFonts w:ascii="Cambria Math" w:hAnsi="Cambria Math" w:cstheme="minorHAnsi"/>
              </w:rPr>
              <m:t>W</m:t>
            </m:r>
          </m:e>
          <m:sub>
            <m:r>
              <w:rPr>
                <w:rFonts w:ascii="Cambria Math" w:hAnsi="Cambria Math" w:cstheme="minorHAnsi"/>
                <w:vertAlign w:val="subscript"/>
              </w:rPr>
              <m:t>f</m:t>
            </m:r>
          </m:sub>
        </m:sSub>
      </m:oMath>
      <w:r w:rsidRPr="00996727">
        <w:rPr>
          <w:rFonts w:cstheme="minorHAnsi"/>
        </w:rPr>
        <w:t xml:space="preserve"> is the dry weight of the same pot after harvesting, washing</w:t>
      </w:r>
      <w:r w:rsidR="000F62EA">
        <w:rPr>
          <w:rFonts w:cstheme="minorHAnsi"/>
        </w:rPr>
        <w:t>,</w:t>
      </w:r>
      <w:r w:rsidRPr="00996727">
        <w:rPr>
          <w:rFonts w:cstheme="minorHAnsi"/>
        </w:rPr>
        <w:t xml:space="preserve"> and drying the pot. The degradation assessment of the novel bioplastic pots is one of the objectives of this project. Formulation 1, Formulation 2, and SelfEco pots are biodegradable, but plastic pots are not biodegradable. For this reason, plastic pots are not taken into consideration for degradation assessment.</w:t>
      </w:r>
    </w:p>
    <w:p w14:paraId="70D596E1" w14:textId="68CCC9E2" w:rsidR="003F339D" w:rsidRPr="00996727" w:rsidRDefault="003F339D" w:rsidP="009F0744">
      <w:pPr>
        <w:spacing w:after="0" w:line="240" w:lineRule="auto"/>
        <w:jc w:val="both"/>
        <w:rPr>
          <w:rFonts w:cstheme="minorHAnsi"/>
        </w:rPr>
      </w:pPr>
      <w:r w:rsidRPr="00996727">
        <w:rPr>
          <w:rFonts w:cstheme="minorHAnsi"/>
        </w:rPr>
        <w:t xml:space="preserve"> </w:t>
      </w:r>
    </w:p>
    <w:p w14:paraId="2055E1B9" w14:textId="0B4EF22B" w:rsidR="00CB462F" w:rsidRPr="009F0744" w:rsidRDefault="00D4557C" w:rsidP="009F0744">
      <w:pPr>
        <w:pStyle w:val="Heading2"/>
        <w:spacing w:before="0" w:line="240" w:lineRule="auto"/>
        <w:rPr>
          <w:b/>
          <w:sz w:val="24"/>
          <w:szCs w:val="22"/>
        </w:rPr>
      </w:pPr>
      <w:r w:rsidRPr="009F0744">
        <w:rPr>
          <w:b/>
          <w:sz w:val="24"/>
          <w:szCs w:val="22"/>
        </w:rPr>
        <w:t xml:space="preserve">3. </w:t>
      </w:r>
      <w:r w:rsidR="00CB462F" w:rsidRPr="009F0744">
        <w:rPr>
          <w:b/>
          <w:sz w:val="24"/>
          <w:szCs w:val="22"/>
        </w:rPr>
        <w:t>Results and Discussion</w:t>
      </w:r>
    </w:p>
    <w:p w14:paraId="4343E1EC" w14:textId="7BD8C87C" w:rsidR="000F62EA" w:rsidRDefault="000F62EA" w:rsidP="009F0744">
      <w:pPr>
        <w:spacing w:after="0" w:line="240" w:lineRule="auto"/>
        <w:jc w:val="both"/>
        <w:rPr>
          <w:rFonts w:cstheme="minorHAnsi"/>
        </w:rPr>
      </w:pPr>
      <w:r>
        <w:rPr>
          <w:rFonts w:cstheme="minorHAnsi"/>
          <w:b/>
          <w:bCs/>
        </w:rPr>
        <w:t>Statistical Analysis.</w:t>
      </w:r>
      <w:r>
        <w:rPr>
          <w:rFonts w:cstheme="minorHAnsi"/>
        </w:rPr>
        <w:t xml:space="preserve"> O</w:t>
      </w:r>
      <w:r w:rsidRPr="00996727">
        <w:rPr>
          <w:rFonts w:cstheme="minorHAnsi"/>
        </w:rPr>
        <w:t xml:space="preserve">ne-way </w:t>
      </w:r>
      <w:r>
        <w:rPr>
          <w:rFonts w:cstheme="minorHAnsi"/>
        </w:rPr>
        <w:t>statistical analyses using Analysis of Variance (</w:t>
      </w:r>
      <w:r w:rsidRPr="00996727">
        <w:rPr>
          <w:rFonts w:cstheme="minorHAnsi"/>
        </w:rPr>
        <w:t>ANOVA</w:t>
      </w:r>
      <w:r>
        <w:rPr>
          <w:rFonts w:cstheme="minorHAnsi"/>
        </w:rPr>
        <w:t xml:space="preserve">) were performed for each plant growth measurement parameter to find if any pot type is responsible for significantly different plant growth. The pot type was considered a factor (categorical variable) in the analysis. The types of pots (Plastic, SelfEco, Formulation 1, and Formulation 2) were set as the four levels. For each plant growth measurement parameter, the response variable, the null hypothesis was the average measure of the response value is the same for all pot types. The alternative hypothesis was at least one pair of pot types whose average response values are significantly different. </w:t>
      </w:r>
    </w:p>
    <w:p w14:paraId="469045F1" w14:textId="77777777" w:rsidR="009F0744" w:rsidRDefault="009F0744" w:rsidP="009F0744">
      <w:pPr>
        <w:spacing w:after="0" w:line="240" w:lineRule="auto"/>
        <w:jc w:val="both"/>
        <w:rPr>
          <w:rFonts w:cstheme="minorHAnsi"/>
        </w:rPr>
      </w:pPr>
    </w:p>
    <w:p w14:paraId="1E3EE2F8" w14:textId="2E989EAC" w:rsidR="000F62EA" w:rsidRDefault="000F62EA" w:rsidP="009F0744">
      <w:pPr>
        <w:spacing w:after="0" w:line="240" w:lineRule="auto"/>
        <w:jc w:val="both"/>
        <w:rPr>
          <w:rFonts w:cstheme="minorHAnsi"/>
        </w:rPr>
      </w:pPr>
      <w:r>
        <w:rPr>
          <w:rFonts w:cstheme="minorHAnsi"/>
        </w:rPr>
        <w:t xml:space="preserve">The level of significance used in this analysis is 5% (0.05), or 95% confidence level. The null hypothesis will be rejected if the P-value associated with the analysis is lower than the </w:t>
      </w:r>
      <w:r w:rsidR="009F0744">
        <w:rPr>
          <w:rFonts w:cstheme="minorHAnsi"/>
        </w:rPr>
        <w:t>significance level</w:t>
      </w:r>
      <w:r>
        <w:rPr>
          <w:rFonts w:cstheme="minorHAnsi"/>
        </w:rPr>
        <w:t>. If the results fail to reject the null hypothesis, it can be concluded that the average response value is the same for all types of pot. If the results reject the null hypothesis and accept the alternative hypothesis, this concludes that there is a significant difference for at least two types of pots. In this case, additional posthoc analysis, Tukey analysis, was performed to determine which p</w:t>
      </w:r>
      <w:r>
        <w:rPr>
          <w:rFonts w:cstheme="minorHAnsi"/>
        </w:rPr>
        <w:t>ot type pairs have significantly different average response values</w:t>
      </w:r>
      <w:r>
        <w:rPr>
          <w:rFonts w:cstheme="minorHAnsi"/>
        </w:rPr>
        <w:t xml:space="preserve">. </w:t>
      </w:r>
    </w:p>
    <w:p w14:paraId="29F374E9" w14:textId="77777777" w:rsidR="009F0744" w:rsidRDefault="009F0744" w:rsidP="009F0744">
      <w:pPr>
        <w:spacing w:after="0" w:line="240" w:lineRule="auto"/>
        <w:jc w:val="both"/>
        <w:rPr>
          <w:rFonts w:eastAsia="MS Mincho" w:cstheme="minorHAnsi"/>
          <w:bCs/>
        </w:rPr>
      </w:pPr>
    </w:p>
    <w:p w14:paraId="3578E7A9" w14:textId="4949A95F" w:rsidR="00EA70D1" w:rsidRPr="00996727" w:rsidRDefault="00EA70D1" w:rsidP="009F0744">
      <w:pPr>
        <w:spacing w:after="0" w:line="240" w:lineRule="auto"/>
        <w:jc w:val="both"/>
        <w:rPr>
          <w:rFonts w:eastAsia="MS Mincho" w:cstheme="minorHAnsi"/>
          <w:bCs/>
        </w:rPr>
      </w:pPr>
      <w:r w:rsidRPr="00996727">
        <w:rPr>
          <w:rFonts w:eastAsia="MS Mincho" w:cstheme="minorHAnsi"/>
          <w:bCs/>
        </w:rPr>
        <w:t xml:space="preserve">Based on statistical analysis, the performance of the new two formulations in plant health and biodegradability was found to be superior to </w:t>
      </w:r>
      <w:r w:rsidR="000F62EA">
        <w:rPr>
          <w:rFonts w:eastAsia="MS Mincho" w:cstheme="minorHAnsi"/>
          <w:bCs/>
        </w:rPr>
        <w:t>other</w:t>
      </w:r>
      <w:r w:rsidRPr="00996727">
        <w:rPr>
          <w:rFonts w:eastAsia="MS Mincho" w:cstheme="minorHAnsi"/>
          <w:bCs/>
        </w:rPr>
        <w:t xml:space="preserve"> pots in certain plant types and plant health measurements. Although new formulations pots (including SelfEco pots) are biodegradable and</w:t>
      </w:r>
      <w:r w:rsidR="000F62EA">
        <w:rPr>
          <w:rFonts w:eastAsia="MS Mincho" w:cstheme="minorHAnsi"/>
          <w:bCs/>
        </w:rPr>
        <w:t xml:space="preserve"> </w:t>
      </w:r>
      <w:r w:rsidRPr="00996727">
        <w:rPr>
          <w:rFonts w:eastAsia="MS Mincho" w:cstheme="minorHAnsi"/>
          <w:bCs/>
        </w:rPr>
        <w:t>plastic pots are non-biodegradable, the plant health of all five plant species for new formulations can be deemed as competitive with traditional plastic pots</w:t>
      </w:r>
      <w:r w:rsidRPr="00996727">
        <w:rPr>
          <w:rFonts w:eastAsia="MS Mincho" w:cstheme="minorHAnsi"/>
          <w:bCs/>
        </w:rPr>
        <w:t>. Due to space limitation</w:t>
      </w:r>
      <w:r w:rsidR="003078D1" w:rsidRPr="00996727">
        <w:rPr>
          <w:rFonts w:eastAsia="MS Mincho" w:cstheme="minorHAnsi"/>
          <w:bCs/>
        </w:rPr>
        <w:t>s</w:t>
      </w:r>
      <w:r w:rsidRPr="00996727">
        <w:rPr>
          <w:rFonts w:eastAsia="MS Mincho" w:cstheme="minorHAnsi"/>
          <w:bCs/>
        </w:rPr>
        <w:t xml:space="preserve">, the results will be </w:t>
      </w:r>
      <w:r w:rsidR="003078D1" w:rsidRPr="00996727">
        <w:rPr>
          <w:rFonts w:eastAsia="MS Mincho" w:cstheme="minorHAnsi"/>
          <w:bCs/>
        </w:rPr>
        <w:t xml:space="preserve">elaborated only for </w:t>
      </w:r>
      <w:r w:rsidR="000F62EA">
        <w:rPr>
          <w:rFonts w:eastAsia="MS Mincho" w:cstheme="minorHAnsi"/>
          <w:bCs/>
        </w:rPr>
        <w:t xml:space="preserve">the </w:t>
      </w:r>
      <w:r w:rsidR="003078D1" w:rsidRPr="00996727">
        <w:rPr>
          <w:rFonts w:eastAsia="MS Mincho" w:cstheme="minorHAnsi"/>
          <w:bCs/>
        </w:rPr>
        <w:t>Zinnia plant.</w:t>
      </w:r>
      <w:r w:rsidRPr="00996727">
        <w:rPr>
          <w:rFonts w:eastAsia="MS Mincho" w:cstheme="minorHAnsi"/>
          <w:bCs/>
        </w:rPr>
        <w:t xml:space="preserve"> </w:t>
      </w:r>
    </w:p>
    <w:p w14:paraId="38141CC6" w14:textId="77777777" w:rsidR="00EA70D1" w:rsidRPr="00996727" w:rsidRDefault="00EA70D1" w:rsidP="009F0744">
      <w:pPr>
        <w:spacing w:after="0" w:line="240" w:lineRule="auto"/>
        <w:jc w:val="both"/>
        <w:rPr>
          <w:rFonts w:eastAsia="MS Mincho" w:cstheme="minorHAnsi"/>
          <w:bCs/>
        </w:rPr>
      </w:pPr>
    </w:p>
    <w:p w14:paraId="5ADB93A2" w14:textId="66E180E3" w:rsidR="003F339D" w:rsidRPr="009F0744" w:rsidRDefault="003F339D" w:rsidP="009F0744">
      <w:pPr>
        <w:pStyle w:val="Heading2"/>
        <w:spacing w:before="0" w:line="240" w:lineRule="auto"/>
        <w:rPr>
          <w:rFonts w:eastAsia="MS Mincho"/>
          <w:b/>
          <w:sz w:val="24"/>
          <w:szCs w:val="22"/>
        </w:rPr>
      </w:pPr>
      <w:r w:rsidRPr="009F0744">
        <w:rPr>
          <w:rFonts w:eastAsia="MS Mincho"/>
          <w:b/>
          <w:sz w:val="24"/>
          <w:szCs w:val="22"/>
        </w:rPr>
        <w:lastRenderedPageBreak/>
        <w:t xml:space="preserve">3.1 </w:t>
      </w:r>
      <w:r w:rsidR="003078D1" w:rsidRPr="009F0744">
        <w:rPr>
          <w:rFonts w:eastAsia="MS Mincho"/>
          <w:b/>
          <w:sz w:val="24"/>
          <w:szCs w:val="22"/>
        </w:rPr>
        <w:t xml:space="preserve">Zinina </w:t>
      </w:r>
      <w:r w:rsidRPr="009F0744">
        <w:rPr>
          <w:rFonts w:eastAsia="MS Mincho"/>
          <w:b/>
          <w:sz w:val="24"/>
          <w:szCs w:val="22"/>
        </w:rPr>
        <w:t xml:space="preserve">Plant Growth Assessment </w:t>
      </w:r>
    </w:p>
    <w:p w14:paraId="1D633C9A" w14:textId="146EA727" w:rsidR="003078D1" w:rsidRDefault="000F62EA" w:rsidP="009F0744">
      <w:pPr>
        <w:spacing w:after="0" w:line="240" w:lineRule="auto"/>
        <w:jc w:val="both"/>
        <w:rPr>
          <w:rFonts w:cstheme="minorHAnsi"/>
        </w:rPr>
      </w:pPr>
      <w:r>
        <w:rPr>
          <w:rFonts w:cstheme="minorHAnsi"/>
        </w:rPr>
        <w:t xml:space="preserve">A </w:t>
      </w:r>
      <w:r w:rsidR="003078D1" w:rsidRPr="00996727">
        <w:rPr>
          <w:rFonts w:cstheme="minorHAnsi"/>
        </w:rPr>
        <w:t xml:space="preserve">bar chart presentation of the average values of the measurement variables for all pot types </w:t>
      </w:r>
      <w:r>
        <w:rPr>
          <w:rFonts w:cstheme="minorHAnsi"/>
        </w:rPr>
        <w:t xml:space="preserve">for the Zinnia plant </w:t>
      </w:r>
      <w:r w:rsidR="003078D1" w:rsidRPr="00996727">
        <w:rPr>
          <w:rFonts w:cstheme="minorHAnsi"/>
        </w:rPr>
        <w:t xml:space="preserve">is shown in Figure </w:t>
      </w:r>
      <w:r w:rsidR="003078D1" w:rsidRPr="00996727">
        <w:rPr>
          <w:rFonts w:cstheme="minorHAnsi"/>
        </w:rPr>
        <w:t>7</w:t>
      </w:r>
      <w:r w:rsidR="003078D1" w:rsidRPr="00996727">
        <w:rPr>
          <w:rFonts w:cstheme="minorHAnsi"/>
        </w:rPr>
        <w:t xml:space="preserve">. The one-way </w:t>
      </w:r>
      <w:r>
        <w:rPr>
          <w:rFonts w:cstheme="minorHAnsi"/>
        </w:rPr>
        <w:t xml:space="preserve">statistical </w:t>
      </w:r>
      <w:r w:rsidR="003078D1" w:rsidRPr="00996727">
        <w:rPr>
          <w:rFonts w:cstheme="minorHAnsi"/>
        </w:rPr>
        <w:t>ANOVA</w:t>
      </w:r>
      <w:r>
        <w:rPr>
          <w:rFonts w:cstheme="minorHAnsi"/>
        </w:rPr>
        <w:t xml:space="preserve"> </w:t>
      </w:r>
      <w:r w:rsidR="009F0744">
        <w:rPr>
          <w:rFonts w:cstheme="minorHAnsi"/>
        </w:rPr>
        <w:t>for each plant growth measurement variable</w:t>
      </w:r>
      <w:r w:rsidR="009F0744" w:rsidRPr="00996727">
        <w:rPr>
          <w:rFonts w:cstheme="minorHAnsi"/>
        </w:rPr>
        <w:t xml:space="preserve"> </w:t>
      </w:r>
      <w:r w:rsidR="009F0744">
        <w:rPr>
          <w:rFonts w:cstheme="minorHAnsi"/>
        </w:rPr>
        <w:t>and Turkey pairwise comparison results for only plant height are</w:t>
      </w:r>
      <w:r w:rsidR="003078D1" w:rsidRPr="00996727">
        <w:rPr>
          <w:rFonts w:cstheme="minorHAnsi"/>
        </w:rPr>
        <w:t xml:space="preserve"> shown in Table </w:t>
      </w:r>
      <w:r>
        <w:rPr>
          <w:rFonts w:cstheme="minorHAnsi"/>
        </w:rPr>
        <w:t>1</w:t>
      </w:r>
      <w:r w:rsidR="003078D1" w:rsidRPr="00996727">
        <w:rPr>
          <w:rFonts w:cstheme="minorHAnsi"/>
        </w:rPr>
        <w:t xml:space="preserve">. </w:t>
      </w:r>
    </w:p>
    <w:p w14:paraId="396A927D" w14:textId="77777777" w:rsidR="000F62EA" w:rsidRPr="00996727" w:rsidRDefault="000F62EA" w:rsidP="009F0744">
      <w:pPr>
        <w:spacing w:after="0" w:line="240" w:lineRule="auto"/>
        <w:jc w:val="both"/>
        <w:rPr>
          <w:rFonts w:cstheme="minorHAnsi"/>
        </w:rPr>
      </w:pPr>
    </w:p>
    <w:p w14:paraId="4FFCBEEA" w14:textId="1A73A885" w:rsidR="003078D1" w:rsidRPr="00996727" w:rsidRDefault="003078D1" w:rsidP="009F0744">
      <w:pPr>
        <w:spacing w:after="0" w:line="240" w:lineRule="auto"/>
        <w:jc w:val="center"/>
        <w:rPr>
          <w:rFonts w:cstheme="minorHAnsi"/>
        </w:rPr>
      </w:pPr>
      <w:r w:rsidRPr="00996727">
        <w:rPr>
          <w:rFonts w:cstheme="minorHAnsi"/>
          <w:noProof/>
        </w:rPr>
        <w:drawing>
          <wp:inline distT="0" distB="0" distL="0" distR="0" wp14:anchorId="5BD531FE" wp14:editId="1B6A1E44">
            <wp:extent cx="4829432" cy="2913170"/>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rotWithShape="1">
                    <a:blip r:embed="rId14">
                      <a:extLst>
                        <a:ext uri="{28A0092B-C50C-407E-A947-70E740481C1C}">
                          <a14:useLocalDpi xmlns:a14="http://schemas.microsoft.com/office/drawing/2010/main" val="0"/>
                        </a:ext>
                      </a:extLst>
                    </a:blip>
                    <a:srcRect l="979" t="1824" r="1756" b="7104"/>
                    <a:stretch/>
                  </pic:blipFill>
                  <pic:spPr bwMode="auto">
                    <a:xfrm>
                      <a:off x="0" y="0"/>
                      <a:ext cx="4839378" cy="2919169"/>
                    </a:xfrm>
                    <a:prstGeom prst="rect">
                      <a:avLst/>
                    </a:prstGeom>
                    <a:noFill/>
                    <a:ln>
                      <a:noFill/>
                    </a:ln>
                    <a:extLst>
                      <a:ext uri="{53640926-AAD7-44D8-BBD7-CCE9431645EC}">
                        <a14:shadowObscured xmlns:a14="http://schemas.microsoft.com/office/drawing/2010/main"/>
                      </a:ext>
                    </a:extLst>
                  </pic:spPr>
                </pic:pic>
              </a:graphicData>
            </a:graphic>
          </wp:inline>
        </w:drawing>
      </w:r>
    </w:p>
    <w:p w14:paraId="526E08F7" w14:textId="77777777" w:rsidR="000F62EA" w:rsidRDefault="003078D1" w:rsidP="009F0744">
      <w:pPr>
        <w:pStyle w:val="Caption"/>
        <w:spacing w:after="0"/>
        <w:jc w:val="center"/>
        <w:rPr>
          <w:rFonts w:cstheme="minorHAnsi"/>
          <w:bCs/>
          <w:i w:val="0"/>
          <w:iCs w:val="0"/>
          <w:color w:val="auto"/>
          <w:sz w:val="22"/>
          <w:szCs w:val="22"/>
        </w:rPr>
      </w:pPr>
      <w:r w:rsidRPr="000F62EA">
        <w:rPr>
          <w:rFonts w:cstheme="minorHAnsi"/>
          <w:bCs/>
          <w:i w:val="0"/>
          <w:iCs w:val="0"/>
          <w:color w:val="auto"/>
          <w:sz w:val="22"/>
          <w:szCs w:val="22"/>
        </w:rPr>
        <w:t xml:space="preserve">Figure </w:t>
      </w:r>
      <w:r w:rsidRPr="000F62EA">
        <w:rPr>
          <w:rFonts w:cstheme="minorHAnsi"/>
          <w:bCs/>
          <w:i w:val="0"/>
          <w:iCs w:val="0"/>
          <w:color w:val="auto"/>
          <w:sz w:val="22"/>
          <w:szCs w:val="22"/>
        </w:rPr>
        <w:t>7</w:t>
      </w:r>
      <w:r w:rsidRPr="000F62EA">
        <w:rPr>
          <w:rFonts w:cstheme="minorHAnsi"/>
          <w:bCs/>
          <w:i w:val="0"/>
          <w:iCs w:val="0"/>
          <w:color w:val="auto"/>
          <w:sz w:val="22"/>
          <w:szCs w:val="22"/>
        </w:rPr>
        <w:t>. Bar chart for measurement variables of Zinnia</w:t>
      </w:r>
      <w:r w:rsidR="000F62EA" w:rsidRPr="000F62EA">
        <w:rPr>
          <w:rFonts w:cstheme="minorHAnsi"/>
          <w:bCs/>
          <w:i w:val="0"/>
          <w:iCs w:val="0"/>
          <w:color w:val="auto"/>
          <w:sz w:val="22"/>
          <w:szCs w:val="22"/>
        </w:rPr>
        <w:t xml:space="preserve"> </w:t>
      </w:r>
    </w:p>
    <w:p w14:paraId="4F20C64C" w14:textId="77777777" w:rsidR="000F62EA" w:rsidRDefault="000F62EA" w:rsidP="009F0744">
      <w:pPr>
        <w:pStyle w:val="Caption"/>
        <w:spacing w:after="0"/>
        <w:jc w:val="center"/>
        <w:rPr>
          <w:rFonts w:cstheme="minorHAnsi"/>
          <w:bCs/>
          <w:i w:val="0"/>
          <w:iCs w:val="0"/>
          <w:color w:val="auto"/>
          <w:sz w:val="22"/>
          <w:szCs w:val="22"/>
        </w:rPr>
      </w:pPr>
    </w:p>
    <w:p w14:paraId="136BB096" w14:textId="25622769" w:rsidR="009F0744" w:rsidRPr="009F0744" w:rsidRDefault="000F62EA" w:rsidP="009F0744">
      <w:pPr>
        <w:pStyle w:val="Caption"/>
        <w:spacing w:after="0"/>
        <w:jc w:val="center"/>
        <w:rPr>
          <w:rFonts w:cstheme="minorHAnsi"/>
          <w:bCs/>
          <w:i w:val="0"/>
          <w:iCs w:val="0"/>
          <w:color w:val="auto"/>
          <w:sz w:val="22"/>
          <w:szCs w:val="22"/>
        </w:rPr>
      </w:pPr>
      <w:r w:rsidRPr="00996727">
        <w:rPr>
          <w:rFonts w:cstheme="minorHAnsi"/>
          <w:bCs/>
          <w:i w:val="0"/>
          <w:iCs w:val="0"/>
          <w:color w:val="auto"/>
          <w:sz w:val="22"/>
          <w:szCs w:val="22"/>
        </w:rPr>
        <w:t xml:space="preserve">Table </w:t>
      </w:r>
      <w:r>
        <w:rPr>
          <w:rFonts w:cstheme="minorHAnsi"/>
          <w:bCs/>
          <w:i w:val="0"/>
          <w:iCs w:val="0"/>
          <w:color w:val="auto"/>
          <w:sz w:val="22"/>
          <w:szCs w:val="22"/>
        </w:rPr>
        <w:t>1</w:t>
      </w:r>
      <w:r w:rsidRPr="00996727">
        <w:rPr>
          <w:rFonts w:cstheme="minorHAnsi"/>
          <w:bCs/>
          <w:i w:val="0"/>
          <w:iCs w:val="0"/>
          <w:color w:val="auto"/>
          <w:sz w:val="22"/>
          <w:szCs w:val="22"/>
        </w:rPr>
        <w:t>. One-way ANOVA analys</w:t>
      </w:r>
      <w:r w:rsidR="009F0744">
        <w:rPr>
          <w:rFonts w:cstheme="minorHAnsi"/>
          <w:bCs/>
          <w:i w:val="0"/>
          <w:iCs w:val="0"/>
          <w:color w:val="auto"/>
          <w:sz w:val="22"/>
          <w:szCs w:val="22"/>
        </w:rPr>
        <w:t>is and Turkey pairwise comparison</w:t>
      </w:r>
      <w:r w:rsidRPr="00996727">
        <w:rPr>
          <w:rFonts w:cstheme="minorHAnsi"/>
          <w:bCs/>
          <w:i w:val="0"/>
          <w:iCs w:val="0"/>
          <w:color w:val="auto"/>
          <w:sz w:val="22"/>
          <w:szCs w:val="22"/>
        </w:rPr>
        <w:t xml:space="preserve"> result for Zinnia</w:t>
      </w:r>
    </w:p>
    <w:tbl>
      <w:tblPr>
        <w:tblStyle w:val="TableGrid"/>
        <w:tblW w:w="0" w:type="auto"/>
        <w:jc w:val="center"/>
        <w:tblInd w:w="0" w:type="dxa"/>
        <w:tblLook w:val="04A0" w:firstRow="1" w:lastRow="0" w:firstColumn="1" w:lastColumn="0" w:noHBand="0" w:noVBand="1"/>
      </w:tblPr>
      <w:tblGrid>
        <w:gridCol w:w="1266"/>
        <w:gridCol w:w="2693"/>
        <w:gridCol w:w="1425"/>
        <w:gridCol w:w="3966"/>
      </w:tblGrid>
      <w:tr w:rsidR="009F0744" w:rsidRPr="00996727" w14:paraId="28ED090B" w14:textId="04DB0EE5" w:rsidTr="009F0744">
        <w:trPr>
          <w:trHeight w:val="297"/>
          <w:jc w:val="center"/>
        </w:trPr>
        <w:tc>
          <w:tcPr>
            <w:tcW w:w="1664" w:type="dxa"/>
            <w:tcBorders>
              <w:top w:val="single" w:sz="4" w:space="0" w:color="auto"/>
              <w:left w:val="single" w:sz="4" w:space="0" w:color="auto"/>
              <w:bottom w:val="single" w:sz="4" w:space="0" w:color="auto"/>
              <w:right w:val="single" w:sz="4" w:space="0" w:color="auto"/>
            </w:tcBorders>
            <w:vAlign w:val="center"/>
            <w:hideMark/>
          </w:tcPr>
          <w:p w14:paraId="1B8B5339" w14:textId="77777777" w:rsidR="009F0744" w:rsidRPr="00996727" w:rsidRDefault="009F0744" w:rsidP="009F0744">
            <w:pPr>
              <w:jc w:val="center"/>
              <w:rPr>
                <w:rFonts w:cstheme="minorHAnsi"/>
                <w:b/>
                <w:bCs/>
              </w:rPr>
            </w:pPr>
            <w:r w:rsidRPr="00996727">
              <w:rPr>
                <w:rFonts w:cstheme="minorHAnsi"/>
                <w:b/>
                <w:bCs/>
              </w:rPr>
              <w:t>Serial No.</w:t>
            </w:r>
          </w:p>
        </w:tc>
        <w:tc>
          <w:tcPr>
            <w:tcW w:w="3872" w:type="dxa"/>
            <w:tcBorders>
              <w:top w:val="single" w:sz="4" w:space="0" w:color="auto"/>
              <w:left w:val="single" w:sz="4" w:space="0" w:color="auto"/>
              <w:bottom w:val="single" w:sz="4" w:space="0" w:color="auto"/>
              <w:right w:val="single" w:sz="4" w:space="0" w:color="auto"/>
            </w:tcBorders>
            <w:vAlign w:val="center"/>
            <w:hideMark/>
          </w:tcPr>
          <w:p w14:paraId="4B04670E" w14:textId="7A10B554" w:rsidR="009F0744" w:rsidRPr="00996727" w:rsidRDefault="009F0744" w:rsidP="009F0744">
            <w:pPr>
              <w:jc w:val="center"/>
              <w:rPr>
                <w:rFonts w:cstheme="minorHAnsi"/>
                <w:b/>
                <w:bCs/>
              </w:rPr>
            </w:pPr>
            <w:r w:rsidRPr="00996727">
              <w:rPr>
                <w:rFonts w:cstheme="minorHAnsi"/>
                <w:b/>
                <w:bCs/>
              </w:rPr>
              <w:t xml:space="preserve">Response variables for </w:t>
            </w:r>
            <w:r>
              <w:rPr>
                <w:rFonts w:cstheme="minorHAnsi"/>
                <w:b/>
                <w:bCs/>
              </w:rPr>
              <w:t>o</w:t>
            </w:r>
            <w:r w:rsidRPr="00996727">
              <w:rPr>
                <w:rFonts w:cstheme="minorHAnsi"/>
                <w:b/>
                <w:bCs/>
              </w:rPr>
              <w:t>ne-way ANOVA</w:t>
            </w:r>
          </w:p>
        </w:tc>
        <w:tc>
          <w:tcPr>
            <w:tcW w:w="1946" w:type="dxa"/>
            <w:tcBorders>
              <w:top w:val="single" w:sz="4" w:space="0" w:color="auto"/>
              <w:left w:val="single" w:sz="4" w:space="0" w:color="auto"/>
              <w:bottom w:val="single" w:sz="4" w:space="0" w:color="auto"/>
              <w:right w:val="single" w:sz="4" w:space="0" w:color="auto"/>
            </w:tcBorders>
            <w:vAlign w:val="center"/>
            <w:hideMark/>
          </w:tcPr>
          <w:p w14:paraId="02F26A84" w14:textId="78A1F223" w:rsidR="009F0744" w:rsidRPr="00996727" w:rsidRDefault="009F0744" w:rsidP="009F0744">
            <w:pPr>
              <w:jc w:val="center"/>
              <w:rPr>
                <w:rFonts w:cstheme="minorHAnsi"/>
                <w:b/>
                <w:bCs/>
              </w:rPr>
            </w:pPr>
            <w:r w:rsidRPr="00996727">
              <w:rPr>
                <w:rFonts w:cstheme="minorHAnsi"/>
                <w:b/>
                <w:bCs/>
              </w:rPr>
              <w:t>P-</w:t>
            </w:r>
            <w:r>
              <w:rPr>
                <w:rFonts w:cstheme="minorHAnsi"/>
                <w:b/>
                <w:bCs/>
              </w:rPr>
              <w:t>v</w:t>
            </w:r>
            <w:r w:rsidRPr="00996727">
              <w:rPr>
                <w:rFonts w:cstheme="minorHAnsi"/>
                <w:b/>
                <w:bCs/>
              </w:rPr>
              <w:t>alue</w:t>
            </w:r>
          </w:p>
        </w:tc>
        <w:tc>
          <w:tcPr>
            <w:tcW w:w="1868" w:type="dxa"/>
            <w:tcBorders>
              <w:top w:val="single" w:sz="4" w:space="0" w:color="auto"/>
              <w:left w:val="single" w:sz="4" w:space="0" w:color="auto"/>
              <w:bottom w:val="single" w:sz="4" w:space="0" w:color="auto"/>
              <w:right w:val="single" w:sz="4" w:space="0" w:color="auto"/>
            </w:tcBorders>
            <w:vAlign w:val="center"/>
          </w:tcPr>
          <w:p w14:paraId="62D71725" w14:textId="3DDC059D" w:rsidR="009F0744" w:rsidRPr="00996727" w:rsidRDefault="009F0744" w:rsidP="009F0744">
            <w:pPr>
              <w:jc w:val="center"/>
              <w:rPr>
                <w:rFonts w:cstheme="minorHAnsi"/>
                <w:b/>
                <w:bCs/>
              </w:rPr>
            </w:pPr>
            <w:r w:rsidRPr="009F0744">
              <w:rPr>
                <w:rFonts w:cstheme="minorHAnsi"/>
                <w:b/>
                <w:bCs/>
              </w:rPr>
              <w:t>Tukey pairwise comparison</w:t>
            </w:r>
          </w:p>
        </w:tc>
      </w:tr>
      <w:tr w:rsidR="009F0744" w:rsidRPr="00996727" w14:paraId="5A59DA47" w14:textId="709FC9DE" w:rsidTr="009F0744">
        <w:trPr>
          <w:trHeight w:val="287"/>
          <w:jc w:val="center"/>
        </w:trPr>
        <w:tc>
          <w:tcPr>
            <w:tcW w:w="1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80C297" w14:textId="77777777" w:rsidR="009F0744" w:rsidRPr="00996727" w:rsidRDefault="009F0744" w:rsidP="009F0744">
            <w:pPr>
              <w:jc w:val="center"/>
              <w:rPr>
                <w:rFonts w:cstheme="minorHAnsi"/>
              </w:rPr>
            </w:pPr>
            <w:r w:rsidRPr="00996727">
              <w:rPr>
                <w:rFonts w:cstheme="minorHAnsi"/>
              </w:rPr>
              <w:t>1</w:t>
            </w:r>
          </w:p>
        </w:tc>
        <w:tc>
          <w:tcPr>
            <w:tcW w:w="38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B5F24B" w14:textId="77777777" w:rsidR="009F0744" w:rsidRPr="00996727" w:rsidRDefault="009F0744" w:rsidP="009F0744">
            <w:pPr>
              <w:jc w:val="center"/>
              <w:rPr>
                <w:rFonts w:cstheme="minorHAnsi"/>
              </w:rPr>
            </w:pPr>
            <w:r w:rsidRPr="00996727">
              <w:rPr>
                <w:rFonts w:cstheme="minorHAnsi"/>
              </w:rPr>
              <w:t>Plant height</w:t>
            </w:r>
          </w:p>
        </w:tc>
        <w:tc>
          <w:tcPr>
            <w:tcW w:w="19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1D2679" w14:textId="77777777" w:rsidR="009F0744" w:rsidRPr="00996727" w:rsidRDefault="009F0744" w:rsidP="009F0744">
            <w:pPr>
              <w:jc w:val="center"/>
              <w:rPr>
                <w:rFonts w:cstheme="minorHAnsi"/>
              </w:rPr>
            </w:pPr>
            <w:r w:rsidRPr="00996727">
              <w:rPr>
                <w:rFonts w:cstheme="minorHAnsi"/>
              </w:rPr>
              <w:t>0.031</w:t>
            </w:r>
          </w:p>
        </w:tc>
        <w:tc>
          <w:tcPr>
            <w:tcW w:w="1868" w:type="dxa"/>
            <w:vMerge w:val="restart"/>
            <w:tcBorders>
              <w:top w:val="single" w:sz="4" w:space="0" w:color="auto"/>
              <w:left w:val="single" w:sz="4" w:space="0" w:color="auto"/>
              <w:right w:val="single" w:sz="4" w:space="0" w:color="auto"/>
            </w:tcBorders>
            <w:shd w:val="clear" w:color="auto" w:fill="auto"/>
          </w:tcPr>
          <w:p w14:paraId="3D104B46" w14:textId="4DF1E0BC" w:rsidR="009F0744" w:rsidRPr="00996727" w:rsidRDefault="009F0744" w:rsidP="009F0744">
            <w:pPr>
              <w:jc w:val="center"/>
              <w:rPr>
                <w:rFonts w:cstheme="minorHAnsi"/>
              </w:rPr>
            </w:pPr>
            <w:r w:rsidRPr="00996727">
              <w:rPr>
                <w:rFonts w:cstheme="minorHAnsi"/>
                <w:noProof/>
              </w:rPr>
              <w:drawing>
                <wp:inline distT="0" distB="0" distL="0" distR="0" wp14:anchorId="534767C9" wp14:editId="75655B8A">
                  <wp:extent cx="2378710" cy="1113790"/>
                  <wp:effectExtent l="0" t="0" r="2540" b="0"/>
                  <wp:docPr id="18" name="Picture 1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Table&#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78710" cy="1113790"/>
                          </a:xfrm>
                          <a:prstGeom prst="rect">
                            <a:avLst/>
                          </a:prstGeom>
                          <a:noFill/>
                          <a:ln>
                            <a:noFill/>
                          </a:ln>
                        </pic:spPr>
                      </pic:pic>
                    </a:graphicData>
                  </a:graphic>
                </wp:inline>
              </w:drawing>
            </w:r>
          </w:p>
        </w:tc>
      </w:tr>
      <w:tr w:rsidR="009F0744" w:rsidRPr="00996727" w14:paraId="758C376C" w14:textId="35249F90" w:rsidTr="009F0744">
        <w:trPr>
          <w:trHeight w:val="297"/>
          <w:jc w:val="center"/>
        </w:trPr>
        <w:tc>
          <w:tcPr>
            <w:tcW w:w="1664" w:type="dxa"/>
            <w:tcBorders>
              <w:top w:val="single" w:sz="4" w:space="0" w:color="auto"/>
              <w:left w:val="single" w:sz="4" w:space="0" w:color="auto"/>
              <w:bottom w:val="single" w:sz="4" w:space="0" w:color="auto"/>
              <w:right w:val="single" w:sz="4" w:space="0" w:color="auto"/>
            </w:tcBorders>
            <w:hideMark/>
          </w:tcPr>
          <w:p w14:paraId="4417CC54" w14:textId="77777777" w:rsidR="009F0744" w:rsidRPr="00996727" w:rsidRDefault="009F0744" w:rsidP="009F0744">
            <w:pPr>
              <w:jc w:val="center"/>
              <w:rPr>
                <w:rFonts w:cstheme="minorHAnsi"/>
              </w:rPr>
            </w:pPr>
            <w:r w:rsidRPr="00996727">
              <w:rPr>
                <w:rFonts w:cstheme="minorHAnsi"/>
              </w:rPr>
              <w:t>2</w:t>
            </w:r>
          </w:p>
        </w:tc>
        <w:tc>
          <w:tcPr>
            <w:tcW w:w="3872" w:type="dxa"/>
            <w:tcBorders>
              <w:top w:val="single" w:sz="4" w:space="0" w:color="auto"/>
              <w:left w:val="single" w:sz="4" w:space="0" w:color="auto"/>
              <w:bottom w:val="single" w:sz="4" w:space="0" w:color="auto"/>
              <w:right w:val="single" w:sz="4" w:space="0" w:color="auto"/>
            </w:tcBorders>
            <w:hideMark/>
          </w:tcPr>
          <w:p w14:paraId="600699FD" w14:textId="77777777" w:rsidR="009F0744" w:rsidRPr="00996727" w:rsidRDefault="009F0744" w:rsidP="009F0744">
            <w:pPr>
              <w:jc w:val="center"/>
              <w:rPr>
                <w:rFonts w:cstheme="minorHAnsi"/>
              </w:rPr>
            </w:pPr>
            <w:r w:rsidRPr="00996727">
              <w:rPr>
                <w:rFonts w:cstheme="minorHAnsi"/>
              </w:rPr>
              <w:t>Plant width</w:t>
            </w:r>
          </w:p>
        </w:tc>
        <w:tc>
          <w:tcPr>
            <w:tcW w:w="1946" w:type="dxa"/>
            <w:tcBorders>
              <w:top w:val="single" w:sz="4" w:space="0" w:color="auto"/>
              <w:left w:val="single" w:sz="4" w:space="0" w:color="auto"/>
              <w:bottom w:val="single" w:sz="4" w:space="0" w:color="auto"/>
              <w:right w:val="single" w:sz="4" w:space="0" w:color="auto"/>
            </w:tcBorders>
            <w:hideMark/>
          </w:tcPr>
          <w:p w14:paraId="784E7931" w14:textId="77777777" w:rsidR="009F0744" w:rsidRPr="00996727" w:rsidRDefault="009F0744" w:rsidP="009F0744">
            <w:pPr>
              <w:jc w:val="center"/>
              <w:rPr>
                <w:rFonts w:cstheme="minorHAnsi"/>
              </w:rPr>
            </w:pPr>
            <w:r w:rsidRPr="00996727">
              <w:rPr>
                <w:rFonts w:cstheme="minorHAnsi"/>
              </w:rPr>
              <w:t>0.825</w:t>
            </w:r>
          </w:p>
        </w:tc>
        <w:tc>
          <w:tcPr>
            <w:tcW w:w="1868" w:type="dxa"/>
            <w:vMerge/>
            <w:tcBorders>
              <w:left w:val="single" w:sz="4" w:space="0" w:color="auto"/>
              <w:right w:val="single" w:sz="4" w:space="0" w:color="auto"/>
            </w:tcBorders>
            <w:shd w:val="clear" w:color="auto" w:fill="auto"/>
          </w:tcPr>
          <w:p w14:paraId="590A16B3" w14:textId="77777777" w:rsidR="009F0744" w:rsidRPr="00996727" w:rsidRDefault="009F0744" w:rsidP="009F0744">
            <w:pPr>
              <w:jc w:val="center"/>
              <w:rPr>
                <w:rFonts w:cstheme="minorHAnsi"/>
              </w:rPr>
            </w:pPr>
          </w:p>
        </w:tc>
      </w:tr>
      <w:tr w:rsidR="009F0744" w:rsidRPr="00996727" w14:paraId="401B0356" w14:textId="7315C47D" w:rsidTr="009F0744">
        <w:trPr>
          <w:trHeight w:val="287"/>
          <w:jc w:val="center"/>
        </w:trPr>
        <w:tc>
          <w:tcPr>
            <w:tcW w:w="1664" w:type="dxa"/>
            <w:tcBorders>
              <w:top w:val="single" w:sz="4" w:space="0" w:color="auto"/>
              <w:left w:val="single" w:sz="4" w:space="0" w:color="auto"/>
              <w:bottom w:val="single" w:sz="4" w:space="0" w:color="auto"/>
              <w:right w:val="single" w:sz="4" w:space="0" w:color="auto"/>
            </w:tcBorders>
            <w:hideMark/>
          </w:tcPr>
          <w:p w14:paraId="1F37165C" w14:textId="77777777" w:rsidR="009F0744" w:rsidRPr="00996727" w:rsidRDefault="009F0744" w:rsidP="009F0744">
            <w:pPr>
              <w:jc w:val="center"/>
              <w:rPr>
                <w:rFonts w:cstheme="minorHAnsi"/>
              </w:rPr>
            </w:pPr>
            <w:r w:rsidRPr="00996727">
              <w:rPr>
                <w:rFonts w:cstheme="minorHAnsi"/>
              </w:rPr>
              <w:t>3</w:t>
            </w:r>
          </w:p>
        </w:tc>
        <w:tc>
          <w:tcPr>
            <w:tcW w:w="3872" w:type="dxa"/>
            <w:tcBorders>
              <w:top w:val="single" w:sz="4" w:space="0" w:color="auto"/>
              <w:left w:val="single" w:sz="4" w:space="0" w:color="auto"/>
              <w:bottom w:val="single" w:sz="4" w:space="0" w:color="auto"/>
              <w:right w:val="single" w:sz="4" w:space="0" w:color="auto"/>
            </w:tcBorders>
            <w:hideMark/>
          </w:tcPr>
          <w:p w14:paraId="1F617F19" w14:textId="77777777" w:rsidR="009F0744" w:rsidRPr="00996727" w:rsidRDefault="009F0744" w:rsidP="009F0744">
            <w:pPr>
              <w:jc w:val="center"/>
              <w:rPr>
                <w:rFonts w:cstheme="minorHAnsi"/>
              </w:rPr>
            </w:pPr>
            <w:r w:rsidRPr="00996727">
              <w:rPr>
                <w:rFonts w:cstheme="minorHAnsi"/>
              </w:rPr>
              <w:t>Shoot fresh weight</w:t>
            </w:r>
          </w:p>
        </w:tc>
        <w:tc>
          <w:tcPr>
            <w:tcW w:w="1946" w:type="dxa"/>
            <w:tcBorders>
              <w:top w:val="single" w:sz="4" w:space="0" w:color="auto"/>
              <w:left w:val="single" w:sz="4" w:space="0" w:color="auto"/>
              <w:bottom w:val="single" w:sz="4" w:space="0" w:color="auto"/>
              <w:right w:val="single" w:sz="4" w:space="0" w:color="auto"/>
            </w:tcBorders>
            <w:hideMark/>
          </w:tcPr>
          <w:p w14:paraId="7A5593FB" w14:textId="77777777" w:rsidR="009F0744" w:rsidRPr="00996727" w:rsidRDefault="009F0744" w:rsidP="009F0744">
            <w:pPr>
              <w:jc w:val="center"/>
              <w:rPr>
                <w:rFonts w:cstheme="minorHAnsi"/>
              </w:rPr>
            </w:pPr>
            <w:r w:rsidRPr="00996727">
              <w:rPr>
                <w:rFonts w:cstheme="minorHAnsi"/>
              </w:rPr>
              <w:t>0.239</w:t>
            </w:r>
          </w:p>
        </w:tc>
        <w:tc>
          <w:tcPr>
            <w:tcW w:w="1868" w:type="dxa"/>
            <w:vMerge/>
            <w:tcBorders>
              <w:left w:val="single" w:sz="4" w:space="0" w:color="auto"/>
              <w:right w:val="single" w:sz="4" w:space="0" w:color="auto"/>
            </w:tcBorders>
            <w:shd w:val="clear" w:color="auto" w:fill="auto"/>
          </w:tcPr>
          <w:p w14:paraId="251FEC18" w14:textId="77777777" w:rsidR="009F0744" w:rsidRPr="00996727" w:rsidRDefault="009F0744" w:rsidP="009F0744">
            <w:pPr>
              <w:jc w:val="center"/>
              <w:rPr>
                <w:rFonts w:cstheme="minorHAnsi"/>
              </w:rPr>
            </w:pPr>
          </w:p>
        </w:tc>
      </w:tr>
      <w:tr w:rsidR="009F0744" w:rsidRPr="00996727" w14:paraId="01874190" w14:textId="54B111C9" w:rsidTr="009F0744">
        <w:trPr>
          <w:trHeight w:val="297"/>
          <w:jc w:val="center"/>
        </w:trPr>
        <w:tc>
          <w:tcPr>
            <w:tcW w:w="1664" w:type="dxa"/>
            <w:tcBorders>
              <w:top w:val="single" w:sz="4" w:space="0" w:color="auto"/>
              <w:left w:val="single" w:sz="4" w:space="0" w:color="auto"/>
              <w:bottom w:val="single" w:sz="4" w:space="0" w:color="auto"/>
              <w:right w:val="single" w:sz="4" w:space="0" w:color="auto"/>
            </w:tcBorders>
            <w:hideMark/>
          </w:tcPr>
          <w:p w14:paraId="675BDD85" w14:textId="77777777" w:rsidR="009F0744" w:rsidRPr="00996727" w:rsidRDefault="009F0744" w:rsidP="009F0744">
            <w:pPr>
              <w:jc w:val="center"/>
              <w:rPr>
                <w:rFonts w:cstheme="minorHAnsi"/>
              </w:rPr>
            </w:pPr>
            <w:r w:rsidRPr="00996727">
              <w:rPr>
                <w:rFonts w:cstheme="minorHAnsi"/>
              </w:rPr>
              <w:t>4</w:t>
            </w:r>
          </w:p>
        </w:tc>
        <w:tc>
          <w:tcPr>
            <w:tcW w:w="3872" w:type="dxa"/>
            <w:tcBorders>
              <w:top w:val="single" w:sz="4" w:space="0" w:color="auto"/>
              <w:left w:val="single" w:sz="4" w:space="0" w:color="auto"/>
              <w:bottom w:val="single" w:sz="4" w:space="0" w:color="auto"/>
              <w:right w:val="single" w:sz="4" w:space="0" w:color="auto"/>
            </w:tcBorders>
            <w:hideMark/>
          </w:tcPr>
          <w:p w14:paraId="4A4E2B01" w14:textId="77777777" w:rsidR="009F0744" w:rsidRPr="00996727" w:rsidRDefault="009F0744" w:rsidP="009F0744">
            <w:pPr>
              <w:jc w:val="center"/>
              <w:rPr>
                <w:rFonts w:cstheme="minorHAnsi"/>
              </w:rPr>
            </w:pPr>
            <w:r w:rsidRPr="00996727">
              <w:rPr>
                <w:rFonts w:cstheme="minorHAnsi"/>
              </w:rPr>
              <w:t>Root fresh weight</w:t>
            </w:r>
          </w:p>
        </w:tc>
        <w:tc>
          <w:tcPr>
            <w:tcW w:w="1946" w:type="dxa"/>
            <w:tcBorders>
              <w:top w:val="single" w:sz="4" w:space="0" w:color="auto"/>
              <w:left w:val="single" w:sz="4" w:space="0" w:color="auto"/>
              <w:bottom w:val="single" w:sz="4" w:space="0" w:color="auto"/>
              <w:right w:val="single" w:sz="4" w:space="0" w:color="auto"/>
            </w:tcBorders>
            <w:hideMark/>
          </w:tcPr>
          <w:p w14:paraId="33D4B096" w14:textId="77777777" w:rsidR="009F0744" w:rsidRPr="00996727" w:rsidRDefault="009F0744" w:rsidP="009F0744">
            <w:pPr>
              <w:jc w:val="center"/>
              <w:rPr>
                <w:rFonts w:cstheme="minorHAnsi"/>
              </w:rPr>
            </w:pPr>
            <w:r w:rsidRPr="00996727">
              <w:rPr>
                <w:rFonts w:cstheme="minorHAnsi"/>
              </w:rPr>
              <w:t>0.313</w:t>
            </w:r>
          </w:p>
        </w:tc>
        <w:tc>
          <w:tcPr>
            <w:tcW w:w="1868" w:type="dxa"/>
            <w:vMerge/>
            <w:tcBorders>
              <w:left w:val="single" w:sz="4" w:space="0" w:color="auto"/>
              <w:right w:val="single" w:sz="4" w:space="0" w:color="auto"/>
            </w:tcBorders>
            <w:shd w:val="clear" w:color="auto" w:fill="auto"/>
          </w:tcPr>
          <w:p w14:paraId="28042749" w14:textId="77777777" w:rsidR="009F0744" w:rsidRPr="00996727" w:rsidRDefault="009F0744" w:rsidP="009F0744">
            <w:pPr>
              <w:jc w:val="center"/>
              <w:rPr>
                <w:rFonts w:cstheme="minorHAnsi"/>
              </w:rPr>
            </w:pPr>
          </w:p>
        </w:tc>
      </w:tr>
      <w:tr w:rsidR="009F0744" w:rsidRPr="00996727" w14:paraId="05D9F6A8" w14:textId="4263D823" w:rsidTr="009F0744">
        <w:trPr>
          <w:trHeight w:val="297"/>
          <w:jc w:val="center"/>
        </w:trPr>
        <w:tc>
          <w:tcPr>
            <w:tcW w:w="1664" w:type="dxa"/>
            <w:tcBorders>
              <w:top w:val="single" w:sz="4" w:space="0" w:color="auto"/>
              <w:left w:val="single" w:sz="4" w:space="0" w:color="auto"/>
              <w:bottom w:val="single" w:sz="4" w:space="0" w:color="auto"/>
              <w:right w:val="single" w:sz="4" w:space="0" w:color="auto"/>
            </w:tcBorders>
            <w:hideMark/>
          </w:tcPr>
          <w:p w14:paraId="3CEAE756" w14:textId="77777777" w:rsidR="009F0744" w:rsidRPr="00996727" w:rsidRDefault="009F0744" w:rsidP="009F0744">
            <w:pPr>
              <w:jc w:val="center"/>
              <w:rPr>
                <w:rFonts w:cstheme="minorHAnsi"/>
              </w:rPr>
            </w:pPr>
            <w:r w:rsidRPr="00996727">
              <w:rPr>
                <w:rFonts w:cstheme="minorHAnsi"/>
              </w:rPr>
              <w:t>5</w:t>
            </w:r>
          </w:p>
        </w:tc>
        <w:tc>
          <w:tcPr>
            <w:tcW w:w="3872" w:type="dxa"/>
            <w:tcBorders>
              <w:top w:val="single" w:sz="4" w:space="0" w:color="auto"/>
              <w:left w:val="single" w:sz="4" w:space="0" w:color="auto"/>
              <w:bottom w:val="single" w:sz="4" w:space="0" w:color="auto"/>
              <w:right w:val="single" w:sz="4" w:space="0" w:color="auto"/>
            </w:tcBorders>
            <w:hideMark/>
          </w:tcPr>
          <w:p w14:paraId="1AB9A6A9" w14:textId="77777777" w:rsidR="009F0744" w:rsidRPr="00996727" w:rsidRDefault="009F0744" w:rsidP="009F0744">
            <w:pPr>
              <w:jc w:val="center"/>
              <w:rPr>
                <w:rFonts w:cstheme="minorHAnsi"/>
              </w:rPr>
            </w:pPr>
            <w:r w:rsidRPr="00996727">
              <w:rPr>
                <w:rFonts w:cstheme="minorHAnsi"/>
              </w:rPr>
              <w:t>Shoot dry weight</w:t>
            </w:r>
          </w:p>
        </w:tc>
        <w:tc>
          <w:tcPr>
            <w:tcW w:w="1946" w:type="dxa"/>
            <w:tcBorders>
              <w:top w:val="single" w:sz="4" w:space="0" w:color="auto"/>
              <w:left w:val="single" w:sz="4" w:space="0" w:color="auto"/>
              <w:bottom w:val="single" w:sz="4" w:space="0" w:color="auto"/>
              <w:right w:val="single" w:sz="4" w:space="0" w:color="auto"/>
            </w:tcBorders>
            <w:hideMark/>
          </w:tcPr>
          <w:p w14:paraId="5F3B6D38" w14:textId="77777777" w:rsidR="009F0744" w:rsidRPr="00996727" w:rsidRDefault="009F0744" w:rsidP="009F0744">
            <w:pPr>
              <w:jc w:val="center"/>
              <w:rPr>
                <w:rFonts w:cstheme="minorHAnsi"/>
              </w:rPr>
            </w:pPr>
            <w:r w:rsidRPr="00996727">
              <w:rPr>
                <w:rFonts w:cstheme="minorHAnsi"/>
              </w:rPr>
              <w:t>0.403</w:t>
            </w:r>
          </w:p>
        </w:tc>
        <w:tc>
          <w:tcPr>
            <w:tcW w:w="1868" w:type="dxa"/>
            <w:vMerge/>
            <w:tcBorders>
              <w:left w:val="single" w:sz="4" w:space="0" w:color="auto"/>
              <w:right w:val="single" w:sz="4" w:space="0" w:color="auto"/>
            </w:tcBorders>
            <w:shd w:val="clear" w:color="auto" w:fill="auto"/>
          </w:tcPr>
          <w:p w14:paraId="0B678E89" w14:textId="77777777" w:rsidR="009F0744" w:rsidRPr="00996727" w:rsidRDefault="009F0744" w:rsidP="009F0744">
            <w:pPr>
              <w:jc w:val="center"/>
              <w:rPr>
                <w:rFonts w:cstheme="minorHAnsi"/>
              </w:rPr>
            </w:pPr>
          </w:p>
        </w:tc>
      </w:tr>
      <w:tr w:rsidR="009F0744" w:rsidRPr="00996727" w14:paraId="52023C0C" w14:textId="1ED3CCC0" w:rsidTr="009F0744">
        <w:trPr>
          <w:trHeight w:val="297"/>
          <w:jc w:val="center"/>
        </w:trPr>
        <w:tc>
          <w:tcPr>
            <w:tcW w:w="1664" w:type="dxa"/>
            <w:tcBorders>
              <w:top w:val="single" w:sz="4" w:space="0" w:color="auto"/>
              <w:left w:val="single" w:sz="4" w:space="0" w:color="auto"/>
              <w:bottom w:val="single" w:sz="4" w:space="0" w:color="auto"/>
              <w:right w:val="single" w:sz="4" w:space="0" w:color="auto"/>
            </w:tcBorders>
            <w:hideMark/>
          </w:tcPr>
          <w:p w14:paraId="15D8416F" w14:textId="77777777" w:rsidR="009F0744" w:rsidRPr="00996727" w:rsidRDefault="009F0744" w:rsidP="009F0744">
            <w:pPr>
              <w:jc w:val="center"/>
              <w:rPr>
                <w:rFonts w:cstheme="minorHAnsi"/>
              </w:rPr>
            </w:pPr>
            <w:r w:rsidRPr="00996727">
              <w:rPr>
                <w:rFonts w:cstheme="minorHAnsi"/>
              </w:rPr>
              <w:t>6</w:t>
            </w:r>
          </w:p>
        </w:tc>
        <w:tc>
          <w:tcPr>
            <w:tcW w:w="3872" w:type="dxa"/>
            <w:tcBorders>
              <w:top w:val="single" w:sz="4" w:space="0" w:color="auto"/>
              <w:left w:val="single" w:sz="4" w:space="0" w:color="auto"/>
              <w:bottom w:val="single" w:sz="4" w:space="0" w:color="auto"/>
              <w:right w:val="single" w:sz="4" w:space="0" w:color="auto"/>
            </w:tcBorders>
            <w:hideMark/>
          </w:tcPr>
          <w:p w14:paraId="2452EDDB" w14:textId="77777777" w:rsidR="009F0744" w:rsidRPr="00996727" w:rsidRDefault="009F0744" w:rsidP="009F0744">
            <w:pPr>
              <w:jc w:val="center"/>
              <w:rPr>
                <w:rFonts w:cstheme="minorHAnsi"/>
              </w:rPr>
            </w:pPr>
            <w:r w:rsidRPr="00996727">
              <w:rPr>
                <w:rFonts w:cstheme="minorHAnsi"/>
              </w:rPr>
              <w:t>Root dry weight</w:t>
            </w:r>
          </w:p>
        </w:tc>
        <w:tc>
          <w:tcPr>
            <w:tcW w:w="1946" w:type="dxa"/>
            <w:tcBorders>
              <w:top w:val="single" w:sz="4" w:space="0" w:color="auto"/>
              <w:left w:val="single" w:sz="4" w:space="0" w:color="auto"/>
              <w:bottom w:val="single" w:sz="4" w:space="0" w:color="auto"/>
              <w:right w:val="single" w:sz="4" w:space="0" w:color="auto"/>
            </w:tcBorders>
            <w:hideMark/>
          </w:tcPr>
          <w:p w14:paraId="1C7BBCAF" w14:textId="77777777" w:rsidR="009F0744" w:rsidRPr="00996727" w:rsidRDefault="009F0744" w:rsidP="009F0744">
            <w:pPr>
              <w:keepNext/>
              <w:jc w:val="center"/>
              <w:rPr>
                <w:rFonts w:cstheme="minorHAnsi"/>
              </w:rPr>
            </w:pPr>
            <w:r w:rsidRPr="00996727">
              <w:rPr>
                <w:rFonts w:cstheme="minorHAnsi"/>
              </w:rPr>
              <w:t>0.644</w:t>
            </w:r>
          </w:p>
        </w:tc>
        <w:tc>
          <w:tcPr>
            <w:tcW w:w="1868" w:type="dxa"/>
            <w:vMerge/>
            <w:tcBorders>
              <w:left w:val="single" w:sz="4" w:space="0" w:color="auto"/>
              <w:bottom w:val="single" w:sz="4" w:space="0" w:color="auto"/>
              <w:right w:val="single" w:sz="4" w:space="0" w:color="auto"/>
            </w:tcBorders>
            <w:shd w:val="clear" w:color="auto" w:fill="auto"/>
          </w:tcPr>
          <w:p w14:paraId="3E62B752" w14:textId="77777777" w:rsidR="009F0744" w:rsidRPr="00996727" w:rsidRDefault="009F0744" w:rsidP="009F0744">
            <w:pPr>
              <w:keepNext/>
              <w:jc w:val="center"/>
              <w:rPr>
                <w:rFonts w:cstheme="minorHAnsi"/>
              </w:rPr>
            </w:pPr>
          </w:p>
        </w:tc>
      </w:tr>
    </w:tbl>
    <w:p w14:paraId="7CCB6E95" w14:textId="77777777" w:rsidR="003078D1" w:rsidRPr="00996727" w:rsidRDefault="003078D1" w:rsidP="009F0744">
      <w:pPr>
        <w:pStyle w:val="Caption"/>
        <w:spacing w:after="0"/>
        <w:rPr>
          <w:rFonts w:cstheme="minorHAnsi"/>
          <w:i w:val="0"/>
          <w:iCs w:val="0"/>
          <w:color w:val="auto"/>
          <w:sz w:val="22"/>
          <w:szCs w:val="22"/>
        </w:rPr>
      </w:pPr>
    </w:p>
    <w:p w14:paraId="544720ED" w14:textId="418EB479" w:rsidR="000F62EA" w:rsidRDefault="000F62EA" w:rsidP="009F0744">
      <w:pPr>
        <w:spacing w:after="0" w:line="240" w:lineRule="auto"/>
        <w:jc w:val="both"/>
        <w:rPr>
          <w:rFonts w:cstheme="minorHAnsi"/>
        </w:rPr>
      </w:pPr>
      <w:r>
        <w:rPr>
          <w:rFonts w:cstheme="minorHAnsi"/>
          <w:b/>
          <w:bCs/>
        </w:rPr>
        <w:t>Discussion.</w:t>
      </w:r>
      <w:r w:rsidR="003078D1" w:rsidRPr="00996727">
        <w:rPr>
          <w:rFonts w:cstheme="minorHAnsi"/>
        </w:rPr>
        <w:t xml:space="preserve"> From Table </w:t>
      </w:r>
      <w:r>
        <w:rPr>
          <w:rFonts w:cstheme="minorHAnsi"/>
        </w:rPr>
        <w:t>1</w:t>
      </w:r>
      <w:r w:rsidR="003078D1" w:rsidRPr="00996727">
        <w:rPr>
          <w:rFonts w:cstheme="minorHAnsi"/>
        </w:rPr>
        <w:t xml:space="preserve">, the P-value for the </w:t>
      </w:r>
      <w:r w:rsidR="003078D1" w:rsidRPr="00996727">
        <w:rPr>
          <w:rFonts w:cstheme="minorHAnsi"/>
        </w:rPr>
        <w:t>p</w:t>
      </w:r>
      <w:r w:rsidR="003078D1" w:rsidRPr="00996727">
        <w:rPr>
          <w:rFonts w:cstheme="minorHAnsi"/>
        </w:rPr>
        <w:t xml:space="preserve">lant height response variable was found to be less than the level of significance (5%). Therefore, it can be concluded that there exists at least one pair of pot types whose response values are significantly different. For posthoc analysis, </w:t>
      </w:r>
      <w:r>
        <w:rPr>
          <w:rFonts w:cstheme="minorHAnsi"/>
        </w:rPr>
        <w:t>t</w:t>
      </w:r>
      <w:r w:rsidR="003078D1" w:rsidRPr="00996727">
        <w:rPr>
          <w:rFonts w:cstheme="minorHAnsi"/>
        </w:rPr>
        <w:t>he Tukey pairwise comparison result is</w:t>
      </w:r>
      <w:r w:rsidR="009F0744">
        <w:rPr>
          <w:rFonts w:cstheme="minorHAnsi"/>
        </w:rPr>
        <w:t xml:space="preserve"> also</w:t>
      </w:r>
      <w:r w:rsidR="003078D1" w:rsidRPr="00996727">
        <w:rPr>
          <w:rFonts w:cstheme="minorHAnsi"/>
        </w:rPr>
        <w:t xml:space="preserve"> shown in Table </w:t>
      </w:r>
      <w:r w:rsidR="009F0744">
        <w:rPr>
          <w:rFonts w:cstheme="minorHAnsi"/>
        </w:rPr>
        <w:t>1</w:t>
      </w:r>
      <w:r w:rsidR="003078D1" w:rsidRPr="00996727">
        <w:rPr>
          <w:rFonts w:cstheme="minorHAnsi"/>
        </w:rPr>
        <w:t xml:space="preserve">. </w:t>
      </w:r>
      <w:r w:rsidR="009F0744">
        <w:rPr>
          <w:rFonts w:cstheme="minorHAnsi"/>
        </w:rPr>
        <w:t>From the Turkey pairwise comparison, i</w:t>
      </w:r>
      <w:r w:rsidRPr="00996727">
        <w:rPr>
          <w:rFonts w:cstheme="minorHAnsi"/>
        </w:rPr>
        <w:t>t can be concluded that Formulation 1  (Group A only) significantly outperforms SelfEco (Group B only) in terms of plant height measurement. Formulation 1 has a mean Zinnia plant height of 78.50 cm, whereas SelfEco pots have a mean Zinnia plant height of only 64 cm. In contrast, the rest of the measures were found to be insignificantly indicated by the results that showed that F</w:t>
      </w:r>
      <w:r>
        <w:rPr>
          <w:rFonts w:cstheme="minorHAnsi"/>
        </w:rPr>
        <w:t xml:space="preserve">ormulation </w:t>
      </w:r>
      <w:r w:rsidRPr="00996727">
        <w:rPr>
          <w:rFonts w:cstheme="minorHAnsi"/>
        </w:rPr>
        <w:t xml:space="preserve">2 and Plastic pots belong to Group A and B. </w:t>
      </w:r>
    </w:p>
    <w:p w14:paraId="31B95DBE" w14:textId="77777777" w:rsidR="009F0744" w:rsidRPr="009F0744" w:rsidRDefault="009F0744" w:rsidP="009F0744">
      <w:pPr>
        <w:spacing w:after="0" w:line="240" w:lineRule="auto"/>
        <w:jc w:val="both"/>
        <w:rPr>
          <w:rFonts w:cstheme="minorHAnsi"/>
          <w:b/>
          <w:sz w:val="24"/>
        </w:rPr>
      </w:pPr>
    </w:p>
    <w:p w14:paraId="72493F66" w14:textId="12705F53" w:rsidR="003F339D" w:rsidRPr="009F0744" w:rsidRDefault="003F339D" w:rsidP="009F0744">
      <w:pPr>
        <w:pStyle w:val="Heading2"/>
        <w:spacing w:before="0" w:line="240" w:lineRule="auto"/>
        <w:rPr>
          <w:b/>
          <w:sz w:val="24"/>
          <w:szCs w:val="22"/>
        </w:rPr>
      </w:pPr>
      <w:r w:rsidRPr="009F0744">
        <w:rPr>
          <w:b/>
          <w:sz w:val="24"/>
          <w:szCs w:val="22"/>
        </w:rPr>
        <w:t xml:space="preserve">3.2 Root Circling </w:t>
      </w:r>
      <w:r w:rsidR="003078D1" w:rsidRPr="009F0744">
        <w:rPr>
          <w:b/>
          <w:sz w:val="24"/>
          <w:szCs w:val="22"/>
        </w:rPr>
        <w:t>Assessment</w:t>
      </w:r>
    </w:p>
    <w:p w14:paraId="593183CA" w14:textId="40554EE8" w:rsidR="003078D1" w:rsidRDefault="003078D1" w:rsidP="009F0744">
      <w:pPr>
        <w:spacing w:after="0" w:line="240" w:lineRule="auto"/>
        <w:jc w:val="both"/>
        <w:rPr>
          <w:rFonts w:cstheme="minorHAnsi"/>
        </w:rPr>
      </w:pPr>
      <w:r w:rsidRPr="00996727">
        <w:rPr>
          <w:rFonts w:cstheme="minorHAnsi"/>
        </w:rPr>
        <w:t xml:space="preserve">From the visual analysis of plant roots, it can be summarized that the root circling condition was prevalent for root-bound plants. Particularly for the case of Sheyenne Tomato and French Marigold, irrespective of the pot type used for plantation, the root circling condition was observed. But the roots taken from </w:t>
      </w:r>
      <w:r w:rsidRPr="00996727">
        <w:rPr>
          <w:rFonts w:cstheme="minorHAnsi"/>
        </w:rPr>
        <w:lastRenderedPageBreak/>
        <w:t xml:space="preserve">bioplastic pots tend to show less root circling than the roots taken from plastic pots. As evidence, the root circling condition for the Black Seeded Simpson and French Marigold plant is shown in Figure </w:t>
      </w:r>
      <w:r w:rsidRPr="00996727">
        <w:rPr>
          <w:rFonts w:cstheme="minorHAnsi"/>
        </w:rPr>
        <w:t>8</w:t>
      </w:r>
      <w:r w:rsidRPr="00996727">
        <w:rPr>
          <w:rFonts w:cstheme="minorHAnsi"/>
        </w:rPr>
        <w:t>. In summary, from the experimental outcomes, the proposed biobased formulations reduced root circling in addition to achieving biodegradability.</w:t>
      </w:r>
    </w:p>
    <w:p w14:paraId="23C0E151" w14:textId="77777777" w:rsidR="000F62EA" w:rsidRPr="00996727" w:rsidRDefault="000F62EA" w:rsidP="009F0744">
      <w:pPr>
        <w:spacing w:after="0" w:line="240" w:lineRule="auto"/>
        <w:jc w:val="both"/>
        <w:rPr>
          <w:rFonts w:cstheme="minorHAnsi"/>
        </w:rPr>
      </w:pPr>
    </w:p>
    <w:p w14:paraId="5B99CD26" w14:textId="4304698D" w:rsidR="003078D1" w:rsidRPr="00996727" w:rsidRDefault="003078D1" w:rsidP="009F0744">
      <w:pPr>
        <w:spacing w:after="0" w:line="240" w:lineRule="auto"/>
        <w:jc w:val="center"/>
        <w:rPr>
          <w:rFonts w:cstheme="minorHAnsi"/>
          <w:noProof/>
        </w:rPr>
      </w:pPr>
      <w:r w:rsidRPr="00996727">
        <w:rPr>
          <w:rFonts w:cstheme="minorHAnsi"/>
          <w:noProof/>
        </w:rPr>
        <w:drawing>
          <wp:inline distT="0" distB="0" distL="0" distR="0" wp14:anchorId="485DFFF7" wp14:editId="35649550">
            <wp:extent cx="5491480" cy="398834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6">
                      <a:extLst>
                        <a:ext uri="{28A0092B-C50C-407E-A947-70E740481C1C}">
                          <a14:useLocalDpi xmlns:a14="http://schemas.microsoft.com/office/drawing/2010/main" val="0"/>
                        </a:ext>
                      </a:extLst>
                    </a:blip>
                    <a:srcRect t="1" b="2258"/>
                    <a:stretch/>
                  </pic:blipFill>
                  <pic:spPr bwMode="auto">
                    <a:xfrm>
                      <a:off x="0" y="0"/>
                      <a:ext cx="5491480" cy="3988341"/>
                    </a:xfrm>
                    <a:prstGeom prst="rect">
                      <a:avLst/>
                    </a:prstGeom>
                    <a:noFill/>
                    <a:ln>
                      <a:noFill/>
                    </a:ln>
                    <a:extLst>
                      <a:ext uri="{53640926-AAD7-44D8-BBD7-CCE9431645EC}">
                        <a14:shadowObscured xmlns:a14="http://schemas.microsoft.com/office/drawing/2010/main"/>
                      </a:ext>
                    </a:extLst>
                  </pic:spPr>
                </pic:pic>
              </a:graphicData>
            </a:graphic>
          </wp:inline>
        </w:drawing>
      </w:r>
    </w:p>
    <w:p w14:paraId="366012CE" w14:textId="22DF8719" w:rsidR="003078D1" w:rsidRPr="00996727" w:rsidRDefault="003078D1" w:rsidP="009F0744">
      <w:pPr>
        <w:spacing w:after="0" w:line="240" w:lineRule="auto"/>
        <w:jc w:val="center"/>
        <w:rPr>
          <w:rFonts w:eastAsia="MS Mincho" w:cstheme="minorHAnsi"/>
          <w:bCs/>
        </w:rPr>
      </w:pPr>
      <w:r w:rsidRPr="00996727">
        <w:rPr>
          <w:rFonts w:cstheme="minorHAnsi"/>
          <w:bCs/>
        </w:rPr>
        <w:t xml:space="preserve">Figure </w:t>
      </w:r>
      <w:r w:rsidRPr="00996727">
        <w:rPr>
          <w:rFonts w:cstheme="minorHAnsi"/>
          <w:bCs/>
        </w:rPr>
        <w:t>8</w:t>
      </w:r>
      <w:r w:rsidRPr="00996727">
        <w:rPr>
          <w:rFonts w:cstheme="minorHAnsi"/>
          <w:bCs/>
        </w:rPr>
        <w:t>. Root Circling Observation for Black Seeded Simpson and Marigold</w:t>
      </w:r>
    </w:p>
    <w:p w14:paraId="5B74839F" w14:textId="0C8F76E4" w:rsidR="003F339D" w:rsidRPr="00996727" w:rsidRDefault="003F339D" w:rsidP="009F0744">
      <w:pPr>
        <w:spacing w:after="0" w:line="240" w:lineRule="auto"/>
      </w:pPr>
    </w:p>
    <w:p w14:paraId="7D40C69D" w14:textId="6EC0EB76" w:rsidR="003F339D" w:rsidRPr="009F0744" w:rsidRDefault="003F339D" w:rsidP="009F0744">
      <w:pPr>
        <w:pStyle w:val="Heading2"/>
        <w:spacing w:before="0" w:line="240" w:lineRule="auto"/>
        <w:rPr>
          <w:b/>
          <w:sz w:val="24"/>
          <w:szCs w:val="22"/>
        </w:rPr>
      </w:pPr>
      <w:r w:rsidRPr="009F0744">
        <w:rPr>
          <w:b/>
          <w:sz w:val="24"/>
          <w:szCs w:val="22"/>
        </w:rPr>
        <w:t>3.3 Degradation Analysis</w:t>
      </w:r>
    </w:p>
    <w:p w14:paraId="2BAC33EE" w14:textId="3002AFF9" w:rsidR="00996727" w:rsidRDefault="003078D1" w:rsidP="009F0744">
      <w:pPr>
        <w:spacing w:after="0" w:line="240" w:lineRule="auto"/>
        <w:jc w:val="both"/>
        <w:rPr>
          <w:rFonts w:cstheme="minorHAnsi"/>
        </w:rPr>
      </w:pPr>
      <w:r w:rsidRPr="00996727">
        <w:rPr>
          <w:rFonts w:cstheme="minorHAnsi"/>
        </w:rPr>
        <w:t>After harvesting, all pots were cleaned and oven-dried for 24 hours at 100</w:t>
      </w:r>
      <w:r w:rsidRPr="00996727">
        <w:rPr>
          <w:rFonts w:cstheme="minorHAnsi"/>
          <w:vertAlign w:val="superscript"/>
        </w:rPr>
        <w:t>o</w:t>
      </w:r>
      <w:r w:rsidRPr="00996727">
        <w:rPr>
          <w:rFonts w:cstheme="minorHAnsi"/>
        </w:rPr>
        <w:t xml:space="preserve">C before conducting the degradation analysis. </w:t>
      </w:r>
      <w:r w:rsidR="009F0744">
        <w:rPr>
          <w:rFonts w:cstheme="minorHAnsi"/>
        </w:rPr>
        <w:t>W</w:t>
      </w:r>
      <w:r w:rsidRPr="00996727">
        <w:rPr>
          <w:rFonts w:cstheme="minorHAnsi"/>
        </w:rPr>
        <w:t>eight loss (%) was measured using Eq. (1)</w:t>
      </w:r>
      <w:r w:rsidR="009F0744">
        <w:rPr>
          <w:rFonts w:cstheme="minorHAnsi"/>
        </w:rPr>
        <w:t>,</w:t>
      </w:r>
      <w:r w:rsidRPr="00996727">
        <w:rPr>
          <w:rFonts w:cstheme="minorHAnsi"/>
        </w:rPr>
        <w:t xml:space="preserve"> same with the trial experiments.</w:t>
      </w:r>
      <w:r w:rsidR="00F26D7B">
        <w:rPr>
          <w:rFonts w:cstheme="minorHAnsi"/>
        </w:rPr>
        <w:t xml:space="preserve"> </w:t>
      </w:r>
      <w:r w:rsidRPr="00996727">
        <w:rPr>
          <w:rFonts w:cstheme="minorHAnsi"/>
        </w:rPr>
        <w:t>From the calculation, the average weight loss (%) for SelfEco, Formulation 1, Formulation 2, and SelfEco pot is found to be 2.815%, 3.12%, and 5.64%, respectively. Formulation 2 pots had the highest decomposition rate, and the SelfEco pots had the lowest decomposition rate throughout the cultivation. The degradation rate of Formulation 2 was approximately two times of SelfEco pot degradation. In addition, the degradation rate of Formulation 1 was a</w:t>
      </w:r>
      <w:r w:rsidR="00F26D7B">
        <w:rPr>
          <w:rFonts w:cstheme="minorHAnsi"/>
        </w:rPr>
        <w:t>bout</w:t>
      </w:r>
      <w:r w:rsidRPr="00996727">
        <w:rPr>
          <w:rFonts w:cstheme="minorHAnsi"/>
        </w:rPr>
        <w:t xml:space="preserve"> 10% more than the degradation rate of SelfEco pots. In terms of plant health and degradability, the performance of both proposed formulations is superior to SelfEco</w:t>
      </w:r>
      <w:r w:rsidR="009F0744">
        <w:rPr>
          <w:rFonts w:cstheme="minorHAnsi"/>
        </w:rPr>
        <w:t xml:space="preserve"> </w:t>
      </w:r>
      <w:r w:rsidRPr="00996727">
        <w:rPr>
          <w:rFonts w:cstheme="minorHAnsi"/>
        </w:rPr>
        <w:t xml:space="preserve">pot.  </w:t>
      </w:r>
    </w:p>
    <w:p w14:paraId="1FC009DE" w14:textId="77777777" w:rsidR="000F62EA" w:rsidRPr="000F62EA" w:rsidRDefault="000F62EA" w:rsidP="009F0744">
      <w:pPr>
        <w:spacing w:after="0" w:line="240" w:lineRule="auto"/>
        <w:jc w:val="both"/>
        <w:rPr>
          <w:rFonts w:cstheme="minorHAnsi"/>
        </w:rPr>
      </w:pPr>
    </w:p>
    <w:p w14:paraId="78D17FC0" w14:textId="51EA7C37" w:rsidR="003F339D" w:rsidRPr="009F0744" w:rsidRDefault="003078D1" w:rsidP="009F0744">
      <w:pPr>
        <w:pStyle w:val="Heading2"/>
        <w:spacing w:before="0" w:line="240" w:lineRule="auto"/>
        <w:rPr>
          <w:b/>
          <w:sz w:val="24"/>
          <w:szCs w:val="22"/>
        </w:rPr>
      </w:pPr>
      <w:r w:rsidRPr="009F0744">
        <w:rPr>
          <w:b/>
          <w:sz w:val="24"/>
          <w:szCs w:val="22"/>
        </w:rPr>
        <w:t xml:space="preserve">3.4 TEA Analysis </w:t>
      </w:r>
    </w:p>
    <w:p w14:paraId="5F66C248" w14:textId="1AAE4AD2" w:rsidR="003078D1" w:rsidRDefault="003078D1" w:rsidP="009F0744">
      <w:pPr>
        <w:spacing w:after="0" w:line="240" w:lineRule="auto"/>
        <w:jc w:val="both"/>
        <w:rPr>
          <w:rFonts w:cstheme="minorHAnsi"/>
        </w:rPr>
      </w:pPr>
      <w:r w:rsidRPr="00996727">
        <w:rPr>
          <w:rFonts w:cstheme="minorHAnsi"/>
        </w:rPr>
        <w:t xml:space="preserve">A preliminary techno-economic analysis (TEA) was performed to compare the degradation rate, market price, and their ratio. The results for all four pots, which are plastic pots, SelfEco, Formulation 1, and Formulation 2, including the paper pots from the trial experiment, are </w:t>
      </w:r>
      <w:r w:rsidR="00F26D7B">
        <w:rPr>
          <w:rFonts w:cstheme="minorHAnsi"/>
        </w:rPr>
        <w:t xml:space="preserve">shown in </w:t>
      </w:r>
      <w:r w:rsidRPr="00996727">
        <w:rPr>
          <w:rFonts w:cstheme="minorHAnsi"/>
        </w:rPr>
        <w:t xml:space="preserve">Figure </w:t>
      </w:r>
      <w:r w:rsidR="00F26D7B">
        <w:rPr>
          <w:rFonts w:cstheme="minorHAnsi"/>
        </w:rPr>
        <w:t>9</w:t>
      </w:r>
      <w:r w:rsidRPr="00996727">
        <w:rPr>
          <w:rFonts w:cstheme="minorHAnsi"/>
        </w:rPr>
        <w:t>.</w:t>
      </w:r>
      <w:r w:rsidR="00F26D7B">
        <w:rPr>
          <w:rFonts w:cstheme="minorHAnsi"/>
        </w:rPr>
        <w:t xml:space="preserve"> </w:t>
      </w:r>
      <w:r w:rsidRPr="00996727">
        <w:rPr>
          <w:rFonts w:cstheme="minorHAnsi"/>
        </w:rPr>
        <w:t xml:space="preserve">The market price </w:t>
      </w:r>
      <w:r w:rsidR="00F26D7B">
        <w:rPr>
          <w:rFonts w:cstheme="minorHAnsi"/>
        </w:rPr>
        <w:t xml:space="preserve">for paper and plastic pots </w:t>
      </w:r>
      <w:r w:rsidRPr="00996727">
        <w:rPr>
          <w:rFonts w:cstheme="minorHAnsi"/>
        </w:rPr>
        <w:t>was based on the purchase</w:t>
      </w:r>
      <w:r w:rsidR="009F0744">
        <w:rPr>
          <w:rFonts w:cstheme="minorHAnsi"/>
        </w:rPr>
        <w:t>d</w:t>
      </w:r>
      <w:r w:rsidRPr="00996727">
        <w:rPr>
          <w:rFonts w:cstheme="minorHAnsi"/>
        </w:rPr>
        <w:t xml:space="preserve"> price during the project. The commercial or retail price </w:t>
      </w:r>
      <w:r w:rsidR="009F0744">
        <w:rPr>
          <w:rFonts w:cstheme="minorHAnsi"/>
        </w:rPr>
        <w:t>should</w:t>
      </w:r>
      <w:r w:rsidRPr="00996727">
        <w:rPr>
          <w:rFonts w:cstheme="minorHAnsi"/>
        </w:rPr>
        <w:t xml:space="preserve"> be much economical. Because there is no price tag for the new formulations</w:t>
      </w:r>
      <w:r w:rsidR="009F0744">
        <w:rPr>
          <w:rFonts w:cstheme="minorHAnsi"/>
        </w:rPr>
        <w:t xml:space="preserve"> pots</w:t>
      </w:r>
      <w:r w:rsidRPr="00996727">
        <w:rPr>
          <w:rFonts w:cstheme="minorHAnsi"/>
        </w:rPr>
        <w:t xml:space="preserve">, it was </w:t>
      </w:r>
      <w:r w:rsidRPr="00996727">
        <w:rPr>
          <w:rFonts w:cstheme="minorHAnsi"/>
        </w:rPr>
        <w:lastRenderedPageBreak/>
        <w:t xml:space="preserve">assumed to follow the SelfEco pots market price. The estimated market price for the new formulation may need additional analysis because the production processes have not been streamlined at this stage of development. </w:t>
      </w:r>
    </w:p>
    <w:p w14:paraId="75FE6B6C" w14:textId="77777777" w:rsidR="00F26D7B" w:rsidRPr="00996727" w:rsidRDefault="00F26D7B" w:rsidP="009F0744">
      <w:pPr>
        <w:spacing w:after="0" w:line="240" w:lineRule="auto"/>
        <w:jc w:val="both"/>
        <w:rPr>
          <w:rFonts w:cstheme="minorHAnsi"/>
        </w:rPr>
      </w:pPr>
    </w:p>
    <w:p w14:paraId="043833CE" w14:textId="6262D088" w:rsidR="003078D1" w:rsidRPr="00996727" w:rsidRDefault="003078D1" w:rsidP="009F0744">
      <w:pPr>
        <w:spacing w:after="0" w:line="240" w:lineRule="auto"/>
        <w:rPr>
          <w:rFonts w:cstheme="minorHAnsi"/>
        </w:rPr>
      </w:pPr>
      <w:r w:rsidRPr="00996727">
        <w:rPr>
          <w:rFonts w:cstheme="minorHAnsi"/>
          <w:noProof/>
        </w:rPr>
        <w:drawing>
          <wp:inline distT="0" distB="0" distL="0" distR="0" wp14:anchorId="0F864F15" wp14:editId="6EE500F6">
            <wp:extent cx="5943600" cy="2164715"/>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2164715"/>
                    </a:xfrm>
                    <a:prstGeom prst="rect">
                      <a:avLst/>
                    </a:prstGeom>
                    <a:noFill/>
                    <a:ln>
                      <a:noFill/>
                    </a:ln>
                  </pic:spPr>
                </pic:pic>
              </a:graphicData>
            </a:graphic>
          </wp:inline>
        </w:drawing>
      </w:r>
    </w:p>
    <w:p w14:paraId="7B280BAC" w14:textId="5FD89C7B" w:rsidR="003078D1" w:rsidRPr="00194ADA" w:rsidRDefault="003078D1" w:rsidP="009F0744">
      <w:pPr>
        <w:spacing w:after="0" w:line="240" w:lineRule="auto"/>
        <w:jc w:val="center"/>
        <w:rPr>
          <w:rFonts w:cstheme="minorHAnsi"/>
          <w:bCs/>
        </w:rPr>
      </w:pPr>
      <w:r w:rsidRPr="00194ADA">
        <w:rPr>
          <w:rFonts w:cstheme="minorHAnsi"/>
          <w:bCs/>
        </w:rPr>
        <w:t xml:space="preserve">Figure </w:t>
      </w:r>
      <w:r w:rsidR="00F26D7B" w:rsidRPr="00194ADA">
        <w:rPr>
          <w:rFonts w:cstheme="minorHAnsi"/>
          <w:bCs/>
        </w:rPr>
        <w:t>9</w:t>
      </w:r>
      <w:r w:rsidRPr="00194ADA">
        <w:rPr>
          <w:rFonts w:cstheme="minorHAnsi"/>
          <w:bCs/>
        </w:rPr>
        <w:t>. Comparison of degradation rate, market price, and the ratio of the five pots studied</w:t>
      </w:r>
    </w:p>
    <w:p w14:paraId="4A642680" w14:textId="77777777" w:rsidR="00996727" w:rsidRDefault="00996727" w:rsidP="009F0744">
      <w:pPr>
        <w:spacing w:after="0" w:line="240" w:lineRule="auto"/>
        <w:jc w:val="both"/>
        <w:rPr>
          <w:rFonts w:cstheme="minorHAnsi"/>
          <w:b/>
          <w:bCs/>
        </w:rPr>
      </w:pPr>
    </w:p>
    <w:p w14:paraId="0C77DF7D" w14:textId="1F723D95" w:rsidR="00996727" w:rsidRDefault="003078D1" w:rsidP="009F0744">
      <w:pPr>
        <w:spacing w:after="0" w:line="240" w:lineRule="auto"/>
        <w:jc w:val="both"/>
        <w:rPr>
          <w:rFonts w:cstheme="minorHAnsi"/>
        </w:rPr>
      </w:pPr>
      <w:r w:rsidRPr="00996727">
        <w:rPr>
          <w:rFonts w:cstheme="minorHAnsi"/>
        </w:rPr>
        <w:t>From the TEA analysis, it was found that Formulation 2 (F2) is superior in terms of degradation rate. However, plastic pots are still dominating the low-cost market price. Comparing the ratio between degr</w:t>
      </w:r>
      <w:r w:rsidR="009F0744">
        <w:rPr>
          <w:rFonts w:cstheme="minorHAnsi"/>
        </w:rPr>
        <w:t>ad</w:t>
      </w:r>
      <w:r w:rsidRPr="00996727">
        <w:rPr>
          <w:rFonts w:cstheme="minorHAnsi"/>
        </w:rPr>
        <w:t>ation rate and market price, paper pots are found to be the most favorable option for now. It should be noted that Formulation 2 pots can be the next potential alternative</w:t>
      </w:r>
      <w:r w:rsidR="009F0744">
        <w:rPr>
          <w:rFonts w:cstheme="minorHAnsi"/>
        </w:rPr>
        <w:t xml:space="preserve">, considering there is no additional disposal cost of waste and biobased pots promote better plant health. </w:t>
      </w:r>
    </w:p>
    <w:p w14:paraId="402DFBF9" w14:textId="77777777" w:rsidR="00F26D7B" w:rsidRPr="00F26D7B" w:rsidRDefault="00F26D7B" w:rsidP="009F0744">
      <w:pPr>
        <w:spacing w:after="0" w:line="240" w:lineRule="auto"/>
        <w:jc w:val="both"/>
        <w:rPr>
          <w:rFonts w:cstheme="minorHAnsi"/>
        </w:rPr>
      </w:pPr>
    </w:p>
    <w:p w14:paraId="243A9B4C" w14:textId="4AE9F564" w:rsidR="00E74DA0" w:rsidRPr="009F0744" w:rsidRDefault="00996727" w:rsidP="009F0744">
      <w:pPr>
        <w:pStyle w:val="Heading2"/>
        <w:spacing w:before="0" w:line="240" w:lineRule="auto"/>
        <w:rPr>
          <w:b/>
          <w:sz w:val="24"/>
          <w:szCs w:val="22"/>
        </w:rPr>
      </w:pPr>
      <w:r w:rsidRPr="009F0744">
        <w:rPr>
          <w:b/>
          <w:sz w:val="24"/>
          <w:szCs w:val="22"/>
        </w:rPr>
        <w:t xml:space="preserve">4. </w:t>
      </w:r>
      <w:r w:rsidR="00CB462F" w:rsidRPr="009F0744">
        <w:rPr>
          <w:b/>
          <w:sz w:val="24"/>
          <w:szCs w:val="22"/>
        </w:rPr>
        <w:t>Conclusions</w:t>
      </w:r>
    </w:p>
    <w:p w14:paraId="1F2D4B53" w14:textId="77777777" w:rsidR="00A12D7E" w:rsidRDefault="00E76E65" w:rsidP="00A12D7E">
      <w:pPr>
        <w:spacing w:after="0" w:line="240" w:lineRule="auto"/>
        <w:jc w:val="both"/>
        <w:rPr>
          <w:rFonts w:cstheme="minorHAnsi"/>
        </w:rPr>
      </w:pPr>
      <w:r w:rsidRPr="00EB2FBA">
        <w:rPr>
          <w:rFonts w:cstheme="minorHAnsi"/>
        </w:rPr>
        <w:t xml:space="preserve">Overall, the </w:t>
      </w:r>
      <w:r>
        <w:rPr>
          <w:rFonts w:cstheme="minorHAnsi"/>
        </w:rPr>
        <w:t>performance of soy-based pots F</w:t>
      </w:r>
      <w:r>
        <w:rPr>
          <w:rFonts w:cstheme="minorHAnsi"/>
        </w:rPr>
        <w:t xml:space="preserve">ormulation </w:t>
      </w:r>
      <w:r>
        <w:rPr>
          <w:rFonts w:cstheme="minorHAnsi"/>
        </w:rPr>
        <w:t>1 and F</w:t>
      </w:r>
      <w:r>
        <w:rPr>
          <w:rFonts w:cstheme="minorHAnsi"/>
        </w:rPr>
        <w:t xml:space="preserve">ormulation </w:t>
      </w:r>
      <w:r>
        <w:rPr>
          <w:rFonts w:cstheme="minorHAnsi"/>
        </w:rPr>
        <w:t>2</w:t>
      </w:r>
      <w:r w:rsidRPr="00EB2FBA">
        <w:rPr>
          <w:rFonts w:cstheme="minorHAnsi"/>
        </w:rPr>
        <w:t xml:space="preserve"> in terms of plant health and biodegradability</w:t>
      </w:r>
      <w:r>
        <w:rPr>
          <w:rFonts w:cstheme="minorHAnsi"/>
        </w:rPr>
        <w:t xml:space="preserve"> are found to be</w:t>
      </w:r>
      <w:r w:rsidRPr="00EB2FBA">
        <w:rPr>
          <w:rFonts w:cstheme="minorHAnsi"/>
        </w:rPr>
        <w:t xml:space="preserve"> better than</w:t>
      </w:r>
      <w:r>
        <w:rPr>
          <w:rFonts w:cstheme="minorHAnsi"/>
        </w:rPr>
        <w:t xml:space="preserve"> plastic and</w:t>
      </w:r>
      <w:r w:rsidRPr="00EB2FBA">
        <w:rPr>
          <w:rFonts w:cstheme="minorHAnsi"/>
        </w:rPr>
        <w:t xml:space="preserve"> SelfEco pots in several cases</w:t>
      </w:r>
      <w:r>
        <w:rPr>
          <w:rFonts w:cstheme="minorHAnsi"/>
        </w:rPr>
        <w:t>. On the other hand, t</w:t>
      </w:r>
      <w:r w:rsidR="00E74DA0" w:rsidRPr="00996727">
        <w:rPr>
          <w:rFonts w:cstheme="minorHAnsi"/>
        </w:rPr>
        <w:t xml:space="preserve">he plant growth measurement parameters for the new formulations were found not to be significantly different from the plant growth in the plastic pots. On the other hand, the biodegradability of the new pot formulations can be deemed as a unique characteristic </w:t>
      </w:r>
      <w:r w:rsidR="00905F1C" w:rsidRPr="00996727">
        <w:rPr>
          <w:rFonts w:cstheme="minorHAnsi"/>
        </w:rPr>
        <w:t>compared to</w:t>
      </w:r>
      <w:r w:rsidR="00E74DA0" w:rsidRPr="00996727">
        <w:rPr>
          <w:rFonts w:cstheme="minorHAnsi"/>
        </w:rPr>
        <w:t xml:space="preserve"> plastic pots. One last advantage of the proposed formulation is the proposed bioplastic-based formulation significantly reduced the root circling problem.</w:t>
      </w:r>
      <w:bookmarkStart w:id="3" w:name="_Toc90226590"/>
    </w:p>
    <w:p w14:paraId="11898815" w14:textId="77777777" w:rsidR="00A12D7E" w:rsidRDefault="00A12D7E" w:rsidP="00A12D7E">
      <w:pPr>
        <w:spacing w:after="0" w:line="240" w:lineRule="auto"/>
        <w:jc w:val="both"/>
        <w:rPr>
          <w:rFonts w:cstheme="minorHAnsi"/>
          <w:b/>
          <w:sz w:val="24"/>
        </w:rPr>
      </w:pPr>
    </w:p>
    <w:p w14:paraId="4A3D3516" w14:textId="27AF7789" w:rsidR="00E76E65" w:rsidRPr="00A12D7E" w:rsidRDefault="00E76E65" w:rsidP="00A12D7E">
      <w:pPr>
        <w:pStyle w:val="Heading2"/>
        <w:spacing w:before="0" w:line="240" w:lineRule="auto"/>
        <w:rPr>
          <w:b/>
          <w:sz w:val="24"/>
          <w:szCs w:val="22"/>
        </w:rPr>
      </w:pPr>
      <w:r w:rsidRPr="00A12D7E">
        <w:rPr>
          <w:b/>
          <w:sz w:val="24"/>
          <w:szCs w:val="22"/>
        </w:rPr>
        <w:t>Acknowledgments</w:t>
      </w:r>
      <w:bookmarkEnd w:id="3"/>
    </w:p>
    <w:p w14:paraId="292A5A2C" w14:textId="77777777" w:rsidR="00E76E65" w:rsidRDefault="00E76E65" w:rsidP="00E76E65">
      <w:pPr>
        <w:jc w:val="both"/>
        <w:rPr>
          <w:rFonts w:cstheme="minorHAnsi"/>
        </w:rPr>
      </w:pPr>
      <w:r>
        <w:rPr>
          <w:rFonts w:cstheme="minorHAnsi"/>
        </w:rPr>
        <w:t>This project is not possible with the help and supports from various groups and individuals from North Dakota Soy Council (NDSC), North Dakota State University (NDSU), C2Renew, SelfEco, NatureWorks, Carrington Research Extension Center, and NDSU Northern Crops Institute (NCI).</w:t>
      </w:r>
    </w:p>
    <w:p w14:paraId="650B84DD" w14:textId="77777777" w:rsidR="00E74DA0" w:rsidRPr="00996727" w:rsidRDefault="00E74DA0" w:rsidP="00996727">
      <w:pPr>
        <w:spacing w:after="0" w:line="240" w:lineRule="auto"/>
      </w:pPr>
      <w:bookmarkStart w:id="4" w:name="_GoBack"/>
      <w:bookmarkEnd w:id="4"/>
    </w:p>
    <w:sectPr w:rsidR="00E74DA0" w:rsidRPr="00996727">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905E69" w14:textId="77777777" w:rsidR="004821D9" w:rsidRDefault="004821D9" w:rsidP="00905F1C">
      <w:pPr>
        <w:spacing w:after="0" w:line="240" w:lineRule="auto"/>
      </w:pPr>
      <w:r>
        <w:separator/>
      </w:r>
    </w:p>
  </w:endnote>
  <w:endnote w:type="continuationSeparator" w:id="0">
    <w:p w14:paraId="2D841A77" w14:textId="77777777" w:rsidR="004821D9" w:rsidRDefault="004821D9" w:rsidP="00905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E98922" w14:textId="77777777" w:rsidR="00905F1C" w:rsidRDefault="00905F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7336634"/>
      <w:docPartObj>
        <w:docPartGallery w:val="Page Numbers (Bottom of Page)"/>
        <w:docPartUnique/>
      </w:docPartObj>
    </w:sdtPr>
    <w:sdtEndPr>
      <w:rPr>
        <w:noProof/>
      </w:rPr>
    </w:sdtEndPr>
    <w:sdtContent>
      <w:p w14:paraId="2F9E2425" w14:textId="77777777" w:rsidR="00905F1C" w:rsidRDefault="00905F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DD6CC4" w14:textId="77777777" w:rsidR="00905F1C" w:rsidRDefault="00905F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3CBDC" w14:textId="77777777" w:rsidR="00905F1C" w:rsidRDefault="00905F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202D65" w14:textId="77777777" w:rsidR="004821D9" w:rsidRDefault="004821D9" w:rsidP="00905F1C">
      <w:pPr>
        <w:spacing w:after="0" w:line="240" w:lineRule="auto"/>
      </w:pPr>
      <w:r>
        <w:separator/>
      </w:r>
    </w:p>
  </w:footnote>
  <w:footnote w:type="continuationSeparator" w:id="0">
    <w:p w14:paraId="143DF0E8" w14:textId="77777777" w:rsidR="004821D9" w:rsidRDefault="004821D9" w:rsidP="00905F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0AD98" w14:textId="77777777" w:rsidR="00905F1C" w:rsidRDefault="00905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1BE9CA" w14:textId="77777777" w:rsidR="00905F1C" w:rsidRDefault="00905F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BDAAA" w14:textId="77777777" w:rsidR="00905F1C" w:rsidRDefault="00905F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A1E23"/>
    <w:multiLevelType w:val="multilevel"/>
    <w:tmpl w:val="B91050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416483"/>
    <w:multiLevelType w:val="hybridMultilevel"/>
    <w:tmpl w:val="8106203A"/>
    <w:lvl w:ilvl="0" w:tplc="ECAE980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544DC3"/>
    <w:multiLevelType w:val="hybridMultilevel"/>
    <w:tmpl w:val="0FEAF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637B31"/>
    <w:multiLevelType w:val="multilevel"/>
    <w:tmpl w:val="93E08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A9B25AE"/>
    <w:multiLevelType w:val="hybridMultilevel"/>
    <w:tmpl w:val="3F4808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20719E"/>
    <w:multiLevelType w:val="hybridMultilevel"/>
    <w:tmpl w:val="FF88C4DC"/>
    <w:lvl w:ilvl="0" w:tplc="ECAE980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1D7FB5"/>
    <w:multiLevelType w:val="hybridMultilevel"/>
    <w:tmpl w:val="B66E4F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7456B33"/>
    <w:multiLevelType w:val="hybridMultilevel"/>
    <w:tmpl w:val="A8EE1D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lvlOverride w:ilvl="1"/>
    <w:lvlOverride w:ilvl="2"/>
    <w:lvlOverride w:ilvl="3"/>
    <w:lvlOverride w:ilvl="4"/>
    <w:lvlOverride w:ilvl="5"/>
    <w:lvlOverride w:ilvl="6"/>
    <w:lvlOverride w:ilvl="7"/>
    <w:lvlOverride w:ilvl="8"/>
  </w:num>
  <w:num w:numId="7">
    <w:abstractNumId w:val="7"/>
  </w:num>
  <w:num w:numId="8">
    <w:abstractNumId w:val="1"/>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EyNjGyNDY0szQ0NzdX0lEKTi0uzszPAykwqgUAX2PZuiwAAAA="/>
  </w:docVars>
  <w:rsids>
    <w:rsidRoot w:val="0045040B"/>
    <w:rsid w:val="00063FA1"/>
    <w:rsid w:val="00064E48"/>
    <w:rsid w:val="000943C9"/>
    <w:rsid w:val="00094B0D"/>
    <w:rsid w:val="000D1C55"/>
    <w:rsid w:val="000D7FE6"/>
    <w:rsid w:val="000F62EA"/>
    <w:rsid w:val="0017790B"/>
    <w:rsid w:val="00194ADA"/>
    <w:rsid w:val="001A12C2"/>
    <w:rsid w:val="0024454F"/>
    <w:rsid w:val="002612CB"/>
    <w:rsid w:val="003078D1"/>
    <w:rsid w:val="003A2C4F"/>
    <w:rsid w:val="003B4C5E"/>
    <w:rsid w:val="003F339D"/>
    <w:rsid w:val="0045040B"/>
    <w:rsid w:val="004821D9"/>
    <w:rsid w:val="004A03F3"/>
    <w:rsid w:val="004F3E94"/>
    <w:rsid w:val="00534435"/>
    <w:rsid w:val="005A059F"/>
    <w:rsid w:val="006662C6"/>
    <w:rsid w:val="00783801"/>
    <w:rsid w:val="007B667C"/>
    <w:rsid w:val="007C7D5B"/>
    <w:rsid w:val="007D57DB"/>
    <w:rsid w:val="0087144D"/>
    <w:rsid w:val="00892045"/>
    <w:rsid w:val="008B6656"/>
    <w:rsid w:val="008C2BF7"/>
    <w:rsid w:val="00905F1C"/>
    <w:rsid w:val="00927DEC"/>
    <w:rsid w:val="00937EF5"/>
    <w:rsid w:val="00972610"/>
    <w:rsid w:val="00996727"/>
    <w:rsid w:val="009F0744"/>
    <w:rsid w:val="00A12D7E"/>
    <w:rsid w:val="00A86AEE"/>
    <w:rsid w:val="00AA6658"/>
    <w:rsid w:val="00B27922"/>
    <w:rsid w:val="00BF7DE0"/>
    <w:rsid w:val="00C135F0"/>
    <w:rsid w:val="00C55686"/>
    <w:rsid w:val="00C85DBB"/>
    <w:rsid w:val="00CB462F"/>
    <w:rsid w:val="00CC5878"/>
    <w:rsid w:val="00D16EC0"/>
    <w:rsid w:val="00D4557C"/>
    <w:rsid w:val="00D55949"/>
    <w:rsid w:val="00D806F3"/>
    <w:rsid w:val="00D877DA"/>
    <w:rsid w:val="00DB1F53"/>
    <w:rsid w:val="00E43E82"/>
    <w:rsid w:val="00E74DA0"/>
    <w:rsid w:val="00E76E65"/>
    <w:rsid w:val="00EA70D1"/>
    <w:rsid w:val="00EA7DE1"/>
    <w:rsid w:val="00F26D7B"/>
    <w:rsid w:val="00FD7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CDEA4"/>
  <w15:chartTrackingRefBased/>
  <w15:docId w15:val="{DC32ABAE-C4A4-4F13-B924-F683A7446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CB46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A03F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05F1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5040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45040B"/>
    <w:rPr>
      <w:color w:val="0000FF"/>
      <w:u w:val="single"/>
    </w:rPr>
  </w:style>
  <w:style w:type="character" w:customStyle="1" w:styleId="Heading1Char">
    <w:name w:val="Heading 1 Char"/>
    <w:basedOn w:val="DefaultParagraphFont"/>
    <w:link w:val="Heading1"/>
    <w:uiPriority w:val="9"/>
    <w:rsid w:val="00CB462F"/>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4A03F3"/>
    <w:rPr>
      <w:rFonts w:asciiTheme="majorHAnsi" w:eastAsiaTheme="majorEastAsia" w:hAnsiTheme="majorHAnsi" w:cstheme="majorBidi"/>
      <w:color w:val="2F5496" w:themeColor="accent1" w:themeShade="BF"/>
      <w:sz w:val="26"/>
      <w:szCs w:val="26"/>
      <w:lang w:val="en-GB"/>
    </w:rPr>
  </w:style>
  <w:style w:type="paragraph" w:styleId="ListParagraph">
    <w:name w:val="List Paragraph"/>
    <w:basedOn w:val="Normal"/>
    <w:uiPriority w:val="34"/>
    <w:qFormat/>
    <w:rsid w:val="00B27922"/>
    <w:pPr>
      <w:ind w:left="720"/>
      <w:contextualSpacing/>
    </w:pPr>
  </w:style>
  <w:style w:type="paragraph" w:styleId="Header">
    <w:name w:val="header"/>
    <w:basedOn w:val="Normal"/>
    <w:link w:val="HeaderChar"/>
    <w:uiPriority w:val="99"/>
    <w:unhideWhenUsed/>
    <w:rsid w:val="00905F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F1C"/>
    <w:rPr>
      <w:lang w:val="en-GB"/>
    </w:rPr>
  </w:style>
  <w:style w:type="paragraph" w:styleId="Footer">
    <w:name w:val="footer"/>
    <w:basedOn w:val="Normal"/>
    <w:link w:val="FooterChar"/>
    <w:uiPriority w:val="99"/>
    <w:unhideWhenUsed/>
    <w:rsid w:val="00905F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5F1C"/>
    <w:rPr>
      <w:lang w:val="en-GB"/>
    </w:rPr>
  </w:style>
  <w:style w:type="character" w:customStyle="1" w:styleId="Heading3Char">
    <w:name w:val="Heading 3 Char"/>
    <w:basedOn w:val="DefaultParagraphFont"/>
    <w:link w:val="Heading3"/>
    <w:uiPriority w:val="9"/>
    <w:rsid w:val="00905F1C"/>
    <w:rPr>
      <w:rFonts w:asciiTheme="majorHAnsi" w:eastAsiaTheme="majorEastAsia" w:hAnsiTheme="majorHAnsi" w:cstheme="majorBidi"/>
      <w:color w:val="1F3763" w:themeColor="accent1" w:themeShade="7F"/>
      <w:sz w:val="24"/>
      <w:szCs w:val="24"/>
      <w:lang w:val="en-GB"/>
    </w:rPr>
  </w:style>
  <w:style w:type="paragraph" w:styleId="CommentText">
    <w:name w:val="annotation text"/>
    <w:basedOn w:val="Normal"/>
    <w:link w:val="CommentTextChar"/>
    <w:uiPriority w:val="99"/>
    <w:unhideWhenUsed/>
    <w:rsid w:val="00905F1C"/>
    <w:pPr>
      <w:spacing w:line="240" w:lineRule="auto"/>
    </w:pPr>
    <w:rPr>
      <w:sz w:val="20"/>
      <w:szCs w:val="20"/>
    </w:rPr>
  </w:style>
  <w:style w:type="character" w:customStyle="1" w:styleId="CommentTextChar">
    <w:name w:val="Comment Text Char"/>
    <w:basedOn w:val="DefaultParagraphFont"/>
    <w:link w:val="CommentText"/>
    <w:uiPriority w:val="99"/>
    <w:rsid w:val="00905F1C"/>
    <w:rPr>
      <w:sz w:val="20"/>
      <w:szCs w:val="20"/>
      <w:lang w:val="en-GB"/>
    </w:rPr>
  </w:style>
  <w:style w:type="character" w:styleId="CommentReference">
    <w:name w:val="annotation reference"/>
    <w:basedOn w:val="DefaultParagraphFont"/>
    <w:uiPriority w:val="99"/>
    <w:semiHidden/>
    <w:unhideWhenUsed/>
    <w:rsid w:val="00905F1C"/>
    <w:rPr>
      <w:sz w:val="16"/>
      <w:szCs w:val="16"/>
    </w:rPr>
  </w:style>
  <w:style w:type="paragraph" w:styleId="BalloonText">
    <w:name w:val="Balloon Text"/>
    <w:basedOn w:val="Normal"/>
    <w:link w:val="BalloonTextChar"/>
    <w:uiPriority w:val="99"/>
    <w:semiHidden/>
    <w:unhideWhenUsed/>
    <w:rsid w:val="00905F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5F1C"/>
    <w:rPr>
      <w:rFonts w:ascii="Segoe UI" w:hAnsi="Segoe UI" w:cs="Segoe UI"/>
      <w:sz w:val="18"/>
      <w:szCs w:val="18"/>
      <w:lang w:val="en-GB"/>
    </w:rPr>
  </w:style>
  <w:style w:type="paragraph" w:styleId="Caption">
    <w:name w:val="caption"/>
    <w:basedOn w:val="Normal"/>
    <w:next w:val="Normal"/>
    <w:uiPriority w:val="35"/>
    <w:unhideWhenUsed/>
    <w:qFormat/>
    <w:rsid w:val="00905F1C"/>
    <w:pPr>
      <w:spacing w:after="200" w:line="240" w:lineRule="auto"/>
    </w:pPr>
    <w:rPr>
      <w:i/>
      <w:iCs/>
      <w:color w:val="44546A" w:themeColor="text2"/>
      <w:sz w:val="18"/>
      <w:szCs w:val="18"/>
    </w:rPr>
  </w:style>
  <w:style w:type="paragraph" w:styleId="BodyText">
    <w:name w:val="Body Text"/>
    <w:basedOn w:val="Normal"/>
    <w:link w:val="BodyTextChar"/>
    <w:uiPriority w:val="99"/>
    <w:semiHidden/>
    <w:unhideWhenUsed/>
    <w:rsid w:val="00905F1C"/>
    <w:pPr>
      <w:spacing w:after="0" w:line="240" w:lineRule="auto"/>
      <w:jc w:val="center"/>
    </w:pPr>
    <w:rPr>
      <w:rFonts w:ascii="Times New Roman" w:hAnsi="Times New Roman" w:cs="Times New Roman"/>
      <w:sz w:val="24"/>
      <w:szCs w:val="24"/>
      <w:lang w:val="en-US"/>
    </w:rPr>
  </w:style>
  <w:style w:type="character" w:customStyle="1" w:styleId="BodyTextChar">
    <w:name w:val="Body Text Char"/>
    <w:basedOn w:val="DefaultParagraphFont"/>
    <w:link w:val="BodyText"/>
    <w:uiPriority w:val="99"/>
    <w:semiHidden/>
    <w:rsid w:val="00905F1C"/>
    <w:rPr>
      <w:rFonts w:ascii="Times New Roman" w:hAnsi="Times New Roman" w:cs="Times New Roman"/>
      <w:sz w:val="24"/>
      <w:szCs w:val="24"/>
    </w:rPr>
  </w:style>
  <w:style w:type="table" w:styleId="TableGrid">
    <w:name w:val="Table Grid"/>
    <w:basedOn w:val="TableNormal"/>
    <w:uiPriority w:val="39"/>
    <w:rsid w:val="003078D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56581">
      <w:bodyDiv w:val="1"/>
      <w:marLeft w:val="0"/>
      <w:marRight w:val="0"/>
      <w:marTop w:val="0"/>
      <w:marBottom w:val="0"/>
      <w:divBdr>
        <w:top w:val="none" w:sz="0" w:space="0" w:color="auto"/>
        <w:left w:val="none" w:sz="0" w:space="0" w:color="auto"/>
        <w:bottom w:val="none" w:sz="0" w:space="0" w:color="auto"/>
        <w:right w:val="none" w:sz="0" w:space="0" w:color="auto"/>
      </w:divBdr>
    </w:div>
    <w:div w:id="393551730">
      <w:bodyDiv w:val="1"/>
      <w:marLeft w:val="0"/>
      <w:marRight w:val="0"/>
      <w:marTop w:val="0"/>
      <w:marBottom w:val="0"/>
      <w:divBdr>
        <w:top w:val="none" w:sz="0" w:space="0" w:color="auto"/>
        <w:left w:val="none" w:sz="0" w:space="0" w:color="auto"/>
        <w:bottom w:val="none" w:sz="0" w:space="0" w:color="auto"/>
        <w:right w:val="none" w:sz="0" w:space="0" w:color="auto"/>
      </w:divBdr>
    </w:div>
    <w:div w:id="403602159">
      <w:bodyDiv w:val="1"/>
      <w:marLeft w:val="0"/>
      <w:marRight w:val="0"/>
      <w:marTop w:val="0"/>
      <w:marBottom w:val="0"/>
      <w:divBdr>
        <w:top w:val="none" w:sz="0" w:space="0" w:color="auto"/>
        <w:left w:val="none" w:sz="0" w:space="0" w:color="auto"/>
        <w:bottom w:val="none" w:sz="0" w:space="0" w:color="auto"/>
        <w:right w:val="none" w:sz="0" w:space="0" w:color="auto"/>
      </w:divBdr>
    </w:div>
    <w:div w:id="409890067">
      <w:bodyDiv w:val="1"/>
      <w:marLeft w:val="0"/>
      <w:marRight w:val="0"/>
      <w:marTop w:val="0"/>
      <w:marBottom w:val="0"/>
      <w:divBdr>
        <w:top w:val="none" w:sz="0" w:space="0" w:color="auto"/>
        <w:left w:val="none" w:sz="0" w:space="0" w:color="auto"/>
        <w:bottom w:val="none" w:sz="0" w:space="0" w:color="auto"/>
        <w:right w:val="none" w:sz="0" w:space="0" w:color="auto"/>
      </w:divBdr>
    </w:div>
    <w:div w:id="450513130">
      <w:bodyDiv w:val="1"/>
      <w:marLeft w:val="0"/>
      <w:marRight w:val="0"/>
      <w:marTop w:val="0"/>
      <w:marBottom w:val="0"/>
      <w:divBdr>
        <w:top w:val="none" w:sz="0" w:space="0" w:color="auto"/>
        <w:left w:val="none" w:sz="0" w:space="0" w:color="auto"/>
        <w:bottom w:val="none" w:sz="0" w:space="0" w:color="auto"/>
        <w:right w:val="none" w:sz="0" w:space="0" w:color="auto"/>
      </w:divBdr>
    </w:div>
    <w:div w:id="649753191">
      <w:bodyDiv w:val="1"/>
      <w:marLeft w:val="0"/>
      <w:marRight w:val="0"/>
      <w:marTop w:val="0"/>
      <w:marBottom w:val="0"/>
      <w:divBdr>
        <w:top w:val="none" w:sz="0" w:space="0" w:color="auto"/>
        <w:left w:val="none" w:sz="0" w:space="0" w:color="auto"/>
        <w:bottom w:val="none" w:sz="0" w:space="0" w:color="auto"/>
        <w:right w:val="none" w:sz="0" w:space="0" w:color="auto"/>
      </w:divBdr>
    </w:div>
    <w:div w:id="757562169">
      <w:bodyDiv w:val="1"/>
      <w:marLeft w:val="0"/>
      <w:marRight w:val="0"/>
      <w:marTop w:val="0"/>
      <w:marBottom w:val="0"/>
      <w:divBdr>
        <w:top w:val="none" w:sz="0" w:space="0" w:color="auto"/>
        <w:left w:val="none" w:sz="0" w:space="0" w:color="auto"/>
        <w:bottom w:val="none" w:sz="0" w:space="0" w:color="auto"/>
        <w:right w:val="none" w:sz="0" w:space="0" w:color="auto"/>
      </w:divBdr>
      <w:divsChild>
        <w:div w:id="164981635">
          <w:marLeft w:val="0"/>
          <w:marRight w:val="0"/>
          <w:marTop w:val="0"/>
          <w:marBottom w:val="0"/>
          <w:divBdr>
            <w:top w:val="none" w:sz="0" w:space="0" w:color="auto"/>
            <w:left w:val="none" w:sz="0" w:space="0" w:color="auto"/>
            <w:bottom w:val="none" w:sz="0" w:space="0" w:color="auto"/>
            <w:right w:val="none" w:sz="0" w:space="0" w:color="auto"/>
          </w:divBdr>
          <w:divsChild>
            <w:div w:id="461115776">
              <w:marLeft w:val="0"/>
              <w:marRight w:val="0"/>
              <w:marTop w:val="0"/>
              <w:marBottom w:val="0"/>
              <w:divBdr>
                <w:top w:val="none" w:sz="0" w:space="0" w:color="auto"/>
                <w:left w:val="none" w:sz="0" w:space="0" w:color="auto"/>
                <w:bottom w:val="none" w:sz="0" w:space="0" w:color="auto"/>
                <w:right w:val="none" w:sz="0" w:space="0" w:color="auto"/>
              </w:divBdr>
            </w:div>
            <w:div w:id="165629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564239">
      <w:bodyDiv w:val="1"/>
      <w:marLeft w:val="0"/>
      <w:marRight w:val="0"/>
      <w:marTop w:val="0"/>
      <w:marBottom w:val="0"/>
      <w:divBdr>
        <w:top w:val="none" w:sz="0" w:space="0" w:color="auto"/>
        <w:left w:val="none" w:sz="0" w:space="0" w:color="auto"/>
        <w:bottom w:val="none" w:sz="0" w:space="0" w:color="auto"/>
        <w:right w:val="none" w:sz="0" w:space="0" w:color="auto"/>
      </w:divBdr>
    </w:div>
    <w:div w:id="1113331228">
      <w:bodyDiv w:val="1"/>
      <w:marLeft w:val="0"/>
      <w:marRight w:val="0"/>
      <w:marTop w:val="0"/>
      <w:marBottom w:val="0"/>
      <w:divBdr>
        <w:top w:val="none" w:sz="0" w:space="0" w:color="auto"/>
        <w:left w:val="none" w:sz="0" w:space="0" w:color="auto"/>
        <w:bottom w:val="none" w:sz="0" w:space="0" w:color="auto"/>
        <w:right w:val="none" w:sz="0" w:space="0" w:color="auto"/>
      </w:divBdr>
    </w:div>
    <w:div w:id="1897931111">
      <w:bodyDiv w:val="1"/>
      <w:marLeft w:val="0"/>
      <w:marRight w:val="0"/>
      <w:marTop w:val="0"/>
      <w:marBottom w:val="0"/>
      <w:divBdr>
        <w:top w:val="none" w:sz="0" w:space="0" w:color="auto"/>
        <w:left w:val="none" w:sz="0" w:space="0" w:color="auto"/>
        <w:bottom w:val="none" w:sz="0" w:space="0" w:color="auto"/>
        <w:right w:val="none" w:sz="0" w:space="0" w:color="auto"/>
      </w:divBdr>
    </w:div>
    <w:div w:id="1916501875">
      <w:bodyDiv w:val="1"/>
      <w:marLeft w:val="0"/>
      <w:marRight w:val="0"/>
      <w:marTop w:val="0"/>
      <w:marBottom w:val="0"/>
      <w:divBdr>
        <w:top w:val="none" w:sz="0" w:space="0" w:color="auto"/>
        <w:left w:val="none" w:sz="0" w:space="0" w:color="auto"/>
        <w:bottom w:val="none" w:sz="0" w:space="0" w:color="auto"/>
        <w:right w:val="none" w:sz="0" w:space="0" w:color="auto"/>
      </w:divBdr>
    </w:div>
    <w:div w:id="1974285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60AC8-00FE-4C3C-B951-0279E57C3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2549</Words>
  <Characters>14534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Nita Yodo</dc:creator>
  <cp:keywords/>
  <dc:description/>
  <cp:lastModifiedBy>Nita Yodo</cp:lastModifiedBy>
  <cp:revision>5</cp:revision>
  <dcterms:created xsi:type="dcterms:W3CDTF">2021-12-31T20:43:00Z</dcterms:created>
  <dcterms:modified xsi:type="dcterms:W3CDTF">2021-12-31T20:44:00Z</dcterms:modified>
</cp:coreProperties>
</file>