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53FEC" w14:textId="07E8B60F" w:rsidR="001B2342" w:rsidRDefault="005B5DCE" w:rsidP="001B2342">
      <w:pPr>
        <w:spacing w:after="0" w:line="240" w:lineRule="auto"/>
        <w:rPr>
          <w:rFonts w:ascii="Times New Roman" w:hAnsi="Times New Roman" w:cs="Times New Roman"/>
          <w:sz w:val="24"/>
          <w:szCs w:val="24"/>
        </w:rPr>
      </w:pPr>
      <w:r>
        <w:rPr>
          <w:rFonts w:ascii="Times New Roman" w:hAnsi="Times New Roman"/>
          <w:b/>
          <w:sz w:val="24"/>
          <w:szCs w:val="24"/>
        </w:rPr>
        <w:t>Project</w:t>
      </w:r>
      <w:r w:rsidR="001B2342">
        <w:rPr>
          <w:rFonts w:ascii="Times New Roman" w:hAnsi="Times New Roman"/>
          <w:b/>
          <w:sz w:val="24"/>
          <w:szCs w:val="24"/>
        </w:rPr>
        <w:t xml:space="preserve"> Title:  </w:t>
      </w:r>
      <w:r w:rsidR="005C061D" w:rsidRPr="005C061D">
        <w:rPr>
          <w:rFonts w:ascii="Times New Roman" w:hAnsi="Times New Roman" w:cs="Times New Roman"/>
          <w:sz w:val="24"/>
          <w:szCs w:val="24"/>
        </w:rPr>
        <w:t>Variable Rate Seeding: Impacts on Yield, Weeds, and White Mold</w:t>
      </w:r>
    </w:p>
    <w:p w14:paraId="2A44D826" w14:textId="5BD8EB92" w:rsidR="005C061D" w:rsidRPr="003B7A58" w:rsidRDefault="005C061D" w:rsidP="005C061D">
      <w:pPr>
        <w:spacing w:after="0" w:line="240" w:lineRule="auto"/>
        <w:rPr>
          <w:rFonts w:ascii="Times New Roman" w:hAnsi="Times New Roman"/>
          <w:b/>
          <w:sz w:val="24"/>
          <w:szCs w:val="24"/>
        </w:rPr>
      </w:pPr>
      <w:r w:rsidRPr="00DB67AF">
        <w:rPr>
          <w:rFonts w:ascii="Times New Roman" w:hAnsi="Times New Roman" w:cs="Times New Roman"/>
          <w:b/>
          <w:sz w:val="24"/>
          <w:szCs w:val="24"/>
        </w:rPr>
        <w:t>MSR&amp;PC Project Number:</w:t>
      </w:r>
      <w:r>
        <w:rPr>
          <w:rFonts w:ascii="Times New Roman" w:hAnsi="Times New Roman" w:cs="Times New Roman"/>
          <w:sz w:val="24"/>
          <w:szCs w:val="24"/>
        </w:rPr>
        <w:t xml:space="preserve"> </w:t>
      </w:r>
      <w:r w:rsidRPr="005C061D">
        <w:rPr>
          <w:rFonts w:ascii="Times New Roman" w:hAnsi="Times New Roman" w:cs="Times New Roman"/>
          <w:sz w:val="24"/>
          <w:szCs w:val="24"/>
        </w:rPr>
        <w:t>10-15-48-19-180-7527 UMN</w:t>
      </w:r>
    </w:p>
    <w:p w14:paraId="16B236AD" w14:textId="77777777" w:rsidR="001B2342" w:rsidRPr="003B7A58" w:rsidRDefault="001B2342" w:rsidP="001B2342">
      <w:pPr>
        <w:spacing w:after="0" w:line="240" w:lineRule="auto"/>
        <w:rPr>
          <w:rFonts w:ascii="Times New Roman" w:hAnsi="Times New Roman"/>
          <w:b/>
          <w:sz w:val="24"/>
          <w:szCs w:val="24"/>
        </w:rPr>
      </w:pPr>
      <w:r>
        <w:rPr>
          <w:rFonts w:ascii="Times New Roman" w:hAnsi="Times New Roman"/>
          <w:b/>
          <w:sz w:val="24"/>
          <w:szCs w:val="24"/>
        </w:rPr>
        <w:t>Institution/Organization:</w:t>
      </w:r>
      <w:r>
        <w:rPr>
          <w:rFonts w:ascii="Times New Roman" w:hAnsi="Times New Roman"/>
          <w:sz w:val="24"/>
          <w:szCs w:val="24"/>
        </w:rPr>
        <w:t xml:space="preserve">  University of Minnesota, Dept. of Agronomy</w:t>
      </w:r>
    </w:p>
    <w:p w14:paraId="4DE83A94" w14:textId="77777777" w:rsidR="001B2342" w:rsidRDefault="001B2342" w:rsidP="001B2342">
      <w:pPr>
        <w:spacing w:after="0" w:line="240" w:lineRule="auto"/>
        <w:rPr>
          <w:rFonts w:ascii="Times New Roman" w:hAnsi="Times New Roman"/>
          <w:sz w:val="24"/>
          <w:szCs w:val="24"/>
        </w:rPr>
      </w:pPr>
      <w:r>
        <w:rPr>
          <w:rFonts w:ascii="Times New Roman" w:hAnsi="Times New Roman"/>
          <w:b/>
          <w:sz w:val="24"/>
          <w:szCs w:val="24"/>
        </w:rPr>
        <w:t>Principal Investigator</w:t>
      </w:r>
      <w:r w:rsidRPr="00027A1D">
        <w:rPr>
          <w:rFonts w:ascii="Times New Roman" w:hAnsi="Times New Roman"/>
          <w:b/>
          <w:sz w:val="24"/>
          <w:szCs w:val="24"/>
        </w:rPr>
        <w:t>:</w:t>
      </w:r>
      <w:r>
        <w:rPr>
          <w:rFonts w:ascii="Times New Roman" w:hAnsi="Times New Roman"/>
          <w:sz w:val="24"/>
          <w:szCs w:val="24"/>
        </w:rPr>
        <w:t xml:space="preserve">  </w:t>
      </w:r>
      <w:r w:rsidRPr="00027A1D">
        <w:rPr>
          <w:rFonts w:ascii="Times New Roman" w:hAnsi="Times New Roman"/>
          <w:sz w:val="24"/>
          <w:szCs w:val="24"/>
        </w:rPr>
        <w:t xml:space="preserve">Seth </w:t>
      </w:r>
      <w:proofErr w:type="spellStart"/>
      <w:r>
        <w:rPr>
          <w:rFonts w:ascii="Times New Roman" w:hAnsi="Times New Roman"/>
          <w:sz w:val="24"/>
          <w:szCs w:val="24"/>
        </w:rPr>
        <w:t>Naeve</w:t>
      </w:r>
      <w:proofErr w:type="spellEnd"/>
    </w:p>
    <w:p w14:paraId="611C0E4A"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Address:</w:t>
      </w:r>
      <w:r>
        <w:rPr>
          <w:rFonts w:ascii="Times New Roman" w:hAnsi="Times New Roman"/>
          <w:sz w:val="24"/>
          <w:szCs w:val="24"/>
        </w:rPr>
        <w:tab/>
        <w:t>411 Borlaug Hall, 1991 Upper Buford Circle</w:t>
      </w:r>
    </w:p>
    <w:p w14:paraId="0C5D1483" w14:textId="77777777" w:rsidR="001B2342" w:rsidRDefault="001B2342" w:rsidP="001B234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St. Paul, MN  55108-6024</w:t>
      </w:r>
    </w:p>
    <w:p w14:paraId="69E8A115"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Email:</w:t>
      </w:r>
      <w:r>
        <w:rPr>
          <w:rFonts w:ascii="Times New Roman" w:hAnsi="Times New Roman"/>
          <w:sz w:val="24"/>
          <w:szCs w:val="24"/>
        </w:rPr>
        <w:t xml:space="preserve">  naeve002@umn.edu</w:t>
      </w:r>
    </w:p>
    <w:p w14:paraId="1C788503" w14:textId="77777777" w:rsidR="001B2342"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Phone:</w:t>
      </w:r>
      <w:r>
        <w:rPr>
          <w:rFonts w:ascii="Times New Roman" w:hAnsi="Times New Roman"/>
          <w:sz w:val="24"/>
          <w:szCs w:val="24"/>
        </w:rPr>
        <w:t xml:space="preserve">  612-625-4298</w:t>
      </w:r>
    </w:p>
    <w:p w14:paraId="56938A85" w14:textId="77777777" w:rsidR="001B2342" w:rsidRPr="003B7A58" w:rsidRDefault="001B2342" w:rsidP="001B2342">
      <w:pPr>
        <w:spacing w:after="0" w:line="240" w:lineRule="auto"/>
        <w:rPr>
          <w:rFonts w:ascii="Times New Roman" w:hAnsi="Times New Roman"/>
          <w:sz w:val="24"/>
          <w:szCs w:val="24"/>
        </w:rPr>
      </w:pPr>
      <w:r w:rsidRPr="00027A1D">
        <w:rPr>
          <w:rFonts w:ascii="Times New Roman" w:hAnsi="Times New Roman"/>
          <w:b/>
          <w:sz w:val="24"/>
          <w:szCs w:val="24"/>
        </w:rPr>
        <w:t>Mobile Phone:</w:t>
      </w:r>
      <w:r>
        <w:rPr>
          <w:rFonts w:ascii="Times New Roman" w:hAnsi="Times New Roman"/>
          <w:sz w:val="24"/>
          <w:szCs w:val="24"/>
        </w:rPr>
        <w:t xml:space="preserve">  612-819-2338</w:t>
      </w:r>
    </w:p>
    <w:p w14:paraId="753606A0" w14:textId="77777777" w:rsidR="001B2342" w:rsidRDefault="001B2342" w:rsidP="001B2342">
      <w:pPr>
        <w:spacing w:after="0" w:line="240" w:lineRule="auto"/>
        <w:rPr>
          <w:rFonts w:ascii="Times New Roman" w:hAnsi="Times New Roman" w:cs="Times New Roman"/>
          <w:sz w:val="24"/>
          <w:szCs w:val="24"/>
        </w:rPr>
      </w:pPr>
    </w:p>
    <w:p w14:paraId="34A9210F" w14:textId="082D308F" w:rsidR="001B2342" w:rsidRDefault="005B5DCE" w:rsidP="001B2342">
      <w:pPr>
        <w:pStyle w:val="ListParagraph"/>
        <w:spacing w:after="0" w:line="240" w:lineRule="auto"/>
        <w:ind w:left="0"/>
        <w:rPr>
          <w:rFonts w:ascii="Times New Roman" w:hAnsi="Times New Roman"/>
          <w:b/>
          <w:sz w:val="24"/>
          <w:szCs w:val="24"/>
          <w:u w:val="single"/>
        </w:rPr>
      </w:pPr>
      <w:r>
        <w:rPr>
          <w:rFonts w:ascii="Times New Roman" w:hAnsi="Times New Roman"/>
          <w:b/>
          <w:sz w:val="24"/>
          <w:szCs w:val="24"/>
          <w:u w:val="single"/>
        </w:rPr>
        <w:t>Final Report:</w:t>
      </w:r>
    </w:p>
    <w:p w14:paraId="48AC8E47" w14:textId="1EDB19B4" w:rsidR="005B5DCE" w:rsidRDefault="005B5DCE" w:rsidP="001B2342">
      <w:pPr>
        <w:pStyle w:val="ListParagraph"/>
        <w:spacing w:after="0" w:line="240" w:lineRule="auto"/>
        <w:ind w:left="0"/>
        <w:rPr>
          <w:rFonts w:ascii="Times New Roman" w:hAnsi="Times New Roman"/>
          <w:b/>
          <w:sz w:val="24"/>
          <w:szCs w:val="24"/>
          <w:u w:val="single"/>
        </w:rPr>
      </w:pPr>
    </w:p>
    <w:p w14:paraId="36C6620A" w14:textId="77777777" w:rsidR="008E6F0E" w:rsidRDefault="005B5DCE" w:rsidP="001B2342">
      <w:pPr>
        <w:pStyle w:val="ListParagraph"/>
        <w:spacing w:after="0" w:line="240" w:lineRule="auto"/>
        <w:ind w:left="0"/>
        <w:rPr>
          <w:rFonts w:ascii="Times New Roman" w:hAnsi="Times New Roman"/>
          <w:sz w:val="24"/>
          <w:szCs w:val="24"/>
        </w:rPr>
      </w:pPr>
      <w:r w:rsidRPr="008E6F0E">
        <w:rPr>
          <w:rFonts w:ascii="Times New Roman" w:hAnsi="Times New Roman"/>
          <w:b/>
          <w:i/>
          <w:sz w:val="24"/>
          <w:szCs w:val="24"/>
        </w:rPr>
        <w:t>Summary:</w:t>
      </w:r>
      <w:r>
        <w:rPr>
          <w:rFonts w:ascii="Times New Roman" w:hAnsi="Times New Roman"/>
          <w:b/>
          <w:sz w:val="24"/>
          <w:szCs w:val="24"/>
        </w:rPr>
        <w:t xml:space="preserve"> </w:t>
      </w:r>
      <w:r w:rsidRPr="008E6F0E">
        <w:rPr>
          <w:rFonts w:ascii="Times New Roman" w:hAnsi="Times New Roman"/>
          <w:sz w:val="24"/>
          <w:szCs w:val="24"/>
        </w:rPr>
        <w:t xml:space="preserve"> </w:t>
      </w:r>
    </w:p>
    <w:p w14:paraId="5675D50C" w14:textId="2DAAA844" w:rsidR="005B5DCE" w:rsidRDefault="005B5DCE" w:rsidP="001B2342">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This report includes a summary of FY2019 research supported by the Research Committee of the MSR&amp;P.  In addition, an overview of findings from this </w:t>
      </w:r>
      <w:r w:rsidR="005C061D">
        <w:rPr>
          <w:rFonts w:ascii="Times New Roman" w:hAnsi="Times New Roman"/>
          <w:sz w:val="24"/>
          <w:szCs w:val="24"/>
        </w:rPr>
        <w:t>two</w:t>
      </w:r>
      <w:r>
        <w:rPr>
          <w:rFonts w:ascii="Times New Roman" w:hAnsi="Times New Roman"/>
          <w:sz w:val="24"/>
          <w:szCs w:val="24"/>
        </w:rPr>
        <w:t xml:space="preserve">-year project will be provided.  Lastly, a </w:t>
      </w:r>
      <w:r w:rsidR="005C061D">
        <w:rPr>
          <w:rFonts w:ascii="Times New Roman" w:hAnsi="Times New Roman"/>
          <w:sz w:val="24"/>
          <w:szCs w:val="24"/>
        </w:rPr>
        <w:t xml:space="preserve">more thorough </w:t>
      </w:r>
      <w:r>
        <w:rPr>
          <w:rFonts w:ascii="Times New Roman" w:hAnsi="Times New Roman"/>
          <w:sz w:val="24"/>
          <w:szCs w:val="24"/>
        </w:rPr>
        <w:t xml:space="preserve">draft report for the </w:t>
      </w:r>
      <w:r w:rsidR="005C061D">
        <w:rPr>
          <w:rFonts w:ascii="Times New Roman" w:hAnsi="Times New Roman"/>
          <w:sz w:val="24"/>
          <w:szCs w:val="24"/>
        </w:rPr>
        <w:t>two</w:t>
      </w:r>
      <w:r>
        <w:rPr>
          <w:rFonts w:ascii="Times New Roman" w:hAnsi="Times New Roman"/>
          <w:sz w:val="24"/>
          <w:szCs w:val="24"/>
        </w:rPr>
        <w:t>-year project is attached.</w:t>
      </w:r>
      <w:r w:rsidR="005C061D">
        <w:rPr>
          <w:rFonts w:ascii="Times New Roman" w:hAnsi="Times New Roman"/>
          <w:sz w:val="24"/>
          <w:szCs w:val="24"/>
        </w:rPr>
        <w:t xml:space="preserve">  This project was intended to be conducted over a three-year period.  However, we did not receive funding for the third and final year of the project.  Therefore, overall findings from this work will be limited.  The graduate student on this project, Leanna </w:t>
      </w:r>
      <w:proofErr w:type="spellStart"/>
      <w:r w:rsidR="005C061D">
        <w:rPr>
          <w:rFonts w:ascii="Times New Roman" w:hAnsi="Times New Roman"/>
          <w:sz w:val="24"/>
          <w:szCs w:val="24"/>
        </w:rPr>
        <w:t>Leverich</w:t>
      </w:r>
      <w:proofErr w:type="spellEnd"/>
      <w:r w:rsidR="005C061D">
        <w:rPr>
          <w:rFonts w:ascii="Times New Roman" w:hAnsi="Times New Roman"/>
          <w:sz w:val="24"/>
          <w:szCs w:val="24"/>
        </w:rPr>
        <w:t xml:space="preserve">, plans to try to write a dissertation chapter form this study.  We hope that there is enough data to allow for a publication for this work.  If so, we will later develop an Extension publication from that manuscript.  </w:t>
      </w:r>
    </w:p>
    <w:p w14:paraId="46D7CBEC" w14:textId="5FB6E723" w:rsidR="005B5DCE" w:rsidRDefault="005B5DCE" w:rsidP="001B2342">
      <w:pPr>
        <w:pStyle w:val="ListParagraph"/>
        <w:spacing w:after="0" w:line="240" w:lineRule="auto"/>
        <w:ind w:left="0"/>
        <w:rPr>
          <w:rFonts w:ascii="Times New Roman" w:hAnsi="Times New Roman"/>
          <w:sz w:val="24"/>
          <w:szCs w:val="24"/>
        </w:rPr>
      </w:pPr>
    </w:p>
    <w:p w14:paraId="384406AA" w14:textId="2D455925" w:rsidR="005C061D" w:rsidRPr="001B2342" w:rsidRDefault="005B5DCE" w:rsidP="005B5DCE">
      <w:pPr>
        <w:pStyle w:val="ListParagraph"/>
        <w:spacing w:after="0" w:line="240" w:lineRule="auto"/>
        <w:ind w:left="0"/>
        <w:rPr>
          <w:rFonts w:ascii="Times New Roman" w:hAnsi="Times New Roman"/>
          <w:b/>
          <w:i/>
          <w:sz w:val="24"/>
          <w:szCs w:val="24"/>
        </w:rPr>
      </w:pPr>
      <w:r w:rsidRPr="008250DA">
        <w:rPr>
          <w:rFonts w:ascii="Times New Roman" w:hAnsi="Times New Roman"/>
          <w:b/>
          <w:i/>
          <w:sz w:val="24"/>
          <w:szCs w:val="24"/>
        </w:rPr>
        <w:t>Objectives and Goals</w:t>
      </w:r>
      <w:r w:rsidR="008E6F0E">
        <w:rPr>
          <w:rFonts w:ascii="Times New Roman" w:hAnsi="Times New Roman"/>
          <w:b/>
          <w:i/>
          <w:sz w:val="24"/>
          <w:szCs w:val="24"/>
        </w:rPr>
        <w:t>:</w:t>
      </w:r>
    </w:p>
    <w:p w14:paraId="53CDD01A" w14:textId="6B4444A8" w:rsidR="005C061D" w:rsidRPr="00ED6237" w:rsidRDefault="005C061D" w:rsidP="00ED6237">
      <w:pPr>
        <w:pStyle w:val="ListParagraph"/>
        <w:numPr>
          <w:ilvl w:val="0"/>
          <w:numId w:val="12"/>
        </w:numPr>
        <w:spacing w:after="0" w:line="240" w:lineRule="auto"/>
        <w:rPr>
          <w:rFonts w:ascii="Times New Roman" w:hAnsi="Times New Roman"/>
          <w:sz w:val="24"/>
          <w:szCs w:val="24"/>
        </w:rPr>
      </w:pPr>
      <w:r w:rsidRPr="00ED6237">
        <w:rPr>
          <w:rFonts w:ascii="Times New Roman" w:hAnsi="Times New Roman"/>
          <w:sz w:val="24"/>
          <w:szCs w:val="24"/>
        </w:rPr>
        <w:t>Objective: Evaluate soybean yield response to seeding rates at the field scale.</w:t>
      </w:r>
    </w:p>
    <w:p w14:paraId="19B5580E" w14:textId="77777777" w:rsidR="005C061D"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Goal 1: Determine if there is spatial variation in soybean yield response to seeding rate at the field scale.</w:t>
      </w:r>
    </w:p>
    <w:p w14:paraId="5CFFC60F" w14:textId="77777777" w:rsidR="005C061D"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Goal 2: Determine whether variable rate technology (VRT) could practically be deployed in Minnesota to increase soybean returns.</w:t>
      </w:r>
    </w:p>
    <w:p w14:paraId="7D62D677" w14:textId="67D291A6" w:rsidR="005C061D" w:rsidRPr="00ED6237" w:rsidRDefault="005C061D" w:rsidP="00ED6237">
      <w:pPr>
        <w:pStyle w:val="ListParagraph"/>
        <w:numPr>
          <w:ilvl w:val="0"/>
          <w:numId w:val="12"/>
        </w:numPr>
        <w:spacing w:after="0" w:line="240" w:lineRule="auto"/>
        <w:rPr>
          <w:rFonts w:ascii="Times New Roman" w:hAnsi="Times New Roman"/>
          <w:sz w:val="24"/>
          <w:szCs w:val="24"/>
        </w:rPr>
      </w:pPr>
      <w:r w:rsidRPr="00ED6237">
        <w:rPr>
          <w:rFonts w:ascii="Times New Roman" w:hAnsi="Times New Roman"/>
          <w:sz w:val="24"/>
          <w:szCs w:val="24"/>
        </w:rPr>
        <w:t>Objective: Evaluate key properties influencing spatial variability within farmer fields.</w:t>
      </w:r>
    </w:p>
    <w:p w14:paraId="53CA8BA4" w14:textId="77777777" w:rsidR="005C061D"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 xml:space="preserve">Goal 1: Identify field and soil properties influencing spatial variability in yield and seeding rate. </w:t>
      </w:r>
    </w:p>
    <w:p w14:paraId="0CF41D45" w14:textId="11EE60E9" w:rsidR="005C061D"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 xml:space="preserve">Goal 2: From evaluation of identifiable key factors, develop criteria on which VRT prescriptions might be based. </w:t>
      </w:r>
    </w:p>
    <w:p w14:paraId="0C13A993" w14:textId="77777777" w:rsidR="005C061D" w:rsidRPr="00ED6237" w:rsidRDefault="005C061D" w:rsidP="00ED6237">
      <w:pPr>
        <w:pStyle w:val="ListParagraph"/>
        <w:numPr>
          <w:ilvl w:val="0"/>
          <w:numId w:val="12"/>
        </w:numPr>
        <w:spacing w:after="0" w:line="240" w:lineRule="auto"/>
        <w:rPr>
          <w:rFonts w:ascii="Times New Roman" w:hAnsi="Times New Roman"/>
          <w:sz w:val="24"/>
          <w:szCs w:val="24"/>
        </w:rPr>
      </w:pPr>
      <w:r w:rsidRPr="00ED6237">
        <w:rPr>
          <w:rFonts w:ascii="Times New Roman" w:hAnsi="Times New Roman"/>
          <w:sz w:val="24"/>
          <w:szCs w:val="24"/>
        </w:rPr>
        <w:t xml:space="preserve">Objective: Evaluate the influence of soybean planting density on pest pressure at the field scale. </w:t>
      </w:r>
    </w:p>
    <w:p w14:paraId="695D2725" w14:textId="77777777" w:rsidR="005C061D"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Goal 1:  Determine whether soybean seeding rate has a practical impact on weed control.</w:t>
      </w:r>
    </w:p>
    <w:p w14:paraId="25CBA2CB" w14:textId="2D6F37AA" w:rsidR="005B5DCE" w:rsidRPr="00ED6237" w:rsidRDefault="005C061D" w:rsidP="00ED6237">
      <w:pPr>
        <w:pStyle w:val="ListParagraph"/>
        <w:numPr>
          <w:ilvl w:val="1"/>
          <w:numId w:val="12"/>
        </w:numPr>
        <w:spacing w:after="0" w:line="240" w:lineRule="auto"/>
        <w:rPr>
          <w:rFonts w:ascii="Times New Roman" w:hAnsi="Times New Roman"/>
          <w:sz w:val="24"/>
          <w:szCs w:val="24"/>
        </w:rPr>
      </w:pPr>
      <w:r w:rsidRPr="00ED6237">
        <w:rPr>
          <w:rFonts w:ascii="Times New Roman" w:hAnsi="Times New Roman"/>
          <w:sz w:val="24"/>
          <w:szCs w:val="24"/>
        </w:rPr>
        <w:t>Goal 2: Determine whether soybean seeding rate has a practical impact on white mold</w:t>
      </w:r>
      <w:r w:rsidR="00796D9C">
        <w:rPr>
          <w:rFonts w:ascii="Times New Roman" w:hAnsi="Times New Roman"/>
          <w:sz w:val="24"/>
          <w:szCs w:val="24"/>
        </w:rPr>
        <w:t>.</w:t>
      </w:r>
    </w:p>
    <w:p w14:paraId="0A6AB19E" w14:textId="77777777" w:rsidR="00ED6237" w:rsidRDefault="00ED6237" w:rsidP="001B2342">
      <w:pPr>
        <w:spacing w:after="0" w:line="240" w:lineRule="auto"/>
        <w:rPr>
          <w:rFonts w:ascii="Times New Roman" w:hAnsi="Times New Roman" w:cs="Times New Roman"/>
          <w:b/>
          <w:i/>
          <w:sz w:val="24"/>
          <w:szCs w:val="24"/>
        </w:rPr>
      </w:pPr>
    </w:p>
    <w:p w14:paraId="265ED8D0" w14:textId="32876CF6" w:rsidR="00D6603E" w:rsidRPr="004C6140" w:rsidRDefault="00EA1502" w:rsidP="00D6603E">
      <w:pPr>
        <w:spacing w:after="0" w:line="240" w:lineRule="auto"/>
        <w:rPr>
          <w:rFonts w:ascii="Times New Roman" w:hAnsi="Times New Roman" w:cs="Times New Roman"/>
          <w:b/>
          <w:i/>
          <w:sz w:val="24"/>
          <w:szCs w:val="24"/>
        </w:rPr>
      </w:pPr>
      <w:r w:rsidRPr="001B2342">
        <w:rPr>
          <w:rFonts w:ascii="Times New Roman" w:hAnsi="Times New Roman" w:cs="Times New Roman"/>
          <w:b/>
          <w:i/>
          <w:sz w:val="24"/>
          <w:szCs w:val="24"/>
        </w:rPr>
        <w:t>Synopsis</w:t>
      </w:r>
      <w:r w:rsidR="008E6F0E">
        <w:rPr>
          <w:rFonts w:ascii="Times New Roman" w:hAnsi="Times New Roman" w:cs="Times New Roman"/>
          <w:b/>
          <w:i/>
          <w:sz w:val="24"/>
          <w:szCs w:val="24"/>
        </w:rPr>
        <w:t>:</w:t>
      </w:r>
    </w:p>
    <w:p w14:paraId="537B0AA1" w14:textId="0BFF9C15" w:rsidR="00D6603E" w:rsidRDefault="004C6140" w:rsidP="001B2342">
      <w:pPr>
        <w:spacing w:after="0" w:line="240" w:lineRule="auto"/>
        <w:rPr>
          <w:rFonts w:ascii="Times New Roman" w:hAnsi="Times New Roman" w:cs="Times New Roman"/>
          <w:sz w:val="24"/>
          <w:szCs w:val="24"/>
        </w:rPr>
      </w:pPr>
      <w:r w:rsidRPr="004C6140">
        <w:rPr>
          <w:rFonts w:ascii="Times New Roman" w:hAnsi="Times New Roman" w:cs="Times New Roman"/>
          <w:sz w:val="24"/>
          <w:szCs w:val="24"/>
        </w:rPr>
        <w:t xml:space="preserve">Precision Agriculture is a tool for growers to reduce environmental impact and increase profit margins. With more data and technology available, researchers and growers now have the ability to resolve within-field variability at higher spatial resolutions. This technological shift has led to management not by field, but by acre. However, the introduction of this technology has led to many questions from growers as to where on the farm it should be deployed. Soybean growers </w:t>
      </w:r>
      <w:r w:rsidRPr="004C6140">
        <w:rPr>
          <w:rFonts w:ascii="Times New Roman" w:hAnsi="Times New Roman" w:cs="Times New Roman"/>
          <w:sz w:val="24"/>
          <w:szCs w:val="24"/>
        </w:rPr>
        <w:lastRenderedPageBreak/>
        <w:t>and researchers have shown a growing interest in utilizing this technology for optimal seeding rates in order to increase yields and decrease input costs. However, little research has been conducted to answer grower questions on variable rate soybean seeding.</w:t>
      </w:r>
    </w:p>
    <w:p w14:paraId="68138C72" w14:textId="50FFE1CE" w:rsidR="00081789" w:rsidRDefault="00081789" w:rsidP="001B2342">
      <w:pPr>
        <w:spacing w:after="0" w:line="240" w:lineRule="auto"/>
        <w:rPr>
          <w:rFonts w:ascii="Times New Roman" w:hAnsi="Times New Roman" w:cs="Times New Roman"/>
          <w:sz w:val="24"/>
          <w:szCs w:val="24"/>
        </w:rPr>
      </w:pPr>
    </w:p>
    <w:p w14:paraId="1AE91876" w14:textId="2B3A5F32" w:rsidR="00081789" w:rsidRDefault="00081789" w:rsidP="001B2342">
      <w:pPr>
        <w:spacing w:after="0" w:line="240" w:lineRule="auto"/>
        <w:rPr>
          <w:rFonts w:ascii="Times New Roman" w:hAnsi="Times New Roman" w:cs="Times New Roman"/>
          <w:sz w:val="24"/>
          <w:szCs w:val="24"/>
        </w:rPr>
      </w:pPr>
      <w:r>
        <w:rPr>
          <w:rFonts w:ascii="Times New Roman" w:hAnsi="Times New Roman" w:cs="Times New Roman"/>
          <w:sz w:val="24"/>
          <w:szCs w:val="24"/>
        </w:rPr>
        <w:t>To investigate, cooperating farmers from across Minnesota were asked to plant specific seeding rate prescription</w:t>
      </w:r>
      <w:r w:rsidR="00796D9C">
        <w:rPr>
          <w:rFonts w:ascii="Times New Roman" w:hAnsi="Times New Roman" w:cs="Times New Roman"/>
          <w:sz w:val="24"/>
          <w:szCs w:val="24"/>
        </w:rPr>
        <w:t>s</w:t>
      </w:r>
      <w:r>
        <w:rPr>
          <w:rFonts w:ascii="Times New Roman" w:hAnsi="Times New Roman" w:cs="Times New Roman"/>
          <w:sz w:val="24"/>
          <w:szCs w:val="24"/>
        </w:rPr>
        <w:t xml:space="preserve"> to one entire soybean field in 2018 and in 2019.  Farmers planted strips of soybeans at 75, 100, 125, 150, and 175k seeds per acre.  These seeding rate strips were randomized and replicated from three to six times across each field.  Management zones of one acre were created, each encapsulating all five seeding rates.  This provided 20-</w:t>
      </w:r>
      <w:r w:rsidR="00082F2B">
        <w:rPr>
          <w:rFonts w:ascii="Times New Roman" w:hAnsi="Times New Roman" w:cs="Times New Roman"/>
          <w:sz w:val="24"/>
          <w:szCs w:val="24"/>
        </w:rPr>
        <w:t>5</w:t>
      </w:r>
      <w:r>
        <w:rPr>
          <w:rFonts w:ascii="Times New Roman" w:hAnsi="Times New Roman" w:cs="Times New Roman"/>
          <w:sz w:val="24"/>
          <w:szCs w:val="24"/>
        </w:rPr>
        <w:t>0 pseudo replicates of a complete seeding rate trial across each field.</w:t>
      </w:r>
    </w:p>
    <w:p w14:paraId="19FDB607" w14:textId="77777777" w:rsidR="00081789" w:rsidRDefault="00081789" w:rsidP="001B2342">
      <w:pPr>
        <w:spacing w:after="0" w:line="240" w:lineRule="auto"/>
        <w:rPr>
          <w:rFonts w:ascii="Times New Roman" w:hAnsi="Times New Roman" w:cs="Times New Roman"/>
          <w:sz w:val="24"/>
          <w:szCs w:val="24"/>
        </w:rPr>
      </w:pPr>
    </w:p>
    <w:p w14:paraId="1E3CDF9B" w14:textId="400A0C46" w:rsidR="00081789" w:rsidRDefault="00081789" w:rsidP="001B2342">
      <w:pPr>
        <w:spacing w:after="0" w:line="240" w:lineRule="auto"/>
        <w:rPr>
          <w:rFonts w:ascii="Times New Roman" w:hAnsi="Times New Roman" w:cs="Times New Roman"/>
          <w:sz w:val="24"/>
          <w:szCs w:val="24"/>
        </w:rPr>
      </w:pPr>
      <w:r>
        <w:rPr>
          <w:rFonts w:ascii="Times New Roman" w:hAnsi="Times New Roman" w:cs="Times New Roman"/>
          <w:sz w:val="24"/>
          <w:szCs w:val="24"/>
        </w:rPr>
        <w:t>Stand counts were recorded in each seeding rate of each management zone after emergence.  Whole field drone imagery was recorded on a semiweekly basis throughout the growing season.  Prior to harvest, white mold and weed incidence measures were recorded, again for each seeding rate in each management zone across each field.</w:t>
      </w:r>
    </w:p>
    <w:p w14:paraId="5C85BDAF" w14:textId="11CABDC4" w:rsidR="00081789" w:rsidRDefault="00081789" w:rsidP="001B2342">
      <w:pPr>
        <w:spacing w:after="0" w:line="240" w:lineRule="auto"/>
        <w:rPr>
          <w:rFonts w:ascii="Times New Roman" w:hAnsi="Times New Roman" w:cs="Times New Roman"/>
          <w:sz w:val="24"/>
          <w:szCs w:val="24"/>
        </w:rPr>
      </w:pPr>
    </w:p>
    <w:p w14:paraId="29DEBDDA" w14:textId="7962BD2E" w:rsidR="00081789" w:rsidRDefault="00081789" w:rsidP="001B2342">
      <w:pPr>
        <w:spacing w:after="0" w:line="240" w:lineRule="auto"/>
        <w:rPr>
          <w:rFonts w:ascii="Times New Roman" w:hAnsi="Times New Roman" w:cs="Times New Roman"/>
          <w:sz w:val="24"/>
          <w:szCs w:val="24"/>
        </w:rPr>
      </w:pPr>
      <w:r>
        <w:rPr>
          <w:rFonts w:ascii="Times New Roman" w:hAnsi="Times New Roman" w:cs="Times New Roman"/>
          <w:sz w:val="24"/>
          <w:szCs w:val="24"/>
        </w:rPr>
        <w:t>Some</w:t>
      </w:r>
      <w:r w:rsidR="004500F4">
        <w:rPr>
          <w:rFonts w:ascii="Times New Roman" w:hAnsi="Times New Roman" w:cs="Times New Roman"/>
          <w:sz w:val="24"/>
          <w:szCs w:val="24"/>
        </w:rPr>
        <w:t xml:space="preserve"> </w:t>
      </w:r>
      <w:r w:rsidR="000C1AF2">
        <w:rPr>
          <w:rFonts w:ascii="Times New Roman" w:hAnsi="Times New Roman" w:cs="Times New Roman"/>
          <w:sz w:val="24"/>
          <w:szCs w:val="24"/>
        </w:rPr>
        <w:t>high-level</w:t>
      </w:r>
      <w:r w:rsidR="004500F4">
        <w:rPr>
          <w:rFonts w:ascii="Times New Roman" w:hAnsi="Times New Roman" w:cs="Times New Roman"/>
          <w:sz w:val="24"/>
          <w:szCs w:val="24"/>
        </w:rPr>
        <w:t xml:space="preserve"> finding</w:t>
      </w:r>
      <w:r w:rsidR="00296D35">
        <w:rPr>
          <w:rFonts w:ascii="Times New Roman" w:hAnsi="Times New Roman" w:cs="Times New Roman"/>
          <w:sz w:val="24"/>
          <w:szCs w:val="24"/>
        </w:rPr>
        <w:t>s</w:t>
      </w:r>
      <w:r w:rsidR="004500F4">
        <w:rPr>
          <w:rFonts w:ascii="Times New Roman" w:hAnsi="Times New Roman" w:cs="Times New Roman"/>
          <w:sz w:val="24"/>
          <w:szCs w:val="24"/>
        </w:rPr>
        <w:t>:</w:t>
      </w:r>
    </w:p>
    <w:p w14:paraId="2C2FFB99" w14:textId="19689D2D" w:rsidR="003C244B" w:rsidRDefault="00374DEF" w:rsidP="004500F4">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Optimal</w:t>
      </w:r>
      <w:r w:rsidR="00E61673">
        <w:rPr>
          <w:rFonts w:ascii="Times New Roman" w:hAnsi="Times New Roman"/>
          <w:sz w:val="24"/>
          <w:szCs w:val="24"/>
        </w:rPr>
        <w:t xml:space="preserve"> </w:t>
      </w:r>
      <w:r w:rsidR="003C244B">
        <w:rPr>
          <w:rFonts w:ascii="Times New Roman" w:hAnsi="Times New Roman"/>
          <w:sz w:val="24"/>
          <w:szCs w:val="24"/>
        </w:rPr>
        <w:t xml:space="preserve">seeding rates varied by field.  </w:t>
      </w:r>
    </w:p>
    <w:p w14:paraId="7622E7A0" w14:textId="4A7AC568" w:rsidR="003C244B" w:rsidRDefault="003C244B" w:rsidP="003C244B">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 xml:space="preserve">This finding supports small-plot research in that single seeding rate recommendations will not fit all production fields in Minnesota.  </w:t>
      </w:r>
    </w:p>
    <w:p w14:paraId="223EBCA9" w14:textId="2AB7ACA8" w:rsidR="004500F4" w:rsidRDefault="00703F11" w:rsidP="004500F4">
      <w:pPr>
        <w:pStyle w:val="ListParagraph"/>
        <w:numPr>
          <w:ilvl w:val="0"/>
          <w:numId w:val="13"/>
        </w:numPr>
        <w:spacing w:after="0" w:line="240" w:lineRule="auto"/>
        <w:rPr>
          <w:rFonts w:ascii="Times New Roman" w:hAnsi="Times New Roman"/>
          <w:sz w:val="24"/>
          <w:szCs w:val="24"/>
        </w:rPr>
      </w:pPr>
      <w:r>
        <w:rPr>
          <w:rFonts w:ascii="Times New Roman" w:hAnsi="Times New Roman"/>
          <w:sz w:val="24"/>
          <w:szCs w:val="24"/>
        </w:rPr>
        <w:t>C</w:t>
      </w:r>
      <w:r w:rsidR="000C1AF2">
        <w:rPr>
          <w:rFonts w:ascii="Times New Roman" w:hAnsi="Times New Roman"/>
          <w:sz w:val="24"/>
          <w:szCs w:val="24"/>
        </w:rPr>
        <w:t xml:space="preserve">lear variation in optimal seeding rate </w:t>
      </w:r>
      <w:r>
        <w:rPr>
          <w:rFonts w:ascii="Times New Roman" w:hAnsi="Times New Roman"/>
          <w:sz w:val="24"/>
          <w:szCs w:val="24"/>
        </w:rPr>
        <w:t xml:space="preserve">in </w:t>
      </w:r>
      <w:r w:rsidR="000C1AF2">
        <w:rPr>
          <w:rFonts w:ascii="Times New Roman" w:hAnsi="Times New Roman"/>
          <w:sz w:val="24"/>
          <w:szCs w:val="24"/>
        </w:rPr>
        <w:t>fields was noted.</w:t>
      </w:r>
    </w:p>
    <w:p w14:paraId="0F0C3746" w14:textId="0E1B2D59" w:rsidR="000C1AF2" w:rsidRDefault="000C1AF2" w:rsidP="000C1AF2">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All fields included management zone</w:t>
      </w:r>
      <w:r w:rsidR="00703F11">
        <w:rPr>
          <w:rFonts w:ascii="Times New Roman" w:hAnsi="Times New Roman"/>
          <w:sz w:val="24"/>
          <w:szCs w:val="24"/>
        </w:rPr>
        <w:t>s</w:t>
      </w:r>
      <w:r>
        <w:rPr>
          <w:rFonts w:ascii="Times New Roman" w:hAnsi="Times New Roman"/>
          <w:sz w:val="24"/>
          <w:szCs w:val="24"/>
        </w:rPr>
        <w:t xml:space="preserve"> that</w:t>
      </w:r>
    </w:p>
    <w:p w14:paraId="42890F39" w14:textId="0CF3F1AF" w:rsidR="000C1AF2" w:rsidRDefault="000C1AF2" w:rsidP="000C1AF2">
      <w:pPr>
        <w:pStyle w:val="ListParagraph"/>
        <w:numPr>
          <w:ilvl w:val="2"/>
          <w:numId w:val="13"/>
        </w:numPr>
        <w:spacing w:after="0" w:line="240" w:lineRule="auto"/>
        <w:rPr>
          <w:rFonts w:ascii="Times New Roman" w:hAnsi="Times New Roman"/>
          <w:sz w:val="24"/>
          <w:szCs w:val="24"/>
        </w:rPr>
      </w:pPr>
      <w:r>
        <w:rPr>
          <w:rFonts w:ascii="Times New Roman" w:hAnsi="Times New Roman"/>
          <w:sz w:val="24"/>
          <w:szCs w:val="24"/>
        </w:rPr>
        <w:t>Were very narrowly responsive to seeding rate</w:t>
      </w:r>
      <w:r w:rsidR="008568A0">
        <w:rPr>
          <w:rFonts w:ascii="Times New Roman" w:hAnsi="Times New Roman"/>
          <w:sz w:val="24"/>
          <w:szCs w:val="24"/>
        </w:rPr>
        <w:t>,</w:t>
      </w:r>
      <w:r>
        <w:rPr>
          <w:rFonts w:ascii="Times New Roman" w:hAnsi="Times New Roman"/>
          <w:sz w:val="24"/>
          <w:szCs w:val="24"/>
        </w:rPr>
        <w:t xml:space="preserve"> meaning that one specific seeding rate was required to optimize yield.  Only one seeding rate yielded significantly more than any of the other four rates.  </w:t>
      </w:r>
    </w:p>
    <w:p w14:paraId="4B1F919C" w14:textId="63676C2A" w:rsidR="000C1AF2" w:rsidRDefault="000C1AF2" w:rsidP="000C1AF2">
      <w:pPr>
        <w:pStyle w:val="ListParagraph"/>
        <w:numPr>
          <w:ilvl w:val="2"/>
          <w:numId w:val="13"/>
        </w:numPr>
        <w:spacing w:after="0" w:line="240" w:lineRule="auto"/>
        <w:rPr>
          <w:rFonts w:ascii="Times New Roman" w:hAnsi="Times New Roman"/>
          <w:sz w:val="24"/>
          <w:szCs w:val="24"/>
        </w:rPr>
      </w:pPr>
      <w:r>
        <w:rPr>
          <w:rFonts w:ascii="Times New Roman" w:hAnsi="Times New Roman"/>
          <w:sz w:val="24"/>
          <w:szCs w:val="24"/>
        </w:rPr>
        <w:t>Were broadly responsive to seeding rates</w:t>
      </w:r>
      <w:r w:rsidR="008568A0">
        <w:rPr>
          <w:rFonts w:ascii="Times New Roman" w:hAnsi="Times New Roman"/>
          <w:sz w:val="24"/>
          <w:szCs w:val="24"/>
        </w:rPr>
        <w:t>,</w:t>
      </w:r>
      <w:r>
        <w:rPr>
          <w:rFonts w:ascii="Times New Roman" w:hAnsi="Times New Roman"/>
          <w:sz w:val="24"/>
          <w:szCs w:val="24"/>
        </w:rPr>
        <w:t xml:space="preserve"> meaning that two to four </w:t>
      </w:r>
      <w:bookmarkStart w:id="0" w:name="_GoBack"/>
      <w:bookmarkEnd w:id="0"/>
      <w:r>
        <w:rPr>
          <w:rFonts w:ascii="Times New Roman" w:hAnsi="Times New Roman"/>
          <w:sz w:val="24"/>
          <w:szCs w:val="24"/>
        </w:rPr>
        <w:t>seeding rates could equal</w:t>
      </w:r>
      <w:r w:rsidR="008568A0">
        <w:rPr>
          <w:rFonts w:ascii="Times New Roman" w:hAnsi="Times New Roman"/>
          <w:sz w:val="24"/>
          <w:szCs w:val="24"/>
        </w:rPr>
        <w:t>l</w:t>
      </w:r>
      <w:r>
        <w:rPr>
          <w:rFonts w:ascii="Times New Roman" w:hAnsi="Times New Roman"/>
          <w:sz w:val="24"/>
          <w:szCs w:val="24"/>
        </w:rPr>
        <w:t>y maximize yields (one to three seeding rates yielded significantly less than the maximum yielding seeding rate)</w:t>
      </w:r>
      <w:r w:rsidR="008568A0">
        <w:rPr>
          <w:rFonts w:ascii="Times New Roman" w:hAnsi="Times New Roman"/>
          <w:sz w:val="24"/>
          <w:szCs w:val="24"/>
        </w:rPr>
        <w:t>.</w:t>
      </w:r>
      <w:r>
        <w:rPr>
          <w:rFonts w:ascii="Times New Roman" w:hAnsi="Times New Roman"/>
          <w:sz w:val="24"/>
          <w:szCs w:val="24"/>
        </w:rPr>
        <w:t xml:space="preserve"> </w:t>
      </w:r>
    </w:p>
    <w:p w14:paraId="76EC253D" w14:textId="4DCDA8DA" w:rsidR="000C1AF2" w:rsidRDefault="000C1AF2" w:rsidP="000C1AF2">
      <w:pPr>
        <w:pStyle w:val="ListParagraph"/>
        <w:numPr>
          <w:ilvl w:val="2"/>
          <w:numId w:val="13"/>
        </w:numPr>
        <w:spacing w:after="0" w:line="240" w:lineRule="auto"/>
        <w:rPr>
          <w:rFonts w:ascii="Times New Roman" w:hAnsi="Times New Roman"/>
          <w:sz w:val="24"/>
          <w:szCs w:val="24"/>
        </w:rPr>
      </w:pPr>
      <w:r>
        <w:rPr>
          <w:rFonts w:ascii="Times New Roman" w:hAnsi="Times New Roman"/>
          <w:sz w:val="24"/>
          <w:szCs w:val="24"/>
        </w:rPr>
        <w:t xml:space="preserve">Were non-responsive to seeding rate.  These zones had seeding rates that did not significantly differ from any of the others within the zone. </w:t>
      </w:r>
    </w:p>
    <w:p w14:paraId="65D3A037" w14:textId="046CCAB7" w:rsidR="000C1AF2" w:rsidRDefault="00857E8E" w:rsidP="000C1AF2">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 xml:space="preserve">It is important to highlight the importance of this finding.  It </w:t>
      </w:r>
      <w:r w:rsidR="009B44F0">
        <w:rPr>
          <w:rFonts w:ascii="Times New Roman" w:hAnsi="Times New Roman"/>
          <w:sz w:val="24"/>
          <w:szCs w:val="24"/>
        </w:rPr>
        <w:t xml:space="preserve">demonstrates that </w:t>
      </w:r>
      <w:r w:rsidR="008568A0">
        <w:rPr>
          <w:rFonts w:ascii="Times New Roman" w:hAnsi="Times New Roman"/>
          <w:sz w:val="24"/>
          <w:szCs w:val="24"/>
        </w:rPr>
        <w:t xml:space="preserve">optimal </w:t>
      </w:r>
      <w:r w:rsidR="009B44F0">
        <w:rPr>
          <w:rFonts w:ascii="Times New Roman" w:hAnsi="Times New Roman"/>
          <w:sz w:val="24"/>
          <w:szCs w:val="24"/>
        </w:rPr>
        <w:t>seeding rate is responsive to factors that vary on a small geographic scale.</w:t>
      </w:r>
      <w:r w:rsidR="003C244B">
        <w:rPr>
          <w:rFonts w:ascii="Times New Roman" w:hAnsi="Times New Roman"/>
          <w:sz w:val="24"/>
          <w:szCs w:val="24"/>
        </w:rPr>
        <w:t xml:space="preserve">  This means that variable rate seeding has the potential to either save seed cost, increase yields, or both on a field level.  </w:t>
      </w:r>
    </w:p>
    <w:p w14:paraId="5CA978AA" w14:textId="2189CE4E" w:rsidR="00461DE5" w:rsidRDefault="00461DE5" w:rsidP="000C1AF2">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 xml:space="preserve">An economic analysis has shown that optimizing seeding rate at a small scale (VRT seeding) </w:t>
      </w:r>
      <w:r w:rsidR="001A4E0D">
        <w:rPr>
          <w:rFonts w:ascii="Times New Roman" w:hAnsi="Times New Roman"/>
          <w:sz w:val="24"/>
          <w:szCs w:val="24"/>
        </w:rPr>
        <w:t>could</w:t>
      </w:r>
      <w:r>
        <w:rPr>
          <w:rFonts w:ascii="Times New Roman" w:hAnsi="Times New Roman"/>
          <w:sz w:val="24"/>
          <w:szCs w:val="24"/>
        </w:rPr>
        <w:t xml:space="preserve"> save a approximately $20 per acre</w:t>
      </w:r>
      <w:r w:rsidR="001A4E0D">
        <w:rPr>
          <w:rFonts w:ascii="Times New Roman" w:hAnsi="Times New Roman"/>
          <w:sz w:val="24"/>
          <w:szCs w:val="24"/>
        </w:rPr>
        <w:t xml:space="preserve"> if the optimal seeding rate was used across fields</w:t>
      </w:r>
      <w:r>
        <w:rPr>
          <w:rFonts w:ascii="Times New Roman" w:hAnsi="Times New Roman"/>
          <w:sz w:val="24"/>
          <w:szCs w:val="24"/>
        </w:rPr>
        <w:t xml:space="preserve"> in our study.  </w:t>
      </w:r>
    </w:p>
    <w:p w14:paraId="56F3B02F" w14:textId="59369390" w:rsidR="003C244B" w:rsidRDefault="003C244B" w:rsidP="003C244B">
      <w:pPr>
        <w:pStyle w:val="ListParagraph"/>
        <w:numPr>
          <w:ilvl w:val="0"/>
          <w:numId w:val="13"/>
        </w:numPr>
        <w:spacing w:after="0" w:line="240" w:lineRule="auto"/>
        <w:rPr>
          <w:rFonts w:ascii="Times New Roman" w:hAnsi="Times New Roman"/>
          <w:sz w:val="24"/>
          <w:szCs w:val="24"/>
        </w:rPr>
      </w:pPr>
      <w:r w:rsidRPr="003C244B">
        <w:rPr>
          <w:rFonts w:ascii="Times New Roman" w:hAnsi="Times New Roman"/>
          <w:sz w:val="24"/>
          <w:szCs w:val="24"/>
        </w:rPr>
        <w:t>A Random Forest (RF) machine learning algorithm was employed to identify important key factors contributing to variability in the data.</w:t>
      </w:r>
    </w:p>
    <w:p w14:paraId="1DC7D0F6" w14:textId="53F43E6B" w:rsidR="003C244B" w:rsidRDefault="003C244B" w:rsidP="003C244B">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Soil chemical test values were important in potential contribution to yield variation</w:t>
      </w:r>
      <w:r w:rsidR="00193109">
        <w:rPr>
          <w:rFonts w:ascii="Times New Roman" w:hAnsi="Times New Roman"/>
          <w:sz w:val="24"/>
          <w:szCs w:val="24"/>
        </w:rPr>
        <w:t>.</w:t>
      </w:r>
    </w:p>
    <w:p w14:paraId="73175CB1" w14:textId="5C0B71C6" w:rsidR="003C244B" w:rsidRDefault="00421716" w:rsidP="003C244B">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SSURGO factors such as soil type and clay content were also important</w:t>
      </w:r>
      <w:r w:rsidR="00193109">
        <w:rPr>
          <w:rFonts w:ascii="Times New Roman" w:hAnsi="Times New Roman"/>
          <w:sz w:val="24"/>
          <w:szCs w:val="24"/>
        </w:rPr>
        <w:t>.</w:t>
      </w:r>
    </w:p>
    <w:p w14:paraId="20901EE0" w14:textId="7B7078A3" w:rsidR="00421716" w:rsidRDefault="00421716" w:rsidP="003C244B">
      <w:pPr>
        <w:pStyle w:val="ListParagraph"/>
        <w:numPr>
          <w:ilvl w:val="1"/>
          <w:numId w:val="13"/>
        </w:numPr>
        <w:spacing w:after="0" w:line="240" w:lineRule="auto"/>
        <w:rPr>
          <w:rFonts w:ascii="Times New Roman" w:hAnsi="Times New Roman"/>
          <w:sz w:val="24"/>
          <w:szCs w:val="24"/>
        </w:rPr>
      </w:pPr>
      <w:r>
        <w:rPr>
          <w:rFonts w:ascii="Times New Roman" w:hAnsi="Times New Roman"/>
          <w:sz w:val="24"/>
          <w:szCs w:val="24"/>
        </w:rPr>
        <w:t xml:space="preserve">As an individual factor, soybean population had a smaller apparent impact on soybean yield than some of the above factors.  There are several potential interpretations of this finding.  </w:t>
      </w:r>
    </w:p>
    <w:p w14:paraId="63FF45E9" w14:textId="11AD7DDF" w:rsidR="00421716" w:rsidRDefault="00421716" w:rsidP="00421716">
      <w:pPr>
        <w:pStyle w:val="ListParagraph"/>
        <w:numPr>
          <w:ilvl w:val="2"/>
          <w:numId w:val="13"/>
        </w:numPr>
        <w:spacing w:after="0" w:line="240" w:lineRule="auto"/>
        <w:rPr>
          <w:rFonts w:ascii="Times New Roman" w:hAnsi="Times New Roman"/>
          <w:sz w:val="24"/>
          <w:szCs w:val="24"/>
        </w:rPr>
      </w:pPr>
      <w:r>
        <w:rPr>
          <w:rFonts w:ascii="Times New Roman" w:hAnsi="Times New Roman"/>
          <w:sz w:val="24"/>
          <w:szCs w:val="24"/>
        </w:rPr>
        <w:lastRenderedPageBreak/>
        <w:t xml:space="preserve">While soybean population may not be a primary driver of yield, it is one </w:t>
      </w:r>
      <w:r w:rsidR="00193109">
        <w:rPr>
          <w:rFonts w:ascii="Times New Roman" w:hAnsi="Times New Roman"/>
          <w:sz w:val="24"/>
          <w:szCs w:val="24"/>
        </w:rPr>
        <w:t xml:space="preserve">over </w:t>
      </w:r>
      <w:r>
        <w:rPr>
          <w:rFonts w:ascii="Times New Roman" w:hAnsi="Times New Roman"/>
          <w:sz w:val="24"/>
          <w:szCs w:val="24"/>
        </w:rPr>
        <w:t xml:space="preserve">which the farmer has control.  Besides P and K levels, the farmer has relatively little opportunity to control other factors. </w:t>
      </w:r>
    </w:p>
    <w:p w14:paraId="65214A52" w14:textId="47C29C18" w:rsidR="00421716" w:rsidRPr="004500F4" w:rsidRDefault="00421716" w:rsidP="00421716">
      <w:pPr>
        <w:pStyle w:val="ListParagraph"/>
        <w:numPr>
          <w:ilvl w:val="2"/>
          <w:numId w:val="13"/>
        </w:numPr>
        <w:spacing w:after="0" w:line="240" w:lineRule="auto"/>
        <w:rPr>
          <w:rFonts w:ascii="Times New Roman" w:hAnsi="Times New Roman"/>
          <w:sz w:val="24"/>
          <w:szCs w:val="24"/>
        </w:rPr>
      </w:pPr>
      <w:r>
        <w:rPr>
          <w:rFonts w:ascii="Times New Roman" w:hAnsi="Times New Roman"/>
          <w:sz w:val="24"/>
          <w:szCs w:val="24"/>
        </w:rPr>
        <w:t xml:space="preserve">One can also read this finding as an opportunity to reduce seeding rates to </w:t>
      </w:r>
      <w:r w:rsidR="00193109">
        <w:rPr>
          <w:rFonts w:ascii="Times New Roman" w:hAnsi="Times New Roman"/>
          <w:sz w:val="24"/>
          <w:szCs w:val="24"/>
        </w:rPr>
        <w:t xml:space="preserve">reduce </w:t>
      </w:r>
      <w:r>
        <w:rPr>
          <w:rFonts w:ascii="Times New Roman" w:hAnsi="Times New Roman"/>
          <w:sz w:val="24"/>
          <w:szCs w:val="24"/>
        </w:rPr>
        <w:t xml:space="preserve">input costs while maintaining yields.  </w:t>
      </w:r>
    </w:p>
    <w:p w14:paraId="60C4E7C9" w14:textId="77777777" w:rsidR="00081789" w:rsidRDefault="00081789" w:rsidP="001B2342">
      <w:pPr>
        <w:spacing w:after="0" w:line="240" w:lineRule="auto"/>
        <w:rPr>
          <w:rFonts w:ascii="Times New Roman" w:hAnsi="Times New Roman" w:cs="Times New Roman"/>
          <w:sz w:val="24"/>
          <w:szCs w:val="24"/>
        </w:rPr>
      </w:pPr>
    </w:p>
    <w:p w14:paraId="0386875D" w14:textId="205B11C1" w:rsidR="00081789" w:rsidRPr="00D6603E" w:rsidRDefault="00081789" w:rsidP="001B23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01769DE" w14:textId="6A2A60CF" w:rsidR="003D65CC" w:rsidRPr="00D2502C" w:rsidRDefault="00967264" w:rsidP="00D2502C">
      <w:pPr>
        <w:rPr>
          <w:rFonts w:ascii="Times New Roman" w:eastAsia="Calibri" w:hAnsi="Times New Roman" w:cs="Times New Roman"/>
          <w:sz w:val="24"/>
          <w:szCs w:val="24"/>
        </w:rPr>
      </w:pPr>
      <w:r>
        <w:rPr>
          <w:rFonts w:ascii="Times New Roman" w:hAnsi="Times New Roman"/>
          <w:sz w:val="24"/>
          <w:szCs w:val="24"/>
        </w:rPr>
        <w:br w:type="page"/>
      </w:r>
      <w:r w:rsidR="00B128BE" w:rsidRPr="003D65CC">
        <w:rPr>
          <w:rFonts w:ascii="Times New Roman" w:eastAsia="Times New Roman" w:hAnsi="Times New Roman" w:cs="Times New Roman"/>
          <w:b/>
          <w:i/>
          <w:sz w:val="24"/>
          <w:szCs w:val="24"/>
        </w:rPr>
        <w:lastRenderedPageBreak/>
        <w:t>2019 specific objectives and accomplishments:</w:t>
      </w:r>
    </w:p>
    <w:p w14:paraId="0A1B90DF" w14:textId="7CEC1544" w:rsidR="00082F2B" w:rsidRDefault="00082F2B" w:rsidP="003D65CC">
      <w:pPr>
        <w:shd w:val="clear" w:color="auto" w:fill="FFFFFF"/>
        <w:spacing w:after="0" w:line="23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was carried out at 3 on-farm locations in Minnesota, in 2019.  Two of the sites </w:t>
      </w:r>
      <w:r w:rsidR="005D70A7">
        <w:rPr>
          <w:rFonts w:ascii="Times New Roman" w:eastAsia="Times New Roman" w:hAnsi="Times New Roman" w:cs="Times New Roman"/>
          <w:sz w:val="24"/>
          <w:szCs w:val="24"/>
        </w:rPr>
        <w:t>were the same</w:t>
      </w:r>
      <w:r>
        <w:rPr>
          <w:rFonts w:ascii="Times New Roman" w:eastAsia="Times New Roman" w:hAnsi="Times New Roman" w:cs="Times New Roman"/>
          <w:sz w:val="24"/>
          <w:szCs w:val="24"/>
        </w:rPr>
        <w:t xml:space="preserve"> as </w:t>
      </w:r>
      <w:r w:rsidRPr="00093381">
        <w:rPr>
          <w:rFonts w:ascii="Times New Roman" w:eastAsia="Times New Roman" w:hAnsi="Times New Roman" w:cs="Times New Roman"/>
          <w:sz w:val="24"/>
          <w:szCs w:val="24"/>
        </w:rPr>
        <w:t>in 201</w:t>
      </w:r>
      <w:r w:rsidR="00093381" w:rsidRPr="00093381">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5D70A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outhwest and </w:t>
      </w:r>
      <w:r w:rsidR="005D70A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entral Minnesota).  An additional location was added in </w:t>
      </w:r>
      <w:r w:rsidR="007566E0">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estern Minnesota.  </w:t>
      </w:r>
      <w:r w:rsidRPr="00082F2B">
        <w:rPr>
          <w:rFonts w:ascii="Times New Roman" w:eastAsia="Times New Roman" w:hAnsi="Times New Roman" w:cs="Times New Roman"/>
          <w:sz w:val="24"/>
          <w:szCs w:val="24"/>
        </w:rPr>
        <w:t>After planting at each site</w:t>
      </w:r>
      <w:r w:rsidR="007566E0">
        <w:rPr>
          <w:rFonts w:ascii="Times New Roman" w:eastAsia="Times New Roman" w:hAnsi="Times New Roman" w:cs="Times New Roman"/>
          <w:sz w:val="24"/>
          <w:szCs w:val="24"/>
        </w:rPr>
        <w:t>,</w:t>
      </w:r>
      <w:r w:rsidRPr="00082F2B">
        <w:rPr>
          <w:rFonts w:ascii="Times New Roman" w:eastAsia="Times New Roman" w:hAnsi="Times New Roman" w:cs="Times New Roman"/>
          <w:sz w:val="24"/>
          <w:szCs w:val="24"/>
        </w:rPr>
        <w:t xml:space="preserve"> soil samples and stand counts were collected on the 1-acre grid created by the subdivisions. Stand counts were collected for each of the five seeding densities within each acre grid.</w:t>
      </w:r>
    </w:p>
    <w:p w14:paraId="1360CB74" w14:textId="77777777" w:rsidR="007566E0" w:rsidRPr="003D65CC" w:rsidRDefault="007566E0" w:rsidP="003D65CC">
      <w:pPr>
        <w:shd w:val="clear" w:color="auto" w:fill="FFFFFF"/>
        <w:spacing w:after="0" w:line="235" w:lineRule="atLeast"/>
        <w:rPr>
          <w:rFonts w:ascii="Times New Roman" w:eastAsia="Times New Roman" w:hAnsi="Times New Roman" w:cs="Times New Roman"/>
          <w:b/>
          <w:i/>
          <w:sz w:val="24"/>
          <w:szCs w:val="24"/>
        </w:rPr>
      </w:pPr>
    </w:p>
    <w:p w14:paraId="2C77E892" w14:textId="6242F68C" w:rsidR="003D65CC" w:rsidRDefault="00082F2B" w:rsidP="00082F2B">
      <w:pPr>
        <w:shd w:val="clear" w:color="auto" w:fill="FFFFFF"/>
        <w:spacing w:line="235" w:lineRule="atLeast"/>
        <w:rPr>
          <w:rFonts w:ascii="Times New Roman" w:eastAsia="Times New Roman" w:hAnsi="Times New Roman" w:cs="Times New Roman"/>
          <w:sz w:val="24"/>
          <w:szCs w:val="24"/>
        </w:rPr>
      </w:pPr>
      <w:r w:rsidRPr="00082F2B">
        <w:rPr>
          <w:rFonts w:ascii="Times New Roman" w:eastAsia="Times New Roman" w:hAnsi="Times New Roman" w:cs="Times New Roman"/>
          <w:sz w:val="24"/>
          <w:szCs w:val="24"/>
        </w:rPr>
        <w:t xml:space="preserve">Several geospatial data layers were collected from the farmer, state, or national </w:t>
      </w:r>
      <w:r w:rsidR="007D0E86">
        <w:rPr>
          <w:rFonts w:ascii="Times New Roman" w:eastAsia="Times New Roman" w:hAnsi="Times New Roman" w:cs="Times New Roman"/>
          <w:sz w:val="24"/>
          <w:szCs w:val="24"/>
        </w:rPr>
        <w:t xml:space="preserve">information </w:t>
      </w:r>
      <w:r w:rsidRPr="00082F2B">
        <w:rPr>
          <w:rFonts w:ascii="Times New Roman" w:eastAsia="Times New Roman" w:hAnsi="Times New Roman" w:cs="Times New Roman"/>
          <w:sz w:val="24"/>
          <w:szCs w:val="24"/>
        </w:rPr>
        <w:t>sources to further identify soil and landscape properties that could affect soybean yield by soybean density.</w:t>
      </w:r>
      <w:r w:rsidR="003D65CC">
        <w:rPr>
          <w:rFonts w:ascii="Times New Roman" w:eastAsia="Times New Roman" w:hAnsi="Times New Roman" w:cs="Times New Roman"/>
          <w:sz w:val="24"/>
          <w:szCs w:val="24"/>
        </w:rPr>
        <w:t xml:space="preserve"> </w:t>
      </w:r>
      <w:r w:rsidRPr="00082F2B">
        <w:rPr>
          <w:rFonts w:ascii="Times New Roman" w:eastAsia="Times New Roman" w:hAnsi="Times New Roman" w:cs="Times New Roman"/>
          <w:sz w:val="24"/>
          <w:szCs w:val="24"/>
        </w:rPr>
        <w:t>Historical yield maps were also collected from growers detailing approximately 10 years of historical yield for each field. The maps were used to assess fields for stable and unstable areas over time and space</w:t>
      </w:r>
      <w:r w:rsidR="00742876">
        <w:rPr>
          <w:rFonts w:ascii="Times New Roman" w:eastAsia="Times New Roman" w:hAnsi="Times New Roman" w:cs="Times New Roman"/>
          <w:sz w:val="24"/>
          <w:szCs w:val="24"/>
        </w:rPr>
        <w:t>,</w:t>
      </w:r>
      <w:r w:rsidRPr="00082F2B">
        <w:rPr>
          <w:rFonts w:ascii="Times New Roman" w:eastAsia="Times New Roman" w:hAnsi="Times New Roman" w:cs="Times New Roman"/>
          <w:sz w:val="24"/>
          <w:szCs w:val="24"/>
        </w:rPr>
        <w:t xml:space="preserve"> and to evaluate the potential to predict high, medium, and low productivity areas. The stability of the productivity may then be used to predict where high versus lower seeding densities may be applied. </w:t>
      </w:r>
    </w:p>
    <w:p w14:paraId="33420CED" w14:textId="3FEA624D" w:rsidR="003D65CC" w:rsidRPr="003D65CC" w:rsidRDefault="003D65CC" w:rsidP="003D65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Whole field drone imagery was recorded on a semiweekly basis throughout the growing season.  Prior to harvest, white mold and weed incidence measures were recorded, again for each seeding rate in each management zone across each field.  </w:t>
      </w:r>
      <w:r>
        <w:rPr>
          <w:rFonts w:ascii="Times New Roman" w:eastAsia="Times New Roman" w:hAnsi="Times New Roman" w:cs="Times New Roman"/>
          <w:sz w:val="24"/>
          <w:szCs w:val="24"/>
        </w:rPr>
        <w:t>Yield data was collected from two of three producers.  Yield data from the final farmer will be collected after travel restrictions are released.</w:t>
      </w:r>
    </w:p>
    <w:p w14:paraId="096D3FCD" w14:textId="77777777" w:rsidR="001D04DA" w:rsidRPr="00D6603E" w:rsidRDefault="001D04DA" w:rsidP="00B128BE">
      <w:pPr>
        <w:spacing w:after="0" w:line="240" w:lineRule="auto"/>
        <w:rPr>
          <w:rFonts w:ascii="Times New Roman" w:hAnsi="Times New Roman" w:cs="Times New Roman"/>
          <w:color w:val="FF0000"/>
          <w:sz w:val="24"/>
          <w:szCs w:val="24"/>
        </w:rPr>
      </w:pPr>
    </w:p>
    <w:p w14:paraId="7D365A05" w14:textId="77777777" w:rsidR="001D04DA" w:rsidRPr="00FD5668" w:rsidRDefault="001D04DA" w:rsidP="00B128BE">
      <w:pPr>
        <w:spacing w:after="0" w:line="240" w:lineRule="auto"/>
        <w:rPr>
          <w:rFonts w:ascii="Times New Roman" w:hAnsi="Times New Roman" w:cs="Times New Roman"/>
          <w:sz w:val="24"/>
          <w:szCs w:val="24"/>
        </w:rPr>
      </w:pPr>
    </w:p>
    <w:p w14:paraId="1B1BD5A2" w14:textId="64FE810C" w:rsidR="0057238F" w:rsidRPr="00FD5668" w:rsidRDefault="00A97482" w:rsidP="00B128BE">
      <w:pPr>
        <w:spacing w:after="0" w:line="240" w:lineRule="auto"/>
        <w:rPr>
          <w:rFonts w:ascii="Times New Roman" w:eastAsia="Calibri" w:hAnsi="Times New Roman" w:cs="Times New Roman"/>
          <w:b/>
          <w:sz w:val="24"/>
          <w:szCs w:val="24"/>
          <w:u w:val="single" w:color="FFFFFF"/>
        </w:rPr>
      </w:pPr>
      <w:r w:rsidRPr="00FD5668">
        <w:rPr>
          <w:rFonts w:ascii="Times New Roman" w:eastAsia="Calibri" w:hAnsi="Times New Roman" w:cs="Times New Roman"/>
          <w:b/>
          <w:sz w:val="24"/>
          <w:szCs w:val="24"/>
          <w:u w:val="single" w:color="FFFFFF"/>
        </w:rPr>
        <w:t>Tech Transfer:</w:t>
      </w:r>
    </w:p>
    <w:p w14:paraId="12A995C9" w14:textId="203B7747" w:rsidR="00A97482" w:rsidRPr="00FD5668" w:rsidRDefault="00A97482" w:rsidP="00A97482">
      <w:pPr>
        <w:pStyle w:val="ListParagraph"/>
        <w:numPr>
          <w:ilvl w:val="0"/>
          <w:numId w:val="14"/>
        </w:numPr>
        <w:spacing w:after="0" w:line="240" w:lineRule="auto"/>
        <w:rPr>
          <w:rFonts w:ascii="Times New Roman" w:hAnsi="Times New Roman"/>
          <w:sz w:val="24"/>
          <w:szCs w:val="24"/>
        </w:rPr>
      </w:pPr>
      <w:r w:rsidRPr="00FD5668">
        <w:rPr>
          <w:rFonts w:ascii="Times New Roman" w:hAnsi="Times New Roman"/>
          <w:sz w:val="24"/>
          <w:szCs w:val="24"/>
        </w:rPr>
        <w:t>Agronomy Society of America Annual meeting. November 11-13, 2019. San Antonio, TX</w:t>
      </w:r>
    </w:p>
    <w:p w14:paraId="525D4D2C" w14:textId="1FA701B1" w:rsidR="00A97482" w:rsidRPr="00FD5668" w:rsidRDefault="00A97482" w:rsidP="00A97482">
      <w:pPr>
        <w:pStyle w:val="ListParagraph"/>
        <w:numPr>
          <w:ilvl w:val="0"/>
          <w:numId w:val="14"/>
        </w:numPr>
        <w:spacing w:after="0" w:line="240" w:lineRule="auto"/>
        <w:rPr>
          <w:rFonts w:ascii="Times New Roman" w:hAnsi="Times New Roman"/>
          <w:sz w:val="24"/>
          <w:szCs w:val="24"/>
        </w:rPr>
      </w:pPr>
      <w:r w:rsidRPr="00FD5668">
        <w:rPr>
          <w:rFonts w:ascii="Times New Roman" w:hAnsi="Times New Roman"/>
          <w:sz w:val="24"/>
          <w:szCs w:val="24"/>
        </w:rPr>
        <w:t>Crop Pest Management Short Course. December 10, 2019. Minneapolis, MN</w:t>
      </w:r>
    </w:p>
    <w:p w14:paraId="64F8AEAD" w14:textId="488AEE96" w:rsidR="00A97482" w:rsidRPr="00FD5668" w:rsidRDefault="00A97482" w:rsidP="00A97482">
      <w:pPr>
        <w:pStyle w:val="ListParagraph"/>
        <w:numPr>
          <w:ilvl w:val="0"/>
          <w:numId w:val="14"/>
        </w:numPr>
        <w:spacing w:after="0" w:line="240" w:lineRule="auto"/>
        <w:rPr>
          <w:rFonts w:ascii="Times New Roman" w:hAnsi="Times New Roman"/>
          <w:sz w:val="24"/>
          <w:szCs w:val="24"/>
        </w:rPr>
      </w:pPr>
      <w:r w:rsidRPr="00FD5668">
        <w:rPr>
          <w:rFonts w:ascii="Times New Roman" w:hAnsi="Times New Roman"/>
          <w:sz w:val="24"/>
          <w:szCs w:val="24"/>
        </w:rPr>
        <w:t xml:space="preserve">Results have also been integrated into many additional presentations </w:t>
      </w:r>
    </w:p>
    <w:p w14:paraId="45F533F6" w14:textId="77777777" w:rsidR="00A97482" w:rsidRPr="00A97482" w:rsidRDefault="00A97482" w:rsidP="00B128BE">
      <w:pPr>
        <w:spacing w:after="0" w:line="240" w:lineRule="auto"/>
        <w:rPr>
          <w:rFonts w:ascii="Times New Roman" w:eastAsia="Calibri" w:hAnsi="Times New Roman" w:cs="Times New Roman"/>
          <w:color w:val="FF0000"/>
          <w:sz w:val="24"/>
          <w:szCs w:val="24"/>
        </w:rPr>
      </w:pPr>
    </w:p>
    <w:p w14:paraId="37000EF3" w14:textId="77777777" w:rsidR="00A97482" w:rsidRPr="00A97482" w:rsidRDefault="00A97482">
      <w:pPr>
        <w:spacing w:after="0" w:line="240" w:lineRule="auto"/>
        <w:rPr>
          <w:rFonts w:ascii="Times New Roman" w:eastAsia="Calibri" w:hAnsi="Times New Roman" w:cs="Times New Roman"/>
          <w:color w:val="FF0000"/>
          <w:sz w:val="24"/>
          <w:szCs w:val="24"/>
        </w:rPr>
      </w:pPr>
    </w:p>
    <w:sectPr w:rsidR="00A97482" w:rsidRPr="00A97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3E30"/>
    <w:multiLevelType w:val="hybridMultilevel"/>
    <w:tmpl w:val="15FA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D31F8"/>
    <w:multiLevelType w:val="hybridMultilevel"/>
    <w:tmpl w:val="4866D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82451B5"/>
    <w:multiLevelType w:val="hybridMultilevel"/>
    <w:tmpl w:val="00B0A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14694"/>
    <w:multiLevelType w:val="hybridMultilevel"/>
    <w:tmpl w:val="BC882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AD5B5F"/>
    <w:multiLevelType w:val="hybridMultilevel"/>
    <w:tmpl w:val="49940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FC409E"/>
    <w:multiLevelType w:val="hybridMultilevel"/>
    <w:tmpl w:val="50A89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A7924"/>
    <w:multiLevelType w:val="hybridMultilevel"/>
    <w:tmpl w:val="5CBA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FB76CD"/>
    <w:multiLevelType w:val="hybridMultilevel"/>
    <w:tmpl w:val="E5B87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D719CF"/>
    <w:multiLevelType w:val="hybridMultilevel"/>
    <w:tmpl w:val="9538F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5A067A"/>
    <w:multiLevelType w:val="hybridMultilevel"/>
    <w:tmpl w:val="572487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D66084"/>
    <w:multiLevelType w:val="hybridMultilevel"/>
    <w:tmpl w:val="F4B4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FF0F8C"/>
    <w:multiLevelType w:val="hybridMultilevel"/>
    <w:tmpl w:val="42F2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2154E55"/>
    <w:multiLevelType w:val="hybridMultilevel"/>
    <w:tmpl w:val="9702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C4477"/>
    <w:multiLevelType w:val="hybridMultilevel"/>
    <w:tmpl w:val="88F0C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11"/>
  </w:num>
  <w:num w:numId="4">
    <w:abstractNumId w:val="9"/>
  </w:num>
  <w:num w:numId="5">
    <w:abstractNumId w:val="7"/>
  </w:num>
  <w:num w:numId="6">
    <w:abstractNumId w:val="13"/>
  </w:num>
  <w:num w:numId="7">
    <w:abstractNumId w:val="4"/>
  </w:num>
  <w:num w:numId="8">
    <w:abstractNumId w:val="12"/>
  </w:num>
  <w:num w:numId="9">
    <w:abstractNumId w:val="2"/>
  </w:num>
  <w:num w:numId="10">
    <w:abstractNumId w:val="6"/>
  </w:num>
  <w:num w:numId="11">
    <w:abstractNumId w:val="0"/>
  </w:num>
  <w:num w:numId="12">
    <w:abstractNumId w:val="5"/>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78"/>
    <w:rsid w:val="00041BEA"/>
    <w:rsid w:val="000727F2"/>
    <w:rsid w:val="00081789"/>
    <w:rsid w:val="00082F2B"/>
    <w:rsid w:val="00092559"/>
    <w:rsid w:val="00093381"/>
    <w:rsid w:val="000C1AF2"/>
    <w:rsid w:val="000D0E42"/>
    <w:rsid w:val="000F7A8C"/>
    <w:rsid w:val="00106C2E"/>
    <w:rsid w:val="00106D45"/>
    <w:rsid w:val="001123F1"/>
    <w:rsid w:val="001732A1"/>
    <w:rsid w:val="00193109"/>
    <w:rsid w:val="001A3238"/>
    <w:rsid w:val="001A4E0D"/>
    <w:rsid w:val="001B2342"/>
    <w:rsid w:val="001D04DA"/>
    <w:rsid w:val="001F1FDF"/>
    <w:rsid w:val="00234F27"/>
    <w:rsid w:val="00296540"/>
    <w:rsid w:val="00296D35"/>
    <w:rsid w:val="002C4AF8"/>
    <w:rsid w:val="003454C6"/>
    <w:rsid w:val="00365802"/>
    <w:rsid w:val="00374DEF"/>
    <w:rsid w:val="00391228"/>
    <w:rsid w:val="003A4B3E"/>
    <w:rsid w:val="003B5591"/>
    <w:rsid w:val="003C244B"/>
    <w:rsid w:val="003D65CC"/>
    <w:rsid w:val="003E1FEF"/>
    <w:rsid w:val="00416ED3"/>
    <w:rsid w:val="00420349"/>
    <w:rsid w:val="00421716"/>
    <w:rsid w:val="004500F4"/>
    <w:rsid w:val="00450951"/>
    <w:rsid w:val="00460B9D"/>
    <w:rsid w:val="00461DE5"/>
    <w:rsid w:val="00464528"/>
    <w:rsid w:val="00466C09"/>
    <w:rsid w:val="004A0C72"/>
    <w:rsid w:val="004C34D0"/>
    <w:rsid w:val="004C6140"/>
    <w:rsid w:val="005070E8"/>
    <w:rsid w:val="00551314"/>
    <w:rsid w:val="00560469"/>
    <w:rsid w:val="00570C4C"/>
    <w:rsid w:val="0057238F"/>
    <w:rsid w:val="005A013E"/>
    <w:rsid w:val="005B5DCE"/>
    <w:rsid w:val="005C061D"/>
    <w:rsid w:val="005D24E7"/>
    <w:rsid w:val="005D70A7"/>
    <w:rsid w:val="00625A85"/>
    <w:rsid w:val="00640BE9"/>
    <w:rsid w:val="00645570"/>
    <w:rsid w:val="00665A9C"/>
    <w:rsid w:val="006946DC"/>
    <w:rsid w:val="006A2611"/>
    <w:rsid w:val="006B313F"/>
    <w:rsid w:val="006D6EB4"/>
    <w:rsid w:val="006E55E4"/>
    <w:rsid w:val="00701702"/>
    <w:rsid w:val="00703F11"/>
    <w:rsid w:val="00704028"/>
    <w:rsid w:val="007304BE"/>
    <w:rsid w:val="0074064C"/>
    <w:rsid w:val="00742876"/>
    <w:rsid w:val="00753093"/>
    <w:rsid w:val="007566E0"/>
    <w:rsid w:val="0078590D"/>
    <w:rsid w:val="00796AC9"/>
    <w:rsid w:val="00796D9C"/>
    <w:rsid w:val="007B4E99"/>
    <w:rsid w:val="007C1318"/>
    <w:rsid w:val="007C5F3A"/>
    <w:rsid w:val="007D0E86"/>
    <w:rsid w:val="007E51F1"/>
    <w:rsid w:val="00811E24"/>
    <w:rsid w:val="0082745B"/>
    <w:rsid w:val="0085227E"/>
    <w:rsid w:val="008539A8"/>
    <w:rsid w:val="008568A0"/>
    <w:rsid w:val="00857E8E"/>
    <w:rsid w:val="008812EB"/>
    <w:rsid w:val="008B377C"/>
    <w:rsid w:val="008C0FCD"/>
    <w:rsid w:val="008E6F0E"/>
    <w:rsid w:val="008F6E45"/>
    <w:rsid w:val="00917418"/>
    <w:rsid w:val="009232F9"/>
    <w:rsid w:val="00933E2B"/>
    <w:rsid w:val="00967264"/>
    <w:rsid w:val="00971EE1"/>
    <w:rsid w:val="0098417B"/>
    <w:rsid w:val="009858B6"/>
    <w:rsid w:val="009B44F0"/>
    <w:rsid w:val="009B6F61"/>
    <w:rsid w:val="009F2BEE"/>
    <w:rsid w:val="00A05066"/>
    <w:rsid w:val="00A44DC1"/>
    <w:rsid w:val="00A57DC2"/>
    <w:rsid w:val="00A65A43"/>
    <w:rsid w:val="00A75CDE"/>
    <w:rsid w:val="00A92FA1"/>
    <w:rsid w:val="00A97482"/>
    <w:rsid w:val="00AB1E70"/>
    <w:rsid w:val="00AC26BA"/>
    <w:rsid w:val="00B0715A"/>
    <w:rsid w:val="00B128BE"/>
    <w:rsid w:val="00B17983"/>
    <w:rsid w:val="00B2604A"/>
    <w:rsid w:val="00B621BD"/>
    <w:rsid w:val="00BB4C06"/>
    <w:rsid w:val="00BD2F99"/>
    <w:rsid w:val="00BE289E"/>
    <w:rsid w:val="00C128B8"/>
    <w:rsid w:val="00C51740"/>
    <w:rsid w:val="00C9725E"/>
    <w:rsid w:val="00CA0EC9"/>
    <w:rsid w:val="00CA2981"/>
    <w:rsid w:val="00CE0FC6"/>
    <w:rsid w:val="00D10D49"/>
    <w:rsid w:val="00D24F30"/>
    <w:rsid w:val="00D2502C"/>
    <w:rsid w:val="00D32BAD"/>
    <w:rsid w:val="00D37FB4"/>
    <w:rsid w:val="00D6603E"/>
    <w:rsid w:val="00DA4481"/>
    <w:rsid w:val="00DC0499"/>
    <w:rsid w:val="00DD5C76"/>
    <w:rsid w:val="00DE623D"/>
    <w:rsid w:val="00DE73B1"/>
    <w:rsid w:val="00E04033"/>
    <w:rsid w:val="00E2488F"/>
    <w:rsid w:val="00E46A9D"/>
    <w:rsid w:val="00E61673"/>
    <w:rsid w:val="00E71278"/>
    <w:rsid w:val="00E95EA2"/>
    <w:rsid w:val="00E95FA6"/>
    <w:rsid w:val="00EA1502"/>
    <w:rsid w:val="00EC51E9"/>
    <w:rsid w:val="00ED6237"/>
    <w:rsid w:val="00F01905"/>
    <w:rsid w:val="00F239AD"/>
    <w:rsid w:val="00F534EE"/>
    <w:rsid w:val="00FB2FB6"/>
    <w:rsid w:val="00FB60BD"/>
    <w:rsid w:val="00FB6BF6"/>
    <w:rsid w:val="00FD5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06A5"/>
  <w15:docId w15:val="{B679B92C-13BC-4D82-ACFB-B240B26D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342"/>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FB2FB6"/>
    <w:rPr>
      <w:sz w:val="16"/>
      <w:szCs w:val="16"/>
    </w:rPr>
  </w:style>
  <w:style w:type="paragraph" w:styleId="CommentText">
    <w:name w:val="annotation text"/>
    <w:basedOn w:val="Normal"/>
    <w:link w:val="CommentTextChar"/>
    <w:uiPriority w:val="99"/>
    <w:semiHidden/>
    <w:unhideWhenUsed/>
    <w:rsid w:val="00FB2FB6"/>
    <w:pPr>
      <w:spacing w:line="240" w:lineRule="auto"/>
    </w:pPr>
    <w:rPr>
      <w:sz w:val="20"/>
      <w:szCs w:val="20"/>
    </w:rPr>
  </w:style>
  <w:style w:type="character" w:customStyle="1" w:styleId="CommentTextChar">
    <w:name w:val="Comment Text Char"/>
    <w:basedOn w:val="DefaultParagraphFont"/>
    <w:link w:val="CommentText"/>
    <w:uiPriority w:val="99"/>
    <w:semiHidden/>
    <w:rsid w:val="00FB2FB6"/>
    <w:rPr>
      <w:sz w:val="20"/>
      <w:szCs w:val="20"/>
    </w:rPr>
  </w:style>
  <w:style w:type="paragraph" w:styleId="CommentSubject">
    <w:name w:val="annotation subject"/>
    <w:basedOn w:val="CommentText"/>
    <w:next w:val="CommentText"/>
    <w:link w:val="CommentSubjectChar"/>
    <w:uiPriority w:val="99"/>
    <w:semiHidden/>
    <w:unhideWhenUsed/>
    <w:rsid w:val="00FB2FB6"/>
    <w:rPr>
      <w:b/>
      <w:bCs/>
    </w:rPr>
  </w:style>
  <w:style w:type="character" w:customStyle="1" w:styleId="CommentSubjectChar">
    <w:name w:val="Comment Subject Char"/>
    <w:basedOn w:val="CommentTextChar"/>
    <w:link w:val="CommentSubject"/>
    <w:uiPriority w:val="99"/>
    <w:semiHidden/>
    <w:rsid w:val="00FB2FB6"/>
    <w:rPr>
      <w:b/>
      <w:bCs/>
      <w:sz w:val="20"/>
      <w:szCs w:val="20"/>
    </w:rPr>
  </w:style>
  <w:style w:type="paragraph" w:styleId="BalloonText">
    <w:name w:val="Balloon Text"/>
    <w:basedOn w:val="Normal"/>
    <w:link w:val="BalloonTextChar"/>
    <w:uiPriority w:val="99"/>
    <w:semiHidden/>
    <w:unhideWhenUsed/>
    <w:rsid w:val="00FB2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FB6"/>
    <w:rPr>
      <w:rFonts w:ascii="Tahoma" w:hAnsi="Tahoma" w:cs="Tahoma"/>
      <w:sz w:val="16"/>
      <w:szCs w:val="16"/>
    </w:rPr>
  </w:style>
  <w:style w:type="paragraph" w:styleId="NormalWeb">
    <w:name w:val="Normal (Web)"/>
    <w:basedOn w:val="Normal"/>
    <w:uiPriority w:val="99"/>
    <w:semiHidden/>
    <w:unhideWhenUsed/>
    <w:rsid w:val="00B128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499621">
      <w:bodyDiv w:val="1"/>
      <w:marLeft w:val="0"/>
      <w:marRight w:val="0"/>
      <w:marTop w:val="0"/>
      <w:marBottom w:val="0"/>
      <w:divBdr>
        <w:top w:val="none" w:sz="0" w:space="0" w:color="auto"/>
        <w:left w:val="none" w:sz="0" w:space="0" w:color="auto"/>
        <w:bottom w:val="none" w:sz="0" w:space="0" w:color="auto"/>
        <w:right w:val="none" w:sz="0" w:space="0" w:color="auto"/>
      </w:divBdr>
      <w:divsChild>
        <w:div w:id="1195579312">
          <w:marLeft w:val="0"/>
          <w:marRight w:val="0"/>
          <w:marTop w:val="0"/>
          <w:marBottom w:val="0"/>
          <w:divBdr>
            <w:top w:val="none" w:sz="0" w:space="0" w:color="auto"/>
            <w:left w:val="none" w:sz="0" w:space="0" w:color="auto"/>
            <w:bottom w:val="none" w:sz="0" w:space="0" w:color="auto"/>
            <w:right w:val="none" w:sz="0" w:space="0" w:color="auto"/>
          </w:divBdr>
          <w:divsChild>
            <w:div w:id="2429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F41C4-FC0C-4496-AB36-F759A804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7546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Seth L Naeve</dc:creator>
  <cp:lastModifiedBy>david-kee@excite.com</cp:lastModifiedBy>
  <cp:revision>2</cp:revision>
  <cp:lastPrinted>2017-12-05T17:34:00Z</cp:lastPrinted>
  <dcterms:created xsi:type="dcterms:W3CDTF">2020-06-09T13:52:00Z</dcterms:created>
  <dcterms:modified xsi:type="dcterms:W3CDTF">2020-06-09T13:52:00Z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http://www.zotero.org/styles/canadian-journal-of-fisheries-and-aquatic-sciences</vt:lpwstr>
  </property>
  <property fmtid="{D5CDD505-2E9C-101B-9397-08002B2CF9AE}" pid="11" name="Mendeley Recent Style Name 4_1">
    <vt:lpwstr>Canadian Journal of Fisheries and Aquatic Sciences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http://www.zotero.org/styles/genetics</vt:lpwstr>
  </property>
  <property fmtid="{D5CDD505-2E9C-101B-9397-08002B2CF9AE}" pid="15" name="Mendeley Recent Style Name 6_1">
    <vt:lpwstr>Genetics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