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ink/ink2.xml" ContentType="application/inkml+xml"/>
  <Override PartName="/word/ink/ink3.xml" ContentType="application/inkml+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27B05A" w14:textId="77777777" w:rsidR="000C383B" w:rsidRPr="002300B7" w:rsidRDefault="000C383B" w:rsidP="000C383B">
      <w:pPr>
        <w:spacing w:line="360" w:lineRule="auto"/>
        <w:jc w:val="center"/>
        <w:rPr>
          <w:rFonts w:ascii="Times New Roman" w:hAnsi="Times New Roman" w:cs="Times New Roman"/>
          <w:b/>
          <w:sz w:val="36"/>
          <w:szCs w:val="36"/>
        </w:rPr>
      </w:pPr>
      <w:bookmarkStart w:id="0" w:name="_Hlk21075768"/>
      <w:bookmarkEnd w:id="0"/>
      <w:r w:rsidRPr="002300B7">
        <w:rPr>
          <w:rFonts w:ascii="Times New Roman" w:hAnsi="Times New Roman" w:cs="Times New Roman"/>
          <w:b/>
          <w:sz w:val="36"/>
          <w:szCs w:val="36"/>
        </w:rPr>
        <w:t>Sustainable Systems Approach for Improving Soil Health and Managing Soybean Production</w:t>
      </w:r>
    </w:p>
    <w:p w14:paraId="75A52809" w14:textId="70B27439" w:rsidR="000C383B" w:rsidRPr="002300B7" w:rsidRDefault="00F37784" w:rsidP="000C383B">
      <w:pPr>
        <w:spacing w:line="360" w:lineRule="auto"/>
        <w:jc w:val="center"/>
        <w:rPr>
          <w:rFonts w:ascii="Times New Roman" w:hAnsi="Times New Roman" w:cs="Times New Roman"/>
          <w:b/>
          <w:sz w:val="28"/>
          <w:szCs w:val="28"/>
        </w:rPr>
      </w:pPr>
      <w:r w:rsidRPr="002300B7">
        <w:rPr>
          <w:rFonts w:ascii="Times New Roman" w:hAnsi="Times New Roman" w:cs="Times New Roman"/>
          <w:b/>
          <w:sz w:val="28"/>
          <w:szCs w:val="28"/>
        </w:rPr>
        <w:t>August</w:t>
      </w:r>
      <w:r w:rsidR="000C383B" w:rsidRPr="002300B7">
        <w:rPr>
          <w:rFonts w:ascii="Times New Roman" w:hAnsi="Times New Roman" w:cs="Times New Roman"/>
          <w:b/>
          <w:sz w:val="28"/>
          <w:szCs w:val="28"/>
        </w:rPr>
        <w:t xml:space="preserve"> 2020 Final Report</w:t>
      </w:r>
    </w:p>
    <w:p w14:paraId="5BFDDC13" w14:textId="3EF8B225" w:rsidR="000C383B" w:rsidRPr="002300B7" w:rsidRDefault="000C383B" w:rsidP="000C383B">
      <w:pPr>
        <w:spacing w:line="360" w:lineRule="auto"/>
        <w:jc w:val="center"/>
        <w:rPr>
          <w:rFonts w:ascii="Times New Roman" w:hAnsi="Times New Roman" w:cs="Times New Roman"/>
          <w:b/>
          <w:sz w:val="28"/>
          <w:szCs w:val="28"/>
        </w:rPr>
      </w:pPr>
      <w:r w:rsidRPr="002300B7">
        <w:rPr>
          <w:rFonts w:ascii="Times New Roman" w:hAnsi="Times New Roman" w:cs="Times New Roman"/>
          <w:b/>
          <w:sz w:val="28"/>
          <w:szCs w:val="28"/>
        </w:rPr>
        <w:t>Dr. Mahdi Al-Kaisi</w:t>
      </w:r>
      <w:r w:rsidR="008164E4">
        <w:rPr>
          <w:rFonts w:ascii="Times New Roman" w:hAnsi="Times New Roman" w:cs="Times New Roman"/>
          <w:b/>
          <w:sz w:val="28"/>
          <w:szCs w:val="28"/>
        </w:rPr>
        <w:t xml:space="preserve"> and Alex Cleveringa</w:t>
      </w:r>
    </w:p>
    <w:p w14:paraId="34F0BA04" w14:textId="77777777" w:rsidR="000C383B" w:rsidRPr="002300B7" w:rsidRDefault="000C383B" w:rsidP="000C383B">
      <w:pPr>
        <w:spacing w:line="360" w:lineRule="auto"/>
        <w:jc w:val="center"/>
        <w:rPr>
          <w:rFonts w:ascii="Times New Roman" w:hAnsi="Times New Roman" w:cs="Times New Roman"/>
          <w:b/>
          <w:sz w:val="28"/>
          <w:szCs w:val="28"/>
        </w:rPr>
      </w:pPr>
      <w:r w:rsidRPr="002300B7">
        <w:rPr>
          <w:rFonts w:ascii="Times New Roman" w:hAnsi="Times New Roman" w:cs="Times New Roman"/>
          <w:b/>
          <w:sz w:val="28"/>
          <w:szCs w:val="28"/>
        </w:rPr>
        <w:t>Iowa State University</w:t>
      </w:r>
    </w:p>
    <w:p w14:paraId="121D01A0" w14:textId="25B7DA64" w:rsidR="000C383B" w:rsidRPr="007872F9" w:rsidRDefault="00973E77" w:rsidP="000C383B">
      <w:pPr>
        <w:spacing w:line="360" w:lineRule="auto"/>
        <w:jc w:val="center"/>
        <w:rPr>
          <w:rFonts w:cs="Times New Roman"/>
          <w:b/>
          <w:sz w:val="36"/>
          <w:szCs w:val="36"/>
        </w:rPr>
      </w:pPr>
      <w:r>
        <w:rPr>
          <w:rFonts w:cs="Times New Roman"/>
          <w:b/>
          <w:noProof/>
          <w:sz w:val="28"/>
          <w:szCs w:val="28"/>
        </w:rPr>
        <mc:AlternateContent>
          <mc:Choice Requires="wpi">
            <w:drawing>
              <wp:anchor distT="0" distB="0" distL="114300" distR="114300" simplePos="0" relativeHeight="251665408" behindDoc="0" locked="0" layoutInCell="1" allowOverlap="1" wp14:anchorId="19420207" wp14:editId="53E14A8B">
                <wp:simplePos x="0" y="0"/>
                <wp:positionH relativeFrom="column">
                  <wp:posOffset>-1602106</wp:posOffset>
                </wp:positionH>
                <wp:positionV relativeFrom="paragraph">
                  <wp:posOffset>-1521190</wp:posOffset>
                </wp:positionV>
                <wp:extent cx="487080" cy="4716000"/>
                <wp:effectExtent l="38100" t="38100" r="46355" b="46990"/>
                <wp:wrapNone/>
                <wp:docPr id="3" name="Ink 3"/>
                <wp:cNvGraphicFramePr/>
                <a:graphic xmlns:a="http://schemas.openxmlformats.org/drawingml/2006/main">
                  <a:graphicData uri="http://schemas.microsoft.com/office/word/2010/wordprocessingInk">
                    <w14:contentPart bwMode="auto" r:id="rId6">
                      <w14:nvContentPartPr>
                        <w14:cNvContentPartPr/>
                      </w14:nvContentPartPr>
                      <w14:xfrm>
                        <a:off x="0" y="0"/>
                        <a:ext cx="487080" cy="4716000"/>
                      </w14:xfrm>
                    </w14:contentPart>
                  </a:graphicData>
                </a:graphic>
              </wp:anchor>
            </w:drawing>
          </mc:Choice>
          <mc:Fallback xmlns:w16="http://schemas.microsoft.com/office/word/2018/wordml" xmlns:w16cex="http://schemas.microsoft.com/office/word/2018/wordml/cex">
            <w:pict>
              <v:shapetype w14:anchorId="31E0AD95"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3" o:spid="_x0000_s1026" type="#_x0000_t75" style="position:absolute;margin-left:-126.85pt;margin-top:-120.5pt;width:39.75pt;height:372.8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">
                <v:imagedata r:id="rId7" o:title=""/>
              </v:shape>
            </w:pict>
          </mc:Fallback>
        </mc:AlternateContent>
      </w:r>
      <w:r w:rsidR="009C54EE">
        <w:rPr>
          <w:rFonts w:cs="Times New Roman"/>
          <w:b/>
          <w:noProof/>
          <w:sz w:val="28"/>
          <w:szCs w:val="28"/>
        </w:rPr>
        <mc:AlternateContent>
          <mc:Choice Requires="wpi">
            <w:drawing>
              <wp:anchor distT="0" distB="0" distL="114300" distR="114300" simplePos="0" relativeHeight="251664384" behindDoc="0" locked="0" layoutInCell="1" allowOverlap="1" wp14:anchorId="6B693A69" wp14:editId="1DEE9812">
                <wp:simplePos x="0" y="0"/>
                <wp:positionH relativeFrom="column">
                  <wp:posOffset>-3094510</wp:posOffset>
                </wp:positionH>
                <wp:positionV relativeFrom="paragraph">
                  <wp:posOffset>2038235</wp:posOffset>
                </wp:positionV>
                <wp:extent cx="14760" cy="8280"/>
                <wp:effectExtent l="57150" t="38100" r="42545" b="48895"/>
                <wp:wrapNone/>
                <wp:docPr id="2" name="Ink 2"/>
                <wp:cNvGraphicFramePr/>
                <a:graphic xmlns:a="http://schemas.openxmlformats.org/drawingml/2006/main">
                  <a:graphicData uri="http://schemas.microsoft.com/office/word/2010/wordprocessingInk">
                    <w14:contentPart bwMode="auto" r:id="rId8">
                      <w14:nvContentPartPr>
                        <w14:cNvContentPartPr/>
                      </w14:nvContentPartPr>
                      <w14:xfrm>
                        <a:off x="0" y="0"/>
                        <a:ext cx="14760" cy="8280"/>
                      </w14:xfrm>
                    </w14:contentPart>
                  </a:graphicData>
                </a:graphic>
              </wp:anchor>
            </w:drawing>
          </mc:Choice>
          <mc:Fallback xmlns:w16="http://schemas.microsoft.com/office/word/2018/wordml" xmlns:w16cex="http://schemas.microsoft.com/office/word/2018/wordml/cex">
            <w:pict>
              <v:shapetype w14:anchorId="1B8630B4"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2" o:spid="_x0000_s1026" type="#_x0000_t75" style="position:absolute;margin-left:-244.3pt;margin-top:159.8pt;width:2.5pt;height:2.05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">
                <v:imagedata r:id="rId9" o:title=""/>
              </v:shape>
            </w:pict>
          </mc:Fallback>
        </mc:AlternateContent>
      </w:r>
      <w:r w:rsidR="000C383B">
        <w:rPr>
          <w:rFonts w:cs="Times New Roman"/>
          <w:b/>
          <w:noProof/>
          <w:sz w:val="28"/>
          <w:szCs w:val="28"/>
        </w:rPr>
        <w:drawing>
          <wp:inline distT="0" distB="0" distL="0" distR="0" wp14:anchorId="7DD40640" wp14:editId="4A00CF1E">
            <wp:extent cx="5937250" cy="4457700"/>
            <wp:effectExtent l="0" t="0" r="635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37250" cy="4457700"/>
                    </a:xfrm>
                    <a:prstGeom prst="rect">
                      <a:avLst/>
                    </a:prstGeom>
                    <a:noFill/>
                    <a:ln>
                      <a:noFill/>
                    </a:ln>
                  </pic:spPr>
                </pic:pic>
              </a:graphicData>
            </a:graphic>
          </wp:inline>
        </w:drawing>
      </w:r>
      <w:r w:rsidR="000C383B">
        <w:rPr>
          <w:rFonts w:cs="Times New Roman"/>
          <w:b/>
          <w:sz w:val="24"/>
          <w:szCs w:val="24"/>
        </w:rPr>
        <w:br w:type="page"/>
      </w:r>
    </w:p>
    <w:p w14:paraId="61669E8A" w14:textId="77777777" w:rsidR="00D30628" w:rsidRDefault="0074098A" w:rsidP="00D30628">
      <w:pPr>
        <w:spacing w:line="24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lastRenderedPageBreak/>
        <w:t>Executive Summary</w:t>
      </w:r>
    </w:p>
    <w:p w14:paraId="74BA200C" w14:textId="77777777" w:rsidR="00C51817" w:rsidRDefault="00C51817" w:rsidP="00D30628">
      <w:pPr>
        <w:spacing w:line="240" w:lineRule="auto"/>
        <w:ind w:firstLine="720"/>
        <w:rPr>
          <w:rFonts w:ascii="Times New Roman" w:hAnsi="Times New Roman" w:cs="Times New Roman"/>
        </w:rPr>
      </w:pPr>
    </w:p>
    <w:p w14:paraId="19D3F99C" w14:textId="1427E310" w:rsidR="00E4508D" w:rsidRPr="002D7DB1" w:rsidRDefault="00E4508D" w:rsidP="00D30628">
      <w:pPr>
        <w:spacing w:line="240" w:lineRule="auto"/>
        <w:ind w:firstLine="720"/>
        <w:rPr>
          <w:rFonts w:ascii="Times New Roman" w:eastAsia="Times New Roman" w:hAnsi="Times New Roman" w:cs="Times New Roman"/>
          <w:b/>
          <w:bCs/>
          <w:color w:val="000000"/>
          <w:sz w:val="28"/>
          <w:szCs w:val="28"/>
        </w:rPr>
      </w:pPr>
      <w:r w:rsidRPr="00E4508D">
        <w:rPr>
          <w:rFonts w:ascii="Times New Roman" w:hAnsi="Times New Roman" w:cs="Times New Roman"/>
          <w:noProof/>
        </w:rPr>
        <mc:AlternateContent>
          <mc:Choice Requires="wpi">
            <w:drawing>
              <wp:anchor distT="0" distB="0" distL="114300" distR="114300" simplePos="0" relativeHeight="251661312" behindDoc="0" locked="0" layoutInCell="1" allowOverlap="1" wp14:anchorId="741B9608" wp14:editId="6157B23B">
                <wp:simplePos x="0" y="0"/>
                <wp:positionH relativeFrom="column">
                  <wp:posOffset>-1972461</wp:posOffset>
                </wp:positionH>
                <wp:positionV relativeFrom="paragraph">
                  <wp:posOffset>1028424</wp:posOffset>
                </wp:positionV>
                <wp:extent cx="6480" cy="17640"/>
                <wp:effectExtent l="76200" t="114300" r="107950" b="135255"/>
                <wp:wrapNone/>
                <wp:docPr id="7" name="Ink 7"/>
                <wp:cNvGraphicFramePr/>
                <a:graphic xmlns:a="http://schemas.openxmlformats.org/drawingml/2006/main">
                  <a:graphicData uri="http://schemas.microsoft.com/office/word/2010/wordprocessingInk">
                    <w14:contentPart bwMode="auto" r:id="rId11">
                      <w14:nvContentPartPr>
                        <w14:cNvContentPartPr/>
                      </w14:nvContentPartPr>
                      <w14:xfrm>
                        <a:off x="0" y="0"/>
                        <a:ext cx="6350" cy="17145"/>
                      </w14:xfrm>
                    </w14:contentPart>
                  </a:graphicData>
                </a:graphic>
              </wp:anchor>
            </w:drawing>
          </mc:Choice>
          <mc:Fallback xmlns:w16="http://schemas.microsoft.com/office/word/2018/wordml" xmlns:w16cex="http://schemas.microsoft.com/office/word/2018/wordml/cex">
            <w:pict>
              <v:shapetype w14:anchorId="4BDB0A74"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7" o:spid="_x0000_s1026" type="#_x0000_t75" style="position:absolute;margin-left:-159.45pt;margin-top:72.55pt;width:8.8pt;height:18.2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">
                <v:imagedata r:id="rId12" o:title=""/>
              </v:shape>
            </w:pict>
          </mc:Fallback>
        </mc:AlternateContent>
      </w:r>
      <w:r w:rsidRPr="00E4508D">
        <w:rPr>
          <w:rFonts w:ascii="Times New Roman" w:hAnsi="Times New Roman" w:cs="Times New Roman"/>
        </w:rPr>
        <w:t>This project was established in the fall of 2017 to determine the water quality, productivity, soil health and economic benefits of integrating cover crop and tillage systems (no-till, NT, and chisel plow, CP) in a soybean production system. The findings of this work demonstrate the short-term benefits of cover crop and NT in improving soil health as measured by the improvement of water infiltration and reduction in nitrate leaching under cover crop as compared to non-cover crop treatments</w:t>
      </w:r>
      <w:r w:rsidR="00126DB2">
        <w:rPr>
          <w:rFonts w:ascii="Times New Roman" w:hAnsi="Times New Roman" w:cs="Times New Roman"/>
        </w:rPr>
        <w:t xml:space="preserve">, as well as the </w:t>
      </w:r>
      <w:r w:rsidR="0045358C">
        <w:rPr>
          <w:rFonts w:ascii="Times New Roman" w:hAnsi="Times New Roman" w:cs="Times New Roman"/>
        </w:rPr>
        <w:t>economic outcomes of cover crop use and NT</w:t>
      </w:r>
      <w:r w:rsidRPr="00E4508D">
        <w:rPr>
          <w:rFonts w:ascii="Times New Roman" w:hAnsi="Times New Roman" w:cs="Times New Roman"/>
        </w:rPr>
        <w:t xml:space="preserve">. The seeding of cover crop before and after soybean crop in the Des Moines Lobe area is encouraged given the unique cold and wet soil conditions early in the spring. The integration of cover crop in the short-term as well as in the long-term is a good management practice for soil health and productivity, coupled with no-till. </w:t>
      </w:r>
      <w:r w:rsidR="00BA1D1E">
        <w:rPr>
          <w:rFonts w:ascii="Times New Roman" w:hAnsi="Times New Roman" w:cs="Times New Roman"/>
        </w:rPr>
        <w:t>From this study</w:t>
      </w:r>
      <w:r w:rsidR="002F332C">
        <w:rPr>
          <w:rFonts w:ascii="Times New Roman" w:hAnsi="Times New Roman" w:cs="Times New Roman"/>
        </w:rPr>
        <w:t xml:space="preserve">, </w:t>
      </w:r>
      <w:r w:rsidR="00D55DEB">
        <w:rPr>
          <w:rFonts w:ascii="Times New Roman" w:hAnsi="Times New Roman" w:cs="Times New Roman"/>
        </w:rPr>
        <w:t xml:space="preserve">there </w:t>
      </w:r>
      <w:r w:rsidR="005A4930">
        <w:rPr>
          <w:rFonts w:ascii="Times New Roman" w:hAnsi="Times New Roman" w:cs="Times New Roman"/>
        </w:rPr>
        <w:t>are</w:t>
      </w:r>
      <w:r w:rsidR="00D55DEB">
        <w:rPr>
          <w:rFonts w:ascii="Times New Roman" w:hAnsi="Times New Roman" w:cs="Times New Roman"/>
        </w:rPr>
        <w:t xml:space="preserve"> </w:t>
      </w:r>
      <w:r w:rsidR="008227E8">
        <w:rPr>
          <w:rFonts w:ascii="Times New Roman" w:hAnsi="Times New Roman" w:cs="Times New Roman"/>
        </w:rPr>
        <w:t>potential benefits</w:t>
      </w:r>
      <w:r w:rsidR="0070234F">
        <w:rPr>
          <w:rFonts w:ascii="Times New Roman" w:hAnsi="Times New Roman" w:cs="Times New Roman"/>
        </w:rPr>
        <w:t xml:space="preserve"> to the soil health</w:t>
      </w:r>
      <w:r w:rsidR="00970016">
        <w:rPr>
          <w:rFonts w:ascii="Times New Roman" w:hAnsi="Times New Roman" w:cs="Times New Roman"/>
        </w:rPr>
        <w:t xml:space="preserve"> such as increase in water infiltration</w:t>
      </w:r>
      <w:r w:rsidR="0070234F">
        <w:rPr>
          <w:rFonts w:ascii="Times New Roman" w:hAnsi="Times New Roman" w:cs="Times New Roman"/>
        </w:rPr>
        <w:t xml:space="preserve"> and </w:t>
      </w:r>
      <w:r w:rsidR="00D95D57">
        <w:rPr>
          <w:rFonts w:ascii="Times New Roman" w:hAnsi="Times New Roman" w:cs="Times New Roman"/>
        </w:rPr>
        <w:t>reduction in nitrate loss</w:t>
      </w:r>
      <w:r w:rsidR="0070234F">
        <w:rPr>
          <w:rFonts w:ascii="Times New Roman" w:hAnsi="Times New Roman" w:cs="Times New Roman"/>
        </w:rPr>
        <w:t xml:space="preserve"> over the short duration of the experiment. </w:t>
      </w:r>
      <w:r w:rsidR="000762B9">
        <w:rPr>
          <w:rFonts w:ascii="Times New Roman" w:hAnsi="Times New Roman" w:cs="Times New Roman"/>
        </w:rPr>
        <w:t xml:space="preserve">This is </w:t>
      </w:r>
      <w:r w:rsidR="00516ED3">
        <w:rPr>
          <w:rFonts w:ascii="Times New Roman" w:hAnsi="Times New Roman" w:cs="Times New Roman"/>
        </w:rPr>
        <w:t>useful</w:t>
      </w:r>
      <w:r w:rsidR="000762B9">
        <w:rPr>
          <w:rFonts w:ascii="Times New Roman" w:hAnsi="Times New Roman" w:cs="Times New Roman"/>
        </w:rPr>
        <w:t xml:space="preserve"> information f</w:t>
      </w:r>
      <w:r w:rsidR="0070234F">
        <w:rPr>
          <w:rFonts w:ascii="Times New Roman" w:hAnsi="Times New Roman" w:cs="Times New Roman"/>
        </w:rPr>
        <w:t xml:space="preserve">or farmers </w:t>
      </w:r>
      <w:r w:rsidR="00AA0D60">
        <w:rPr>
          <w:rFonts w:ascii="Times New Roman" w:hAnsi="Times New Roman" w:cs="Times New Roman"/>
        </w:rPr>
        <w:t xml:space="preserve">who are </w:t>
      </w:r>
      <w:r w:rsidR="0070234F">
        <w:rPr>
          <w:rFonts w:ascii="Times New Roman" w:hAnsi="Times New Roman" w:cs="Times New Roman"/>
        </w:rPr>
        <w:t xml:space="preserve">considering </w:t>
      </w:r>
      <w:r w:rsidR="00E34724">
        <w:rPr>
          <w:rFonts w:ascii="Times New Roman" w:hAnsi="Times New Roman" w:cs="Times New Roman"/>
        </w:rPr>
        <w:t xml:space="preserve">transitioning to </w:t>
      </w:r>
      <w:r w:rsidR="000762B9">
        <w:rPr>
          <w:rFonts w:ascii="Times New Roman" w:hAnsi="Times New Roman" w:cs="Times New Roman"/>
        </w:rPr>
        <w:t>sustainable practices.</w:t>
      </w:r>
      <w:r w:rsidR="00D55DEB">
        <w:rPr>
          <w:rFonts w:ascii="Times New Roman" w:hAnsi="Times New Roman" w:cs="Times New Roman"/>
        </w:rPr>
        <w:t xml:space="preserve"> </w:t>
      </w:r>
      <w:r w:rsidRPr="00E4508D">
        <w:rPr>
          <w:rFonts w:ascii="Times New Roman" w:hAnsi="Times New Roman" w:cs="Times New Roman"/>
        </w:rPr>
        <w:t>Soybean yield was affected by tillage</w:t>
      </w:r>
      <w:r w:rsidR="006B1946">
        <w:rPr>
          <w:rFonts w:ascii="Times New Roman" w:hAnsi="Times New Roman" w:cs="Times New Roman"/>
        </w:rPr>
        <w:t xml:space="preserve"> in 2018</w:t>
      </w:r>
      <w:r w:rsidRPr="00E4508D">
        <w:rPr>
          <w:rFonts w:ascii="Times New Roman" w:hAnsi="Times New Roman" w:cs="Times New Roman"/>
        </w:rPr>
        <w:t xml:space="preserve">, with CP resulting in a 4.5 </w:t>
      </w:r>
      <w:proofErr w:type="spellStart"/>
      <w:r w:rsidRPr="00E4508D">
        <w:rPr>
          <w:rFonts w:ascii="Times New Roman" w:hAnsi="Times New Roman" w:cs="Times New Roman"/>
        </w:rPr>
        <w:t>bu</w:t>
      </w:r>
      <w:proofErr w:type="spellEnd"/>
      <w:r w:rsidR="007F0DB7">
        <w:rPr>
          <w:rFonts w:ascii="Times New Roman" w:hAnsi="Times New Roman" w:cs="Times New Roman"/>
        </w:rPr>
        <w:t>*</w:t>
      </w:r>
      <w:r w:rsidRPr="00E4508D">
        <w:rPr>
          <w:rFonts w:ascii="Times New Roman" w:hAnsi="Times New Roman" w:cs="Times New Roman"/>
        </w:rPr>
        <w:t>ac</w:t>
      </w:r>
      <w:r w:rsidR="007F0DB7" w:rsidRPr="007F0DB7">
        <w:rPr>
          <w:rFonts w:ascii="Times New Roman" w:hAnsi="Times New Roman" w:cs="Times New Roman"/>
          <w:vertAlign w:val="superscript"/>
        </w:rPr>
        <w:t>-1</w:t>
      </w:r>
      <w:r w:rsidRPr="00E4508D">
        <w:rPr>
          <w:rFonts w:ascii="Times New Roman" w:hAnsi="Times New Roman" w:cs="Times New Roman"/>
        </w:rPr>
        <w:t xml:space="preserve"> higher yield than NT</w:t>
      </w:r>
      <w:r w:rsidR="001D680D">
        <w:rPr>
          <w:rFonts w:ascii="Times New Roman" w:hAnsi="Times New Roman" w:cs="Times New Roman"/>
        </w:rPr>
        <w:t>, and higher yield</w:t>
      </w:r>
      <w:r w:rsidR="00570330">
        <w:rPr>
          <w:rFonts w:ascii="Times New Roman" w:hAnsi="Times New Roman" w:cs="Times New Roman"/>
        </w:rPr>
        <w:t xml:space="preserve"> in cover crop plots compared to non-cover crop plots</w:t>
      </w:r>
      <w:r w:rsidR="00640651">
        <w:rPr>
          <w:rFonts w:ascii="Times New Roman" w:hAnsi="Times New Roman" w:cs="Times New Roman"/>
        </w:rPr>
        <w:t xml:space="preserve"> in 2019</w:t>
      </w:r>
      <w:r w:rsidR="00926437">
        <w:rPr>
          <w:rFonts w:ascii="Times New Roman" w:hAnsi="Times New Roman" w:cs="Times New Roman"/>
        </w:rPr>
        <w:t xml:space="preserve"> by </w:t>
      </w:r>
      <w:r w:rsidR="00B924E1">
        <w:rPr>
          <w:rFonts w:ascii="Times New Roman" w:hAnsi="Times New Roman" w:cs="Times New Roman"/>
        </w:rPr>
        <w:t xml:space="preserve">3.4 </w:t>
      </w:r>
      <w:proofErr w:type="spellStart"/>
      <w:r w:rsidR="00B924E1">
        <w:rPr>
          <w:rFonts w:ascii="Times New Roman" w:hAnsi="Times New Roman" w:cs="Times New Roman"/>
        </w:rPr>
        <w:t>bu</w:t>
      </w:r>
      <w:proofErr w:type="spellEnd"/>
      <w:r w:rsidR="007F0DB7">
        <w:rPr>
          <w:rFonts w:ascii="Times New Roman" w:hAnsi="Times New Roman" w:cs="Times New Roman"/>
        </w:rPr>
        <w:t>*</w:t>
      </w:r>
      <w:r w:rsidR="00B924E1">
        <w:rPr>
          <w:rFonts w:ascii="Times New Roman" w:hAnsi="Times New Roman" w:cs="Times New Roman"/>
        </w:rPr>
        <w:t>ac</w:t>
      </w:r>
      <w:r w:rsidR="007F0DB7" w:rsidRPr="007F0DB7">
        <w:rPr>
          <w:rFonts w:ascii="Times New Roman" w:hAnsi="Times New Roman" w:cs="Times New Roman"/>
          <w:vertAlign w:val="superscript"/>
        </w:rPr>
        <w:t>-1</w:t>
      </w:r>
      <w:r w:rsidRPr="00E4508D">
        <w:rPr>
          <w:rFonts w:ascii="Times New Roman" w:hAnsi="Times New Roman" w:cs="Times New Roman"/>
        </w:rPr>
        <w:t xml:space="preserve">. </w:t>
      </w:r>
      <w:r w:rsidR="00B26C7E">
        <w:rPr>
          <w:rFonts w:ascii="Times New Roman" w:hAnsi="Times New Roman" w:cs="Times New Roman"/>
        </w:rPr>
        <w:t>As noted in the previous progress report</w:t>
      </w:r>
      <w:r w:rsidR="00FE7493">
        <w:rPr>
          <w:rFonts w:ascii="Times New Roman" w:hAnsi="Times New Roman" w:cs="Times New Roman"/>
        </w:rPr>
        <w:t xml:space="preserve"> </w:t>
      </w:r>
      <w:hyperlink r:id="rId13" w:history="1">
        <w:r w:rsidR="00FE7493" w:rsidRPr="004E010C">
          <w:rPr>
            <w:rStyle w:val="Hyperlink"/>
            <w:rFonts w:ascii="Times New Roman" w:hAnsi="Times New Roman" w:cs="Times New Roman"/>
            <w:b/>
            <w:bCs/>
            <w:i/>
            <w:iCs/>
          </w:rPr>
          <w:t>hyperlink</w:t>
        </w:r>
      </w:hyperlink>
      <w:r w:rsidR="00B26C7E">
        <w:rPr>
          <w:rFonts w:ascii="Times New Roman" w:hAnsi="Times New Roman" w:cs="Times New Roman"/>
        </w:rPr>
        <w:t>, w</w:t>
      </w:r>
      <w:r w:rsidRPr="00E4508D">
        <w:rPr>
          <w:rFonts w:ascii="Times New Roman" w:hAnsi="Times New Roman" w:cs="Times New Roman"/>
        </w:rPr>
        <w:t xml:space="preserve">ater quality is improved with the implementation of cover crops, with a reduction in water nitrate as well as soil nitrate by 29% and 44%, respectively. The economic analysis </w:t>
      </w:r>
      <w:r w:rsidR="00577D27">
        <w:rPr>
          <w:rFonts w:ascii="Times New Roman" w:hAnsi="Times New Roman" w:cs="Times New Roman"/>
        </w:rPr>
        <w:t xml:space="preserve">indicates increased costs associated with cover crops and decreased costs associated with </w:t>
      </w:r>
      <w:r w:rsidR="0061660C">
        <w:rPr>
          <w:rFonts w:ascii="Times New Roman" w:hAnsi="Times New Roman" w:cs="Times New Roman"/>
        </w:rPr>
        <w:t>NT</w:t>
      </w:r>
      <w:r w:rsidR="00577D27">
        <w:rPr>
          <w:rFonts w:ascii="Times New Roman" w:hAnsi="Times New Roman" w:cs="Times New Roman"/>
        </w:rPr>
        <w:t>,</w:t>
      </w:r>
      <w:r w:rsidR="00AA0D60">
        <w:rPr>
          <w:rFonts w:ascii="Times New Roman" w:hAnsi="Times New Roman" w:cs="Times New Roman"/>
        </w:rPr>
        <w:t xml:space="preserve"> and when an increase in yield was </w:t>
      </w:r>
      <w:r w:rsidR="00AD7DC0">
        <w:rPr>
          <w:rFonts w:ascii="Times New Roman" w:hAnsi="Times New Roman" w:cs="Times New Roman"/>
        </w:rPr>
        <w:t xml:space="preserve">obtained </w:t>
      </w:r>
      <w:r w:rsidR="00AD7DC0" w:rsidRPr="002D7DB1">
        <w:rPr>
          <w:rFonts w:ascii="Times New Roman" w:hAnsi="Times New Roman" w:cs="Times New Roman"/>
        </w:rPr>
        <w:t>using cover crops, the increase in economic gains was enough to counteract the costs associated with planting cover crops</w:t>
      </w:r>
      <w:r w:rsidRPr="002D7DB1">
        <w:rPr>
          <w:rFonts w:ascii="Times New Roman" w:hAnsi="Times New Roman" w:cs="Times New Roman"/>
        </w:rPr>
        <w:t>.</w:t>
      </w:r>
    </w:p>
    <w:p w14:paraId="659F7F8F" w14:textId="2B1E7A6A" w:rsidR="0074098A" w:rsidRPr="002D7DB1" w:rsidRDefault="0074098A" w:rsidP="00763EF3">
      <w:pPr>
        <w:spacing w:line="240" w:lineRule="auto"/>
        <w:rPr>
          <w:rFonts w:ascii="Times New Roman" w:eastAsia="Times New Roman" w:hAnsi="Times New Roman" w:cs="Times New Roman"/>
          <w:b/>
          <w:bCs/>
          <w:color w:val="000000"/>
          <w:sz w:val="28"/>
          <w:szCs w:val="28"/>
        </w:rPr>
      </w:pPr>
    </w:p>
    <w:p w14:paraId="73D47B11" w14:textId="77777777" w:rsidR="00425219" w:rsidRPr="002D7DB1" w:rsidRDefault="00425219" w:rsidP="00425219">
      <w:pPr>
        <w:spacing w:line="240" w:lineRule="auto"/>
        <w:rPr>
          <w:rFonts w:ascii="Times New Roman" w:eastAsia="Times New Roman" w:hAnsi="Times New Roman" w:cs="Times New Roman"/>
          <w:b/>
          <w:bCs/>
          <w:color w:val="000000"/>
          <w:sz w:val="28"/>
          <w:szCs w:val="28"/>
        </w:rPr>
      </w:pPr>
      <w:r w:rsidRPr="002D7DB1">
        <w:rPr>
          <w:rFonts w:ascii="Times New Roman" w:eastAsia="Times New Roman" w:hAnsi="Times New Roman" w:cs="Times New Roman"/>
          <w:b/>
          <w:bCs/>
          <w:color w:val="000000"/>
          <w:sz w:val="28"/>
          <w:szCs w:val="28"/>
        </w:rPr>
        <w:t>Introduction</w:t>
      </w:r>
    </w:p>
    <w:p w14:paraId="06C70798" w14:textId="77777777" w:rsidR="00E507D2" w:rsidRPr="002D7DB1" w:rsidRDefault="00E507D2" w:rsidP="00584FBB">
      <w:pPr>
        <w:rPr>
          <w:rFonts w:ascii="Times New Roman" w:hAnsi="Times New Roman" w:cs="Times New Roman"/>
          <w:i/>
          <w:iCs/>
        </w:rPr>
      </w:pPr>
    </w:p>
    <w:p w14:paraId="4BC8CE0C" w14:textId="61EC5217" w:rsidR="008C0E8D" w:rsidRPr="002D7DB1" w:rsidRDefault="00663E4D" w:rsidP="00584FBB">
      <w:pPr>
        <w:rPr>
          <w:rFonts w:ascii="Times New Roman" w:hAnsi="Times New Roman" w:cs="Times New Roman"/>
          <w:i/>
          <w:iCs/>
        </w:rPr>
      </w:pPr>
      <w:r w:rsidRPr="002D7DB1">
        <w:rPr>
          <w:rFonts w:ascii="Times New Roman" w:hAnsi="Times New Roman" w:cs="Times New Roman"/>
          <w:i/>
          <w:iCs/>
        </w:rPr>
        <w:t xml:space="preserve">This report is a follow-up to the progress report in October 2019. Since that time, more data were collected and analyzed. For more information on experimental design, details, sample processing, and previous results, see </w:t>
      </w:r>
      <w:hyperlink r:id="rId14" w:history="1">
        <w:r w:rsidRPr="004E010C">
          <w:rPr>
            <w:rStyle w:val="Hyperlink"/>
            <w:rFonts w:ascii="Times New Roman" w:hAnsi="Times New Roman" w:cs="Times New Roman"/>
            <w:b/>
            <w:bCs/>
            <w:i/>
            <w:iCs/>
          </w:rPr>
          <w:t>hyperlink</w:t>
        </w:r>
      </w:hyperlink>
      <w:r w:rsidRPr="002D7DB1">
        <w:rPr>
          <w:rFonts w:ascii="Times New Roman" w:hAnsi="Times New Roman" w:cs="Times New Roman"/>
          <w:i/>
          <w:iCs/>
          <w:u w:val="single"/>
        </w:rPr>
        <w:t>.</w:t>
      </w:r>
      <w:r w:rsidRPr="002D7DB1">
        <w:rPr>
          <w:rFonts w:ascii="Times New Roman" w:hAnsi="Times New Roman" w:cs="Times New Roman"/>
          <w:i/>
          <w:iCs/>
        </w:rPr>
        <w:t xml:space="preserve"> This is the final report for this study. </w:t>
      </w:r>
    </w:p>
    <w:p w14:paraId="3D5A9D3C" w14:textId="77777777" w:rsidR="002D7DB1" w:rsidRPr="002D7DB1" w:rsidRDefault="002D7DB1" w:rsidP="00584FBB">
      <w:pPr>
        <w:rPr>
          <w:rFonts w:ascii="Times New Roman" w:hAnsi="Times New Roman" w:cs="Times New Roman"/>
        </w:rPr>
      </w:pPr>
    </w:p>
    <w:p w14:paraId="4503A236" w14:textId="27D54F94" w:rsidR="00F80565" w:rsidRPr="002D7DB1" w:rsidRDefault="008C0E8D" w:rsidP="00584FBB">
      <w:pPr>
        <w:rPr>
          <w:rFonts w:ascii="Times New Roman" w:hAnsi="Times New Roman" w:cs="Times New Roman"/>
        </w:rPr>
      </w:pPr>
      <w:r w:rsidRPr="002D7DB1">
        <w:rPr>
          <w:rFonts w:ascii="Times New Roman" w:hAnsi="Times New Roman" w:cs="Times New Roman"/>
        </w:rPr>
        <w:t xml:space="preserve">The following </w:t>
      </w:r>
      <w:r w:rsidR="00B42DB4" w:rsidRPr="002D7DB1">
        <w:rPr>
          <w:rFonts w:ascii="Times New Roman" w:hAnsi="Times New Roman" w:cs="Times New Roman"/>
        </w:rPr>
        <w:t>parameters will be covered by this update:</w:t>
      </w:r>
    </w:p>
    <w:p w14:paraId="118EEAF2" w14:textId="77777777" w:rsidR="004770A2" w:rsidRPr="002D7DB1" w:rsidRDefault="004770A2" w:rsidP="00584FBB">
      <w:pPr>
        <w:rPr>
          <w:rFonts w:ascii="Times New Roman" w:hAnsi="Times New Roman" w:cs="Times New Roman"/>
          <w:b/>
          <w:bCs/>
        </w:rPr>
      </w:pPr>
    </w:p>
    <w:p w14:paraId="58648158" w14:textId="4097907D" w:rsidR="00584FBB" w:rsidRPr="002D7DB1" w:rsidRDefault="00584FBB" w:rsidP="00584FBB">
      <w:pPr>
        <w:rPr>
          <w:rFonts w:ascii="Times New Roman" w:hAnsi="Times New Roman" w:cs="Times New Roman"/>
          <w:b/>
          <w:bCs/>
        </w:rPr>
      </w:pPr>
      <w:r w:rsidRPr="002D7DB1">
        <w:rPr>
          <w:rFonts w:ascii="Times New Roman" w:hAnsi="Times New Roman" w:cs="Times New Roman"/>
          <w:b/>
          <w:bCs/>
        </w:rPr>
        <w:t>Productivity</w:t>
      </w:r>
    </w:p>
    <w:p w14:paraId="63FBA52B" w14:textId="72A15D75" w:rsidR="00584FBB" w:rsidRPr="002D7DB1" w:rsidRDefault="00584FBB" w:rsidP="00584FBB">
      <w:pPr>
        <w:pStyle w:val="ListParagraph"/>
        <w:numPr>
          <w:ilvl w:val="0"/>
          <w:numId w:val="2"/>
        </w:numPr>
        <w:rPr>
          <w:rFonts w:cs="Times New Roman"/>
          <w:b/>
          <w:bCs/>
        </w:rPr>
      </w:pPr>
      <w:r w:rsidRPr="002D7DB1">
        <w:rPr>
          <w:rFonts w:cs="Times New Roman"/>
        </w:rPr>
        <w:t>Soybean Yield</w:t>
      </w:r>
    </w:p>
    <w:p w14:paraId="338B33A9" w14:textId="27A99C44" w:rsidR="009926AA" w:rsidRPr="002D7DB1" w:rsidRDefault="009926AA" w:rsidP="00584FBB">
      <w:pPr>
        <w:pStyle w:val="ListParagraph"/>
        <w:numPr>
          <w:ilvl w:val="0"/>
          <w:numId w:val="2"/>
        </w:numPr>
        <w:rPr>
          <w:rFonts w:cs="Times New Roman"/>
          <w:b/>
          <w:bCs/>
        </w:rPr>
      </w:pPr>
      <w:r w:rsidRPr="002D7DB1">
        <w:rPr>
          <w:rFonts w:cs="Times New Roman"/>
        </w:rPr>
        <w:t>Cover Crop Aboveground Biomass</w:t>
      </w:r>
    </w:p>
    <w:p w14:paraId="30DC9F2A" w14:textId="1AD34B43" w:rsidR="009926AA" w:rsidRPr="002D7DB1" w:rsidRDefault="009926AA" w:rsidP="00584FBB">
      <w:pPr>
        <w:pStyle w:val="ListParagraph"/>
        <w:numPr>
          <w:ilvl w:val="0"/>
          <w:numId w:val="2"/>
        </w:numPr>
        <w:rPr>
          <w:rFonts w:cs="Times New Roman"/>
          <w:b/>
          <w:bCs/>
        </w:rPr>
      </w:pPr>
      <w:r w:rsidRPr="002D7DB1">
        <w:rPr>
          <w:rFonts w:cs="Times New Roman"/>
        </w:rPr>
        <w:t>Cover Crop Root Biomass</w:t>
      </w:r>
    </w:p>
    <w:p w14:paraId="36FB18D7" w14:textId="72C10122" w:rsidR="00004BCB" w:rsidRPr="002D7DB1" w:rsidRDefault="00004BCB" w:rsidP="00584FBB">
      <w:pPr>
        <w:pStyle w:val="ListParagraph"/>
        <w:numPr>
          <w:ilvl w:val="0"/>
          <w:numId w:val="2"/>
        </w:numPr>
        <w:rPr>
          <w:rFonts w:cs="Times New Roman"/>
          <w:b/>
          <w:bCs/>
        </w:rPr>
      </w:pPr>
      <w:r w:rsidRPr="002D7DB1">
        <w:rPr>
          <w:rFonts w:cs="Times New Roman"/>
        </w:rPr>
        <w:t>Economic Analysis</w:t>
      </w:r>
    </w:p>
    <w:p w14:paraId="47FC5E2D" w14:textId="77777777" w:rsidR="00584FBB" w:rsidRPr="002D7DB1" w:rsidRDefault="00584FBB" w:rsidP="00584FBB">
      <w:pPr>
        <w:rPr>
          <w:rFonts w:ascii="Times New Roman" w:hAnsi="Times New Roman" w:cs="Times New Roman"/>
        </w:rPr>
      </w:pPr>
      <w:r w:rsidRPr="002D7DB1">
        <w:rPr>
          <w:rFonts w:ascii="Times New Roman" w:hAnsi="Times New Roman" w:cs="Times New Roman"/>
          <w:b/>
          <w:bCs/>
        </w:rPr>
        <w:t>Soil Health</w:t>
      </w:r>
    </w:p>
    <w:p w14:paraId="37B5D258" w14:textId="26BACEE8" w:rsidR="00584FBB" w:rsidRPr="002D7DB1" w:rsidRDefault="00584FBB" w:rsidP="00584FBB">
      <w:pPr>
        <w:pStyle w:val="ListParagraph"/>
        <w:numPr>
          <w:ilvl w:val="0"/>
          <w:numId w:val="3"/>
        </w:numPr>
        <w:rPr>
          <w:rFonts w:cs="Times New Roman"/>
          <w:b/>
          <w:bCs/>
        </w:rPr>
      </w:pPr>
      <w:r w:rsidRPr="002D7DB1">
        <w:rPr>
          <w:rFonts w:cs="Times New Roman"/>
        </w:rPr>
        <w:t xml:space="preserve">Soil </w:t>
      </w:r>
      <w:r w:rsidR="003E4EA4" w:rsidRPr="002D7DB1">
        <w:rPr>
          <w:rFonts w:cs="Times New Roman"/>
        </w:rPr>
        <w:t>Macro-</w:t>
      </w:r>
      <w:r w:rsidRPr="002D7DB1">
        <w:rPr>
          <w:rFonts w:cs="Times New Roman"/>
        </w:rPr>
        <w:t>Aggregate Stability</w:t>
      </w:r>
    </w:p>
    <w:p w14:paraId="55534652" w14:textId="77777777" w:rsidR="00584FBB" w:rsidRPr="008D3430" w:rsidRDefault="00584FBB" w:rsidP="00584FBB">
      <w:pPr>
        <w:pStyle w:val="ListParagraph"/>
        <w:numPr>
          <w:ilvl w:val="0"/>
          <w:numId w:val="3"/>
        </w:numPr>
        <w:rPr>
          <w:rFonts w:cs="Times New Roman"/>
          <w:b/>
          <w:bCs/>
        </w:rPr>
      </w:pPr>
      <w:r>
        <w:rPr>
          <w:rFonts w:cs="Times New Roman"/>
        </w:rPr>
        <w:t>Soil Bulk Density</w:t>
      </w:r>
    </w:p>
    <w:p w14:paraId="103C3239" w14:textId="77777777" w:rsidR="00584FBB" w:rsidRPr="008D3430" w:rsidRDefault="00584FBB" w:rsidP="00584FBB">
      <w:pPr>
        <w:pStyle w:val="ListParagraph"/>
        <w:numPr>
          <w:ilvl w:val="0"/>
          <w:numId w:val="3"/>
        </w:numPr>
        <w:rPr>
          <w:rFonts w:cs="Times New Roman"/>
          <w:b/>
          <w:bCs/>
        </w:rPr>
      </w:pPr>
      <w:r>
        <w:rPr>
          <w:rFonts w:cs="Times New Roman"/>
        </w:rPr>
        <w:t>Soil pH</w:t>
      </w:r>
    </w:p>
    <w:p w14:paraId="705F7525" w14:textId="67A05759" w:rsidR="00584FBB" w:rsidRPr="003E4EA4" w:rsidRDefault="00584FBB" w:rsidP="00584FBB">
      <w:pPr>
        <w:pStyle w:val="ListParagraph"/>
        <w:numPr>
          <w:ilvl w:val="0"/>
          <w:numId w:val="3"/>
        </w:numPr>
        <w:rPr>
          <w:rFonts w:cs="Times New Roman"/>
          <w:b/>
          <w:bCs/>
        </w:rPr>
      </w:pPr>
      <w:r>
        <w:rPr>
          <w:rFonts w:cs="Times New Roman"/>
        </w:rPr>
        <w:t>Soil Microbial Biomass-Carbon</w:t>
      </w:r>
    </w:p>
    <w:p w14:paraId="0D43CC99" w14:textId="1564EB5A" w:rsidR="003E4EA4" w:rsidRPr="008D3430" w:rsidRDefault="003E4EA4" w:rsidP="00584FBB">
      <w:pPr>
        <w:pStyle w:val="ListParagraph"/>
        <w:numPr>
          <w:ilvl w:val="0"/>
          <w:numId w:val="3"/>
        </w:numPr>
        <w:rPr>
          <w:rFonts w:cs="Times New Roman"/>
          <w:b/>
          <w:bCs/>
        </w:rPr>
      </w:pPr>
      <w:r>
        <w:rPr>
          <w:rFonts w:cs="Times New Roman"/>
        </w:rPr>
        <w:t>Total Soil Carbon</w:t>
      </w:r>
    </w:p>
    <w:p w14:paraId="191DEE60" w14:textId="77777777" w:rsidR="00584FBB" w:rsidRPr="008D3430" w:rsidRDefault="00584FBB" w:rsidP="00584FBB">
      <w:pPr>
        <w:pStyle w:val="ListParagraph"/>
        <w:numPr>
          <w:ilvl w:val="0"/>
          <w:numId w:val="3"/>
        </w:numPr>
        <w:rPr>
          <w:rFonts w:cs="Times New Roman"/>
          <w:b/>
          <w:bCs/>
        </w:rPr>
      </w:pPr>
      <w:r>
        <w:rPr>
          <w:rFonts w:cs="Times New Roman"/>
        </w:rPr>
        <w:t>Soybean Residue Decomposition</w:t>
      </w:r>
    </w:p>
    <w:p w14:paraId="4B4B10E5" w14:textId="2C4E9BF0" w:rsidR="00E4508D" w:rsidRPr="00663E4D" w:rsidRDefault="00E4508D" w:rsidP="00763EF3">
      <w:pPr>
        <w:spacing w:line="240" w:lineRule="auto"/>
        <w:rPr>
          <w:rFonts w:ascii="Times New Roman" w:eastAsia="Times New Roman" w:hAnsi="Times New Roman" w:cs="Times New Roman"/>
          <w:b/>
          <w:bCs/>
          <w:color w:val="000000"/>
          <w:sz w:val="28"/>
          <w:szCs w:val="28"/>
        </w:rPr>
      </w:pPr>
    </w:p>
    <w:p w14:paraId="4C52FD04" w14:textId="77777777" w:rsidR="003E2339" w:rsidRDefault="003E2339">
      <w:pP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br w:type="page"/>
      </w:r>
    </w:p>
    <w:p w14:paraId="6DEC848A" w14:textId="77777777" w:rsidR="0066062B" w:rsidRPr="0066062B" w:rsidRDefault="0066062B" w:rsidP="00A0061B">
      <w:pPr>
        <w:spacing w:line="240" w:lineRule="auto"/>
        <w:rPr>
          <w:rFonts w:ascii="Times New Roman" w:eastAsia="Times New Roman" w:hAnsi="Times New Roman" w:cs="Times New Roman"/>
          <w:b/>
          <w:bCs/>
          <w:color w:val="000000"/>
          <w:sz w:val="28"/>
          <w:szCs w:val="28"/>
        </w:rPr>
      </w:pPr>
      <w:r w:rsidRPr="0066062B">
        <w:rPr>
          <w:rFonts w:ascii="Times New Roman" w:eastAsia="Times New Roman" w:hAnsi="Times New Roman" w:cs="Times New Roman"/>
          <w:b/>
          <w:bCs/>
          <w:color w:val="000000"/>
          <w:sz w:val="28"/>
          <w:szCs w:val="28"/>
        </w:rPr>
        <w:lastRenderedPageBreak/>
        <w:t>Productivity</w:t>
      </w:r>
    </w:p>
    <w:p w14:paraId="5B914EBF" w14:textId="77777777" w:rsidR="0066062B" w:rsidRDefault="0066062B" w:rsidP="00A0061B">
      <w:pPr>
        <w:spacing w:line="240" w:lineRule="auto"/>
        <w:rPr>
          <w:rFonts w:ascii="Times New Roman" w:eastAsia="Times New Roman" w:hAnsi="Times New Roman" w:cs="Times New Roman"/>
          <w:b/>
          <w:bCs/>
          <w:color w:val="000000"/>
          <w:sz w:val="24"/>
          <w:szCs w:val="24"/>
        </w:rPr>
      </w:pPr>
    </w:p>
    <w:p w14:paraId="78D132FA" w14:textId="63DC8036" w:rsidR="00A0061B" w:rsidRPr="00F80565" w:rsidRDefault="00A0061B" w:rsidP="00A0061B">
      <w:pPr>
        <w:spacing w:line="240" w:lineRule="auto"/>
        <w:rPr>
          <w:rFonts w:ascii="Times New Roman" w:eastAsia="Times New Roman" w:hAnsi="Times New Roman" w:cs="Times New Roman"/>
          <w:b/>
          <w:bCs/>
          <w:color w:val="000000"/>
          <w:sz w:val="24"/>
          <w:szCs w:val="24"/>
        </w:rPr>
      </w:pPr>
      <w:r w:rsidRPr="00F80565">
        <w:rPr>
          <w:rFonts w:ascii="Times New Roman" w:eastAsia="Times New Roman" w:hAnsi="Times New Roman" w:cs="Times New Roman"/>
          <w:b/>
          <w:bCs/>
          <w:color w:val="000000"/>
          <w:sz w:val="24"/>
          <w:szCs w:val="24"/>
        </w:rPr>
        <w:t>Soybean Yield</w:t>
      </w:r>
    </w:p>
    <w:p w14:paraId="0C9DA2C0" w14:textId="77777777" w:rsidR="00A0061B" w:rsidRDefault="00A0061B" w:rsidP="00A0061B">
      <w:pPr>
        <w:spacing w:line="240" w:lineRule="auto"/>
        <w:rPr>
          <w:rFonts w:ascii="Times New Roman" w:eastAsia="Times New Roman" w:hAnsi="Times New Roman" w:cs="Times New Roman"/>
          <w:b/>
          <w:bCs/>
          <w:color w:val="000000"/>
        </w:rPr>
      </w:pPr>
    </w:p>
    <w:p w14:paraId="16795208" w14:textId="0CA2D9B5" w:rsidR="00A0061B" w:rsidRDefault="00A0061B" w:rsidP="00A0061B">
      <w:pP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ab/>
        <w:t xml:space="preserve">In 2018, soybean yields were slightly decreased in no-till compared to chisel plow </w:t>
      </w:r>
      <w:r w:rsidR="00C766C9">
        <w:rPr>
          <w:rFonts w:ascii="Times New Roman" w:eastAsia="Times New Roman" w:hAnsi="Times New Roman" w:cs="Times New Roman"/>
          <w:color w:val="000000"/>
        </w:rPr>
        <w:t xml:space="preserve">across cover crop treatments </w:t>
      </w:r>
      <w:r>
        <w:rPr>
          <w:rFonts w:ascii="Times New Roman" w:eastAsia="Times New Roman" w:hAnsi="Times New Roman" w:cs="Times New Roman"/>
          <w:color w:val="000000"/>
        </w:rPr>
        <w:t>(Fig</w:t>
      </w:r>
      <w:r w:rsidR="005E3163">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1). In 2019, however, soybean yields were significantly higher in cover crop plots than non-cover crop plots by 3.4 bushels per acre (Fig</w:t>
      </w:r>
      <w:r w:rsidR="005E3163">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2), and were higher than the county average for Hancock </w:t>
      </w:r>
      <w:r w:rsidR="00903DA3">
        <w:rPr>
          <w:rFonts w:ascii="Times New Roman" w:eastAsia="Times New Roman" w:hAnsi="Times New Roman" w:cs="Times New Roman"/>
          <w:color w:val="000000"/>
        </w:rPr>
        <w:t>C</w:t>
      </w:r>
      <w:r>
        <w:rPr>
          <w:rFonts w:ascii="Times New Roman" w:eastAsia="Times New Roman" w:hAnsi="Times New Roman" w:cs="Times New Roman"/>
          <w:color w:val="000000"/>
        </w:rPr>
        <w:t>ounty.</w:t>
      </w:r>
    </w:p>
    <w:p w14:paraId="474CABD0" w14:textId="77777777" w:rsidR="00A0061B" w:rsidRPr="00763EF3" w:rsidRDefault="00A0061B" w:rsidP="00A0061B">
      <w:pPr>
        <w:spacing w:line="240" w:lineRule="auto"/>
        <w:rPr>
          <w:rFonts w:ascii="Times New Roman" w:eastAsia="Times New Roman" w:hAnsi="Times New Roman" w:cs="Times New Roman"/>
          <w:color w:val="000000"/>
        </w:rPr>
      </w:pPr>
    </w:p>
    <w:p w14:paraId="63681929" w14:textId="77777777" w:rsidR="00A0061B" w:rsidRPr="00763EF3" w:rsidRDefault="00A0061B" w:rsidP="00A0061B">
      <w:pPr>
        <w:spacing w:line="240" w:lineRule="auto"/>
        <w:rPr>
          <w:rFonts w:ascii="Times New Roman" w:eastAsia="Times New Roman" w:hAnsi="Times New Roman" w:cs="Times New Roman"/>
          <w:color w:val="000000"/>
        </w:rPr>
      </w:pPr>
      <w:r>
        <w:rPr>
          <w:noProof/>
        </w:rPr>
        <w:drawing>
          <wp:inline distT="0" distB="0" distL="0" distR="0" wp14:anchorId="2BA0EB87" wp14:editId="3F9A63EC">
            <wp:extent cx="4575174" cy="2654302"/>
            <wp:effectExtent l="0" t="0" r="16510" b="12700"/>
            <wp:docPr id="1" name="Chart 1">
              <a:extLst xmlns:a="http://schemas.openxmlformats.org/drawingml/2006/main">
                <a:ext uri="{FF2B5EF4-FFF2-40B4-BE49-F238E27FC236}">
                  <a16:creationId xmlns:a16="http://schemas.microsoft.com/office/drawing/2014/main" id="{D880D22D-B0A1-4A81-97ED-70056CA945E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Pr="00763EF3">
        <w:rPr>
          <w:rFonts w:ascii="Times New Roman" w:eastAsia="Times New Roman" w:hAnsi="Times New Roman" w:cs="Times New Roman"/>
          <w:color w:val="000000"/>
        </w:rPr>
        <w:t xml:space="preserve"> </w:t>
      </w:r>
    </w:p>
    <w:p w14:paraId="2B9A287E" w14:textId="6CFF8F5D" w:rsidR="00A0061B" w:rsidRPr="00763EF3" w:rsidRDefault="00A0061B" w:rsidP="00A0061B">
      <w:pP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Figure 1. Soybean yield following corn in 2018. Upper case letters are used for comparing cover crop treatments </w:t>
      </w:r>
      <w:r w:rsidR="000B2043">
        <w:rPr>
          <w:rFonts w:ascii="Times New Roman" w:eastAsia="Times New Roman" w:hAnsi="Times New Roman" w:cs="Times New Roman"/>
          <w:color w:val="000000"/>
        </w:rPr>
        <w:t>within</w:t>
      </w:r>
      <w:r w:rsidR="00431BE8">
        <w:rPr>
          <w:rFonts w:ascii="Times New Roman" w:eastAsia="Times New Roman" w:hAnsi="Times New Roman" w:cs="Times New Roman"/>
          <w:color w:val="000000"/>
        </w:rPr>
        <w:t xml:space="preserve"> each</w:t>
      </w:r>
      <w:r>
        <w:rPr>
          <w:rFonts w:ascii="Times New Roman" w:eastAsia="Times New Roman" w:hAnsi="Times New Roman" w:cs="Times New Roman"/>
          <w:color w:val="000000"/>
        </w:rPr>
        <w:t xml:space="preserve"> tillage </w:t>
      </w:r>
      <w:r w:rsidR="00431BE8">
        <w:rPr>
          <w:rFonts w:ascii="Times New Roman" w:eastAsia="Times New Roman" w:hAnsi="Times New Roman" w:cs="Times New Roman"/>
          <w:color w:val="000000"/>
        </w:rPr>
        <w:t>system</w:t>
      </w:r>
      <w:r>
        <w:rPr>
          <w:rFonts w:ascii="Times New Roman" w:eastAsia="Times New Roman" w:hAnsi="Times New Roman" w:cs="Times New Roman"/>
          <w:color w:val="000000"/>
        </w:rPr>
        <w:t xml:space="preserve">. Lower case letters are used for comparing </w:t>
      </w:r>
      <w:r w:rsidR="00D0367B">
        <w:rPr>
          <w:rFonts w:ascii="Times New Roman" w:eastAsia="Times New Roman" w:hAnsi="Times New Roman" w:cs="Times New Roman"/>
          <w:color w:val="000000"/>
        </w:rPr>
        <w:t>each cover crop treatment across tillage systems</w:t>
      </w:r>
      <w:r w:rsidR="00064BAE">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Treatment means with the same letter</w:t>
      </w:r>
      <w:r w:rsidRPr="00763EF3">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are not s</w:t>
      </w:r>
      <w:r w:rsidRPr="00763EF3">
        <w:rPr>
          <w:rFonts w:ascii="Times New Roman" w:eastAsia="Times New Roman" w:hAnsi="Times New Roman" w:cs="Times New Roman"/>
          <w:color w:val="000000"/>
        </w:rPr>
        <w:t>ignificant</w:t>
      </w:r>
      <w:r>
        <w:rPr>
          <w:rFonts w:ascii="Times New Roman" w:eastAsia="Times New Roman" w:hAnsi="Times New Roman" w:cs="Times New Roman"/>
          <w:color w:val="000000"/>
        </w:rPr>
        <w:t>ly</w:t>
      </w:r>
      <w:r w:rsidRPr="00763EF3">
        <w:rPr>
          <w:rFonts w:ascii="Times New Roman" w:eastAsia="Times New Roman" w:hAnsi="Times New Roman" w:cs="Times New Roman"/>
          <w:color w:val="000000"/>
        </w:rPr>
        <w:t xml:space="preserve"> differen</w:t>
      </w:r>
      <w:r>
        <w:rPr>
          <w:rFonts w:ascii="Times New Roman" w:eastAsia="Times New Roman" w:hAnsi="Times New Roman" w:cs="Times New Roman"/>
          <w:color w:val="000000"/>
        </w:rPr>
        <w:t>t at</w:t>
      </w:r>
      <w:r w:rsidRPr="00763EF3">
        <w:rPr>
          <w:rFonts w:ascii="Times New Roman" w:eastAsia="Times New Roman" w:hAnsi="Times New Roman" w:cs="Times New Roman"/>
          <w:color w:val="000000"/>
        </w:rPr>
        <w:t xml:space="preserve"> p </w:t>
      </w:r>
      <m:oMath>
        <m:r>
          <w:rPr>
            <w:rFonts w:ascii="Cambria Math" w:eastAsia="Times New Roman" w:hAnsi="Cambria Math" w:cs="Times New Roman"/>
            <w:color w:val="000000"/>
          </w:rPr>
          <m:t>≤</m:t>
        </m:r>
      </m:oMath>
      <w:r>
        <w:rPr>
          <w:rFonts w:ascii="Times New Roman" w:eastAsia="Times New Roman" w:hAnsi="Times New Roman" w:cs="Times New Roman"/>
          <w:color w:val="000000"/>
        </w:rPr>
        <w:t xml:space="preserve"> </w:t>
      </w:r>
      <w:r w:rsidRPr="00763EF3">
        <w:rPr>
          <w:rFonts w:ascii="Times New Roman" w:eastAsia="Times New Roman" w:hAnsi="Times New Roman" w:cs="Times New Roman"/>
          <w:color w:val="000000"/>
        </w:rPr>
        <w:t>0.05.</w:t>
      </w:r>
      <w:r>
        <w:rPr>
          <w:rFonts w:ascii="Times New Roman" w:eastAsia="Times New Roman" w:hAnsi="Times New Roman" w:cs="Times New Roman"/>
          <w:color w:val="000000"/>
        </w:rPr>
        <w:t xml:space="preserve"> (NT = no-till; CP = chisel plow; CC = cover crop; NC = no cover crop).</w:t>
      </w:r>
    </w:p>
    <w:p w14:paraId="54102125" w14:textId="77777777" w:rsidR="00A0061B" w:rsidRDefault="00A0061B" w:rsidP="00A0061B">
      <w:pPr>
        <w:rPr>
          <w:rFonts w:ascii="Times New Roman" w:hAnsi="Times New Roman" w:cs="Times New Roman"/>
        </w:rPr>
      </w:pPr>
    </w:p>
    <w:p w14:paraId="68435B5C" w14:textId="77777777" w:rsidR="00C77FE2" w:rsidRDefault="00C77FE2">
      <w:pPr>
        <w:rPr>
          <w:rFonts w:ascii="Times New Roman" w:hAnsi="Times New Roman" w:cs="Times New Roman"/>
        </w:rPr>
      </w:pPr>
      <w:r>
        <w:rPr>
          <w:rFonts w:ascii="Times New Roman" w:hAnsi="Times New Roman" w:cs="Times New Roman"/>
        </w:rPr>
        <w:br w:type="page"/>
      </w:r>
    </w:p>
    <w:p w14:paraId="09D46B33" w14:textId="6A1FFD3F" w:rsidR="00A0061B" w:rsidRPr="00763EF3" w:rsidRDefault="00A0061B" w:rsidP="00A0061B">
      <w:pPr>
        <w:rPr>
          <w:rFonts w:ascii="Times New Roman" w:hAnsi="Times New Roman" w:cs="Times New Roman"/>
        </w:rPr>
      </w:pPr>
      <w:r>
        <w:rPr>
          <w:noProof/>
        </w:rPr>
        <w:lastRenderedPageBreak/>
        <w:drawing>
          <wp:inline distT="0" distB="0" distL="0" distR="0" wp14:anchorId="42F9D729" wp14:editId="05C025A7">
            <wp:extent cx="4568825" cy="2647950"/>
            <wp:effectExtent l="0" t="0" r="3175" b="0"/>
            <wp:docPr id="38" name="Chart 38">
              <a:extLst xmlns:a="http://schemas.openxmlformats.org/drawingml/2006/main">
                <a:ext uri="{FF2B5EF4-FFF2-40B4-BE49-F238E27FC236}">
                  <a16:creationId xmlns:a16="http://schemas.microsoft.com/office/drawing/2014/main" id="{C50CA3B0-FDF4-459D-B7E7-E063A540D1B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5214670" w14:textId="5E038041" w:rsidR="00A0061B" w:rsidRPr="002D5166" w:rsidRDefault="00A0061B" w:rsidP="00A0061B">
      <w:pP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Figure </w:t>
      </w:r>
      <w:r w:rsidR="00193485">
        <w:rPr>
          <w:rFonts w:ascii="Times New Roman" w:eastAsia="Times New Roman" w:hAnsi="Times New Roman" w:cs="Times New Roman"/>
          <w:color w:val="000000"/>
        </w:rPr>
        <w:t>2</w:t>
      </w:r>
      <w:r>
        <w:rPr>
          <w:rFonts w:ascii="Times New Roman" w:eastAsia="Times New Roman" w:hAnsi="Times New Roman" w:cs="Times New Roman"/>
          <w:color w:val="000000"/>
        </w:rPr>
        <w:t xml:space="preserve">. Soybean yield following corn in 2019. Upper case letters are used for comparing cover crop treatments </w:t>
      </w:r>
      <w:r w:rsidR="000812EF">
        <w:rPr>
          <w:rFonts w:ascii="Times New Roman" w:eastAsia="Times New Roman" w:hAnsi="Times New Roman" w:cs="Times New Roman"/>
          <w:color w:val="000000"/>
        </w:rPr>
        <w:t>within</w:t>
      </w:r>
      <w:r>
        <w:rPr>
          <w:rFonts w:ascii="Times New Roman" w:eastAsia="Times New Roman" w:hAnsi="Times New Roman" w:cs="Times New Roman"/>
          <w:color w:val="000000"/>
        </w:rPr>
        <w:t xml:space="preserve"> tillage treatments.</w:t>
      </w:r>
      <w:r w:rsidR="00906360">
        <w:rPr>
          <w:rFonts w:ascii="Times New Roman" w:eastAsia="Times New Roman" w:hAnsi="Times New Roman" w:cs="Times New Roman"/>
          <w:color w:val="000000"/>
        </w:rPr>
        <w:t xml:space="preserve"> Lower case letters are used for comparing each cover crop treatment across tillage systems. </w:t>
      </w:r>
      <w:r>
        <w:rPr>
          <w:rFonts w:ascii="Times New Roman" w:eastAsia="Times New Roman" w:hAnsi="Times New Roman" w:cs="Times New Roman"/>
          <w:color w:val="000000"/>
        </w:rPr>
        <w:t>Treatment means with the same letter</w:t>
      </w:r>
      <w:r w:rsidRPr="00763EF3">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are not s</w:t>
      </w:r>
      <w:r w:rsidRPr="00763EF3">
        <w:rPr>
          <w:rFonts w:ascii="Times New Roman" w:eastAsia="Times New Roman" w:hAnsi="Times New Roman" w:cs="Times New Roman"/>
          <w:color w:val="000000"/>
        </w:rPr>
        <w:t>ignificant</w:t>
      </w:r>
      <w:r>
        <w:rPr>
          <w:rFonts w:ascii="Times New Roman" w:eastAsia="Times New Roman" w:hAnsi="Times New Roman" w:cs="Times New Roman"/>
          <w:color w:val="000000"/>
        </w:rPr>
        <w:t>ly</w:t>
      </w:r>
      <w:r w:rsidRPr="00763EF3">
        <w:rPr>
          <w:rFonts w:ascii="Times New Roman" w:eastAsia="Times New Roman" w:hAnsi="Times New Roman" w:cs="Times New Roman"/>
          <w:color w:val="000000"/>
        </w:rPr>
        <w:t xml:space="preserve"> differen</w:t>
      </w:r>
      <w:r>
        <w:rPr>
          <w:rFonts w:ascii="Times New Roman" w:eastAsia="Times New Roman" w:hAnsi="Times New Roman" w:cs="Times New Roman"/>
          <w:color w:val="000000"/>
        </w:rPr>
        <w:t>t at</w:t>
      </w:r>
      <w:r w:rsidRPr="00763EF3">
        <w:rPr>
          <w:rFonts w:ascii="Times New Roman" w:eastAsia="Times New Roman" w:hAnsi="Times New Roman" w:cs="Times New Roman"/>
          <w:color w:val="000000"/>
        </w:rPr>
        <w:t xml:space="preserve"> p </w:t>
      </w:r>
      <m:oMath>
        <m:r>
          <w:rPr>
            <w:rFonts w:ascii="Cambria Math" w:eastAsia="Times New Roman" w:hAnsi="Cambria Math" w:cs="Times New Roman"/>
            <w:color w:val="000000"/>
          </w:rPr>
          <m:t>≤</m:t>
        </m:r>
      </m:oMath>
      <w:r>
        <w:rPr>
          <w:rFonts w:ascii="Times New Roman" w:eastAsia="Times New Roman" w:hAnsi="Times New Roman" w:cs="Times New Roman"/>
          <w:color w:val="000000"/>
        </w:rPr>
        <w:t xml:space="preserve"> </w:t>
      </w:r>
      <w:r w:rsidRPr="00763EF3">
        <w:rPr>
          <w:rFonts w:ascii="Times New Roman" w:eastAsia="Times New Roman" w:hAnsi="Times New Roman" w:cs="Times New Roman"/>
          <w:color w:val="000000"/>
        </w:rPr>
        <w:t xml:space="preserve">0.05. </w:t>
      </w:r>
      <w:r>
        <w:rPr>
          <w:rFonts w:ascii="Times New Roman" w:eastAsia="Times New Roman" w:hAnsi="Times New Roman" w:cs="Times New Roman"/>
          <w:color w:val="000000"/>
        </w:rPr>
        <w:t>(NT = no-till; CP = chisel plow; CC = cover crop; NC = no cover crop).</w:t>
      </w:r>
    </w:p>
    <w:p w14:paraId="58981865" w14:textId="77777777" w:rsidR="00A0061B" w:rsidRDefault="00A0061B" w:rsidP="00A0061B">
      <w:pPr>
        <w:rPr>
          <w:rFonts w:ascii="Times New Roman" w:hAnsi="Times New Roman" w:cs="Times New Roman"/>
        </w:rPr>
      </w:pPr>
    </w:p>
    <w:p w14:paraId="482E3A30" w14:textId="1D2F8B89" w:rsidR="00CB1278" w:rsidRPr="00F80565" w:rsidRDefault="00CB1278" w:rsidP="00CB1278">
      <w:pPr>
        <w:rPr>
          <w:rFonts w:ascii="Times New Roman" w:hAnsi="Times New Roman" w:cs="Times New Roman"/>
          <w:b/>
          <w:bCs/>
          <w:sz w:val="24"/>
          <w:szCs w:val="24"/>
        </w:rPr>
      </w:pPr>
      <w:r w:rsidRPr="00F80565">
        <w:rPr>
          <w:rFonts w:ascii="Times New Roman" w:hAnsi="Times New Roman" w:cs="Times New Roman"/>
          <w:b/>
          <w:bCs/>
          <w:sz w:val="24"/>
          <w:szCs w:val="24"/>
        </w:rPr>
        <w:t>Cover Crop Biomass Analysis</w:t>
      </w:r>
    </w:p>
    <w:p w14:paraId="4DDE7E2A" w14:textId="77777777" w:rsidR="00EA0976" w:rsidRDefault="00EA0976" w:rsidP="00CB1278">
      <w:pPr>
        <w:rPr>
          <w:rFonts w:ascii="Times New Roman" w:hAnsi="Times New Roman" w:cs="Times New Roman"/>
        </w:rPr>
      </w:pPr>
    </w:p>
    <w:p w14:paraId="307B25D2" w14:textId="2B981AD4" w:rsidR="00CB1278" w:rsidRDefault="00CB1278" w:rsidP="00C51817">
      <w:pPr>
        <w:ind w:firstLine="720"/>
        <w:rPr>
          <w:rFonts w:ascii="Times New Roman" w:hAnsi="Times New Roman" w:cs="Times New Roman"/>
        </w:rPr>
      </w:pPr>
      <w:r>
        <w:rPr>
          <w:rFonts w:ascii="Times New Roman" w:hAnsi="Times New Roman" w:cs="Times New Roman"/>
        </w:rPr>
        <w:t xml:space="preserve">Winter rye cover crop was planted in the fall of 2017 and 2018 after harvesting the cash crop and fall tillage. We collected cover crop samples in the spring just prior to termination by herbicide to evaluate the effect of tillage and cash crop on biomass growth. The aboveground biomass in 2017 was not different across tillage systems, likely because insufficient time had passed for the </w:t>
      </w:r>
      <w:r w:rsidR="00821BDC">
        <w:rPr>
          <w:rFonts w:ascii="Times New Roman" w:hAnsi="Times New Roman" w:cs="Times New Roman"/>
        </w:rPr>
        <w:t>NT</w:t>
      </w:r>
      <w:r>
        <w:rPr>
          <w:rFonts w:ascii="Times New Roman" w:hAnsi="Times New Roman" w:cs="Times New Roman"/>
        </w:rPr>
        <w:t xml:space="preserve"> </w:t>
      </w:r>
      <w:r w:rsidR="002E0C4F">
        <w:rPr>
          <w:rFonts w:ascii="Times New Roman" w:hAnsi="Times New Roman" w:cs="Times New Roman"/>
        </w:rPr>
        <w:t>establishment</w:t>
      </w:r>
      <w:r>
        <w:rPr>
          <w:rFonts w:ascii="Times New Roman" w:hAnsi="Times New Roman" w:cs="Times New Roman"/>
        </w:rPr>
        <w:t xml:space="preserve"> to reflect changes in soil properties due to tillage in the spring of 2017 (Fig</w:t>
      </w:r>
      <w:r w:rsidR="005E3163">
        <w:rPr>
          <w:rFonts w:ascii="Times New Roman" w:hAnsi="Times New Roman" w:cs="Times New Roman"/>
        </w:rPr>
        <w:t>.</w:t>
      </w:r>
      <w:r>
        <w:rPr>
          <w:rFonts w:ascii="Times New Roman" w:hAnsi="Times New Roman" w:cs="Times New Roman"/>
        </w:rPr>
        <w:t xml:space="preserve"> 3). For the cover crop planted in the fall of 2018, we saw an increase in aboveground biomass in </w:t>
      </w:r>
      <w:r w:rsidR="006F7CA8">
        <w:rPr>
          <w:rFonts w:ascii="Times New Roman" w:hAnsi="Times New Roman" w:cs="Times New Roman"/>
        </w:rPr>
        <w:t>CP</w:t>
      </w:r>
      <w:r>
        <w:rPr>
          <w:rFonts w:ascii="Times New Roman" w:hAnsi="Times New Roman" w:cs="Times New Roman"/>
        </w:rPr>
        <w:t xml:space="preserve"> plots (Fig</w:t>
      </w:r>
      <w:r w:rsidR="005E3163">
        <w:rPr>
          <w:rFonts w:ascii="Times New Roman" w:hAnsi="Times New Roman" w:cs="Times New Roman"/>
        </w:rPr>
        <w:t>.</w:t>
      </w:r>
      <w:r>
        <w:rPr>
          <w:rFonts w:ascii="Times New Roman" w:hAnsi="Times New Roman" w:cs="Times New Roman"/>
        </w:rPr>
        <w:t xml:space="preserve"> 3).</w:t>
      </w:r>
      <w:r w:rsidR="003B4254">
        <w:rPr>
          <w:rFonts w:ascii="Times New Roman" w:hAnsi="Times New Roman" w:cs="Times New Roman"/>
        </w:rPr>
        <w:t xml:space="preserve"> The fall tillage</w:t>
      </w:r>
      <w:r w:rsidR="007D3C72">
        <w:rPr>
          <w:rFonts w:ascii="Times New Roman" w:hAnsi="Times New Roman" w:cs="Times New Roman"/>
        </w:rPr>
        <w:t xml:space="preserve"> likely</w:t>
      </w:r>
      <w:r w:rsidR="003B4254">
        <w:rPr>
          <w:rFonts w:ascii="Times New Roman" w:hAnsi="Times New Roman" w:cs="Times New Roman"/>
        </w:rPr>
        <w:t xml:space="preserve"> provided </w:t>
      </w:r>
      <w:r w:rsidR="001D581F">
        <w:rPr>
          <w:rFonts w:ascii="Times New Roman" w:hAnsi="Times New Roman" w:cs="Times New Roman"/>
        </w:rPr>
        <w:t xml:space="preserve">a better germination and growth environment in the soil by </w:t>
      </w:r>
      <w:r w:rsidR="008E4876">
        <w:rPr>
          <w:rFonts w:ascii="Times New Roman" w:hAnsi="Times New Roman" w:cs="Times New Roman"/>
        </w:rPr>
        <w:t xml:space="preserve">decreasing the </w:t>
      </w:r>
      <w:r w:rsidR="008732D0">
        <w:rPr>
          <w:rFonts w:ascii="Times New Roman" w:hAnsi="Times New Roman" w:cs="Times New Roman"/>
        </w:rPr>
        <w:t xml:space="preserve">soil </w:t>
      </w:r>
      <w:r w:rsidR="008E4876">
        <w:rPr>
          <w:rFonts w:ascii="Times New Roman" w:hAnsi="Times New Roman" w:cs="Times New Roman"/>
        </w:rPr>
        <w:t xml:space="preserve">moisture and increasing the </w:t>
      </w:r>
      <w:r w:rsidR="008732D0">
        <w:rPr>
          <w:rFonts w:ascii="Times New Roman" w:hAnsi="Times New Roman" w:cs="Times New Roman"/>
        </w:rPr>
        <w:t xml:space="preserve">soil </w:t>
      </w:r>
      <w:r w:rsidR="008E4876">
        <w:rPr>
          <w:rFonts w:ascii="Times New Roman" w:hAnsi="Times New Roman" w:cs="Times New Roman"/>
        </w:rPr>
        <w:t>temperature</w:t>
      </w:r>
      <w:r w:rsidR="00C96792">
        <w:rPr>
          <w:rFonts w:ascii="Times New Roman" w:hAnsi="Times New Roman" w:cs="Times New Roman"/>
        </w:rPr>
        <w:t>, especially in wet cold areas such as the Des Moines Lobe</w:t>
      </w:r>
      <w:r w:rsidR="008732D0">
        <w:rPr>
          <w:rFonts w:ascii="Times New Roman" w:hAnsi="Times New Roman" w:cs="Times New Roman"/>
        </w:rPr>
        <w:t>.</w:t>
      </w:r>
    </w:p>
    <w:p w14:paraId="7F66AFB8" w14:textId="558C68C9" w:rsidR="00CB1278" w:rsidRDefault="00CB1278" w:rsidP="00CB1278">
      <w:pPr>
        <w:rPr>
          <w:rFonts w:ascii="Times New Roman" w:hAnsi="Times New Roman" w:cs="Times New Roman"/>
        </w:rPr>
      </w:pPr>
      <w:r>
        <w:rPr>
          <w:rFonts w:ascii="Times New Roman" w:hAnsi="Times New Roman" w:cs="Times New Roman"/>
        </w:rPr>
        <w:tab/>
        <w:t xml:space="preserve">Root biomass was collected for cover crop planted in 2018. The roots grew significantly better in the </w:t>
      </w:r>
      <w:r w:rsidR="006F7CA8">
        <w:rPr>
          <w:rFonts w:ascii="Times New Roman" w:hAnsi="Times New Roman" w:cs="Times New Roman"/>
        </w:rPr>
        <w:t>CP</w:t>
      </w:r>
      <w:r>
        <w:rPr>
          <w:rFonts w:ascii="Times New Roman" w:hAnsi="Times New Roman" w:cs="Times New Roman"/>
        </w:rPr>
        <w:t xml:space="preserve"> treatments compared to the </w:t>
      </w:r>
      <w:r w:rsidR="006F7CA8">
        <w:rPr>
          <w:rFonts w:ascii="Times New Roman" w:hAnsi="Times New Roman" w:cs="Times New Roman"/>
        </w:rPr>
        <w:t>NT</w:t>
      </w:r>
      <w:r>
        <w:rPr>
          <w:rFonts w:ascii="Times New Roman" w:hAnsi="Times New Roman" w:cs="Times New Roman"/>
        </w:rPr>
        <w:t xml:space="preserve"> </w:t>
      </w:r>
      <w:r w:rsidR="00B74994">
        <w:rPr>
          <w:rFonts w:ascii="Times New Roman" w:hAnsi="Times New Roman" w:cs="Times New Roman"/>
        </w:rPr>
        <w:t xml:space="preserve">in the corn plots </w:t>
      </w:r>
      <w:r>
        <w:rPr>
          <w:rFonts w:ascii="Times New Roman" w:hAnsi="Times New Roman" w:cs="Times New Roman"/>
        </w:rPr>
        <w:t>(Fig</w:t>
      </w:r>
      <w:r w:rsidR="005E3163">
        <w:rPr>
          <w:rFonts w:ascii="Times New Roman" w:hAnsi="Times New Roman" w:cs="Times New Roman"/>
        </w:rPr>
        <w:t>.</w:t>
      </w:r>
      <w:r>
        <w:rPr>
          <w:rFonts w:ascii="Times New Roman" w:hAnsi="Times New Roman" w:cs="Times New Roman"/>
        </w:rPr>
        <w:t xml:space="preserve"> 4)</w:t>
      </w:r>
      <w:r w:rsidR="00FA0E6F">
        <w:rPr>
          <w:rFonts w:ascii="Times New Roman" w:hAnsi="Times New Roman" w:cs="Times New Roman"/>
        </w:rPr>
        <w:t xml:space="preserve">, also due to </w:t>
      </w:r>
      <w:r w:rsidR="00887613">
        <w:rPr>
          <w:rFonts w:ascii="Times New Roman" w:hAnsi="Times New Roman" w:cs="Times New Roman"/>
        </w:rPr>
        <w:t>a better germination and growth environment in the soil, along with increased</w:t>
      </w:r>
      <w:r w:rsidR="008F28F0">
        <w:rPr>
          <w:rFonts w:ascii="Times New Roman" w:hAnsi="Times New Roman" w:cs="Times New Roman"/>
        </w:rPr>
        <w:t xml:space="preserve"> ease of the roots to penetrate the soil</w:t>
      </w:r>
      <w:r>
        <w:rPr>
          <w:rFonts w:ascii="Times New Roman" w:hAnsi="Times New Roman" w:cs="Times New Roman"/>
        </w:rPr>
        <w:t>.</w:t>
      </w:r>
    </w:p>
    <w:p w14:paraId="21701C28" w14:textId="77777777" w:rsidR="00CB1278" w:rsidRDefault="00CB1278" w:rsidP="00CB1278">
      <w:pPr>
        <w:rPr>
          <w:rFonts w:ascii="Times New Roman" w:hAnsi="Times New Roman" w:cs="Times New Roman"/>
        </w:rPr>
      </w:pPr>
    </w:p>
    <w:p w14:paraId="64F4FD2D" w14:textId="77777777" w:rsidR="00CB1278" w:rsidRPr="00763EF3" w:rsidRDefault="00CB1278" w:rsidP="00CB1278">
      <w:pPr>
        <w:rPr>
          <w:rFonts w:ascii="Times New Roman" w:hAnsi="Times New Roman" w:cs="Times New Roman"/>
        </w:rPr>
      </w:pPr>
      <w:r>
        <w:rPr>
          <w:noProof/>
        </w:rPr>
        <w:lastRenderedPageBreak/>
        <mc:AlternateContent>
          <mc:Choice Requires="wps">
            <w:drawing>
              <wp:anchor distT="0" distB="0" distL="114300" distR="114300" simplePos="0" relativeHeight="251663360" behindDoc="0" locked="0" layoutInCell="1" allowOverlap="1" wp14:anchorId="7F020194" wp14:editId="0B037F95">
                <wp:simplePos x="0" y="0"/>
                <wp:positionH relativeFrom="column">
                  <wp:posOffset>1901290</wp:posOffset>
                </wp:positionH>
                <wp:positionV relativeFrom="paragraph">
                  <wp:posOffset>752411</wp:posOffset>
                </wp:positionV>
                <wp:extent cx="914400" cy="432976"/>
                <wp:effectExtent l="0" t="3175" r="27940" b="27940"/>
                <wp:wrapNone/>
                <wp:docPr id="58" name="Text Box 58"/>
                <wp:cNvGraphicFramePr/>
                <a:graphic xmlns:a="http://schemas.openxmlformats.org/drawingml/2006/main">
                  <a:graphicData uri="http://schemas.microsoft.com/office/word/2010/wordprocessingShape">
                    <wps:wsp>
                      <wps:cNvSpPr txBox="1"/>
                      <wps:spPr>
                        <a:xfrm rot="16200000">
                          <a:off x="0" y="0"/>
                          <a:ext cx="914400" cy="432976"/>
                        </a:xfrm>
                        <a:prstGeom prst="rect">
                          <a:avLst/>
                        </a:prstGeom>
                        <a:solidFill>
                          <a:schemeClr val="lt1"/>
                        </a:solidFill>
                        <a:ln w="6350">
                          <a:solidFill>
                            <a:prstClr val="black"/>
                          </a:solidFill>
                        </a:ln>
                      </wps:spPr>
                      <wps:txbx>
                        <w:txbxContent>
                          <w:p w14:paraId="22E4500E" w14:textId="77777777" w:rsidR="00CB1278" w:rsidRDefault="00CB1278" w:rsidP="00CB1278">
                            <w:r>
                              <w:t>*No biomass was collected</w:t>
                            </w:r>
                          </w:p>
                          <w:p w14:paraId="2BDFEA5A" w14:textId="77777777" w:rsidR="00CB1278" w:rsidRDefault="00CB1278" w:rsidP="00CB1278">
                            <w:r>
                              <w:t xml:space="preserve"> in Soybean 2017</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http://schemas.microsoft.com/office/word/2018/wordml" xmlns:w16cex="http://schemas.microsoft.com/office/word/2018/wordml/cex">
            <w:pict>
              <v:shapetype w14:anchorId="7F020194" id="_x0000_t202" coordsize="21600,21600" o:spt="202" path="m,l,21600r21600,l21600,xe">
                <v:stroke joinstyle="miter"/>
                <v:path gradientshapeok="t" o:connecttype="rect"/>
              </v:shapetype>
              <v:shape id="Text Box 58" o:spid="_x0000_s1026" type="#_x0000_t202" style="position:absolute;margin-left:149.7pt;margin-top:59.25pt;width:1in;height:34.1pt;rotation:-90;z-index:25166336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" fillcolor="white [3201]" strokeweight=".5pt">
                <v:textbox>
                  <w:txbxContent>
                    <w:p w14:paraId="22E4500E" w14:textId="77777777" w:rsidR="00CB1278" w:rsidRDefault="00CB1278" w:rsidP="00CB1278">
                      <w:r>
                        <w:t>*No biomass was collected</w:t>
                      </w:r>
                    </w:p>
                    <w:p w14:paraId="2BDFEA5A" w14:textId="77777777" w:rsidR="00CB1278" w:rsidRDefault="00CB1278" w:rsidP="00CB1278">
                      <w:r>
                        <w:t xml:space="preserve"> in Soybean 2017</w:t>
                      </w:r>
                    </w:p>
                  </w:txbxContent>
                </v:textbox>
              </v:shape>
            </w:pict>
          </mc:Fallback>
        </mc:AlternateContent>
      </w:r>
      <w:r>
        <w:rPr>
          <w:noProof/>
        </w:rPr>
        <w:drawing>
          <wp:inline distT="0" distB="0" distL="0" distR="0" wp14:anchorId="20423180" wp14:editId="2671C216">
            <wp:extent cx="5522913" cy="2743200"/>
            <wp:effectExtent l="0" t="0" r="1905" b="0"/>
            <wp:docPr id="59" name="Chart 59">
              <a:extLst xmlns:a="http://schemas.openxmlformats.org/drawingml/2006/main">
                <a:ext uri="{FF2B5EF4-FFF2-40B4-BE49-F238E27FC236}">
                  <a16:creationId xmlns:a16="http://schemas.microsoft.com/office/drawing/2014/main" id="{7178BC1E-8CA1-40CF-8F44-A329BD4CA42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1E868F6" w14:textId="7A16C326" w:rsidR="00CB1278" w:rsidRDefault="00CB1278" w:rsidP="00BB4C7A">
      <w:pP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Figure 3. Average winter rye aboveground biomass in different tillage systems, </w:t>
      </w:r>
      <w:r w:rsidR="004042A3">
        <w:rPr>
          <w:rFonts w:ascii="Times New Roman" w:eastAsia="Times New Roman" w:hAnsi="Times New Roman" w:cs="Times New Roman"/>
          <w:color w:val="000000"/>
        </w:rPr>
        <w:t xml:space="preserve">cash </w:t>
      </w:r>
      <w:r>
        <w:rPr>
          <w:rFonts w:ascii="Times New Roman" w:eastAsia="Times New Roman" w:hAnsi="Times New Roman" w:cs="Times New Roman"/>
          <w:color w:val="000000"/>
        </w:rPr>
        <w:t>crops, and years.</w:t>
      </w:r>
      <w:r w:rsidR="00236E56">
        <w:rPr>
          <w:rFonts w:ascii="Times New Roman" w:eastAsia="Times New Roman" w:hAnsi="Times New Roman" w:cs="Times New Roman"/>
          <w:color w:val="000000"/>
        </w:rPr>
        <w:t xml:space="preserve"> Crops </w:t>
      </w:r>
      <w:r w:rsidR="004042A3">
        <w:rPr>
          <w:rFonts w:ascii="Times New Roman" w:eastAsia="Times New Roman" w:hAnsi="Times New Roman" w:cs="Times New Roman"/>
          <w:color w:val="000000"/>
        </w:rPr>
        <w:t xml:space="preserve">were the cash crop </w:t>
      </w:r>
      <w:r w:rsidR="00466EE3">
        <w:rPr>
          <w:rFonts w:ascii="Times New Roman" w:eastAsia="Times New Roman" w:hAnsi="Times New Roman" w:cs="Times New Roman"/>
          <w:color w:val="000000"/>
        </w:rPr>
        <w:t>preceding</w:t>
      </w:r>
      <w:r w:rsidR="004042A3">
        <w:rPr>
          <w:rFonts w:ascii="Times New Roman" w:eastAsia="Times New Roman" w:hAnsi="Times New Roman" w:cs="Times New Roman"/>
          <w:color w:val="000000"/>
        </w:rPr>
        <w:t xml:space="preserve"> the cover crop</w:t>
      </w:r>
      <w:r w:rsidR="00466EE3">
        <w:rPr>
          <w:rFonts w:ascii="Times New Roman" w:eastAsia="Times New Roman" w:hAnsi="Times New Roman" w:cs="Times New Roman"/>
          <w:color w:val="000000"/>
        </w:rPr>
        <w:t xml:space="preserve"> planting</w:t>
      </w:r>
      <w:r w:rsidR="004042A3">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Treatment</w:t>
      </w:r>
      <w:r w:rsidR="00240A27">
        <w:rPr>
          <w:rFonts w:ascii="Times New Roman" w:eastAsia="Times New Roman" w:hAnsi="Times New Roman" w:cs="Times New Roman"/>
          <w:color w:val="000000"/>
        </w:rPr>
        <w:t xml:space="preserve"> mean</w:t>
      </w:r>
      <w:r>
        <w:rPr>
          <w:rFonts w:ascii="Times New Roman" w:eastAsia="Times New Roman" w:hAnsi="Times New Roman" w:cs="Times New Roman"/>
          <w:color w:val="000000"/>
        </w:rPr>
        <w:t>s with the same letters within each year and crop are not s</w:t>
      </w:r>
      <w:r w:rsidRPr="00763EF3">
        <w:rPr>
          <w:rFonts w:ascii="Times New Roman" w:eastAsia="Times New Roman" w:hAnsi="Times New Roman" w:cs="Times New Roman"/>
          <w:color w:val="000000"/>
        </w:rPr>
        <w:t>ignificant</w:t>
      </w:r>
      <w:r>
        <w:rPr>
          <w:rFonts w:ascii="Times New Roman" w:eastAsia="Times New Roman" w:hAnsi="Times New Roman" w:cs="Times New Roman"/>
          <w:color w:val="000000"/>
        </w:rPr>
        <w:t>ly</w:t>
      </w:r>
      <w:r w:rsidRPr="00763EF3">
        <w:rPr>
          <w:rFonts w:ascii="Times New Roman" w:eastAsia="Times New Roman" w:hAnsi="Times New Roman" w:cs="Times New Roman"/>
          <w:color w:val="000000"/>
        </w:rPr>
        <w:t xml:space="preserve"> differen</w:t>
      </w:r>
      <w:r>
        <w:rPr>
          <w:rFonts w:ascii="Times New Roman" w:eastAsia="Times New Roman" w:hAnsi="Times New Roman" w:cs="Times New Roman"/>
          <w:color w:val="000000"/>
        </w:rPr>
        <w:t>t at</w:t>
      </w:r>
      <w:r w:rsidRPr="00763EF3">
        <w:rPr>
          <w:rFonts w:ascii="Times New Roman" w:eastAsia="Times New Roman" w:hAnsi="Times New Roman" w:cs="Times New Roman"/>
          <w:color w:val="000000"/>
        </w:rPr>
        <w:t xml:space="preserve"> p </w:t>
      </w:r>
      <m:oMath>
        <m:r>
          <w:rPr>
            <w:rFonts w:ascii="Cambria Math" w:eastAsia="Times New Roman" w:hAnsi="Cambria Math" w:cs="Times New Roman"/>
            <w:color w:val="000000"/>
          </w:rPr>
          <m:t>≤</m:t>
        </m:r>
      </m:oMath>
      <w:r>
        <w:rPr>
          <w:rFonts w:ascii="Times New Roman" w:eastAsia="Times New Roman" w:hAnsi="Times New Roman" w:cs="Times New Roman"/>
          <w:color w:val="000000"/>
        </w:rPr>
        <w:t xml:space="preserve"> </w:t>
      </w:r>
      <w:r w:rsidRPr="00763EF3">
        <w:rPr>
          <w:rFonts w:ascii="Times New Roman" w:eastAsia="Times New Roman" w:hAnsi="Times New Roman" w:cs="Times New Roman"/>
          <w:color w:val="000000"/>
        </w:rPr>
        <w:t>0.05</w:t>
      </w:r>
      <w:r>
        <w:rPr>
          <w:rFonts w:ascii="Times New Roman" w:eastAsia="Times New Roman" w:hAnsi="Times New Roman" w:cs="Times New Roman"/>
          <w:color w:val="000000"/>
        </w:rPr>
        <w:t xml:space="preserve"> (CP = chisel plow; NT = no-till)</w:t>
      </w:r>
      <w:r w:rsidRPr="00763EF3">
        <w:rPr>
          <w:rFonts w:ascii="Times New Roman" w:eastAsia="Times New Roman" w:hAnsi="Times New Roman" w:cs="Times New Roman"/>
          <w:color w:val="000000"/>
        </w:rPr>
        <w:t>.</w:t>
      </w:r>
    </w:p>
    <w:p w14:paraId="4AC439DF" w14:textId="77777777" w:rsidR="00B74994" w:rsidRPr="00BB4C7A" w:rsidRDefault="00B74994" w:rsidP="00BB4C7A">
      <w:pPr>
        <w:spacing w:line="240" w:lineRule="auto"/>
        <w:rPr>
          <w:rFonts w:ascii="Times New Roman" w:eastAsia="Times New Roman" w:hAnsi="Times New Roman" w:cs="Times New Roman"/>
          <w:color w:val="000000"/>
        </w:rPr>
      </w:pPr>
    </w:p>
    <w:p w14:paraId="0C0F75FE" w14:textId="77777777" w:rsidR="00CB1278" w:rsidRPr="00763EF3" w:rsidRDefault="00CB1278" w:rsidP="00CB1278">
      <w:pPr>
        <w:rPr>
          <w:rFonts w:ascii="Times New Roman" w:hAnsi="Times New Roman" w:cs="Times New Roman"/>
        </w:rPr>
      </w:pPr>
      <w:r>
        <w:rPr>
          <w:noProof/>
        </w:rPr>
        <w:drawing>
          <wp:inline distT="0" distB="0" distL="0" distR="0" wp14:anchorId="752F7D83" wp14:editId="39EEFB48">
            <wp:extent cx="4484688" cy="2747963"/>
            <wp:effectExtent l="0" t="0" r="11430" b="14605"/>
            <wp:docPr id="60" name="Chart 60">
              <a:extLst xmlns:a="http://schemas.openxmlformats.org/drawingml/2006/main">
                <a:ext uri="{FF2B5EF4-FFF2-40B4-BE49-F238E27FC236}">
                  <a16:creationId xmlns:a16="http://schemas.microsoft.com/office/drawing/2014/main" id="{3D0FE15D-C18F-41D0-8DB6-F2F2D85B6C6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82E55D5" w14:textId="10B0EA8A" w:rsidR="00CB1278" w:rsidRDefault="00CB1278" w:rsidP="00CB1278">
      <w:pP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Figure 4. Average cover crop root biomass for cover crops planted in 2018 for different crops and tillage treatments.</w:t>
      </w:r>
      <w:r w:rsidR="00466EE3" w:rsidRPr="00466EE3">
        <w:rPr>
          <w:rFonts w:ascii="Times New Roman" w:eastAsia="Times New Roman" w:hAnsi="Times New Roman" w:cs="Times New Roman"/>
          <w:color w:val="000000"/>
        </w:rPr>
        <w:t xml:space="preserve"> </w:t>
      </w:r>
      <w:r w:rsidR="00466EE3">
        <w:rPr>
          <w:rFonts w:ascii="Times New Roman" w:eastAsia="Times New Roman" w:hAnsi="Times New Roman" w:cs="Times New Roman"/>
          <w:color w:val="000000"/>
        </w:rPr>
        <w:t>Crops were the cash crop preceding the cover crop planting.</w:t>
      </w:r>
      <w:r>
        <w:rPr>
          <w:rFonts w:ascii="Times New Roman" w:eastAsia="Times New Roman" w:hAnsi="Times New Roman" w:cs="Times New Roman"/>
          <w:color w:val="000000"/>
        </w:rPr>
        <w:t xml:space="preserve"> Treatment</w:t>
      </w:r>
      <w:r w:rsidR="00BD45CE">
        <w:rPr>
          <w:rFonts w:ascii="Times New Roman" w:eastAsia="Times New Roman" w:hAnsi="Times New Roman" w:cs="Times New Roman"/>
          <w:color w:val="000000"/>
        </w:rPr>
        <w:t xml:space="preserve"> mean</w:t>
      </w:r>
      <w:r>
        <w:rPr>
          <w:rFonts w:ascii="Times New Roman" w:eastAsia="Times New Roman" w:hAnsi="Times New Roman" w:cs="Times New Roman"/>
          <w:color w:val="000000"/>
        </w:rPr>
        <w:t>s with the same letters within each crop</w:t>
      </w:r>
      <w:r w:rsidRPr="00763EF3">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are not s</w:t>
      </w:r>
      <w:r w:rsidRPr="00763EF3">
        <w:rPr>
          <w:rFonts w:ascii="Times New Roman" w:eastAsia="Times New Roman" w:hAnsi="Times New Roman" w:cs="Times New Roman"/>
          <w:color w:val="000000"/>
        </w:rPr>
        <w:t>ignificant</w:t>
      </w:r>
      <w:r>
        <w:rPr>
          <w:rFonts w:ascii="Times New Roman" w:eastAsia="Times New Roman" w:hAnsi="Times New Roman" w:cs="Times New Roman"/>
          <w:color w:val="000000"/>
        </w:rPr>
        <w:t>ly</w:t>
      </w:r>
      <w:r w:rsidRPr="00763EF3">
        <w:rPr>
          <w:rFonts w:ascii="Times New Roman" w:eastAsia="Times New Roman" w:hAnsi="Times New Roman" w:cs="Times New Roman"/>
          <w:color w:val="000000"/>
        </w:rPr>
        <w:t xml:space="preserve"> differen</w:t>
      </w:r>
      <w:r>
        <w:rPr>
          <w:rFonts w:ascii="Times New Roman" w:eastAsia="Times New Roman" w:hAnsi="Times New Roman" w:cs="Times New Roman"/>
          <w:color w:val="000000"/>
        </w:rPr>
        <w:t>t at</w:t>
      </w:r>
      <w:r w:rsidRPr="00763EF3">
        <w:rPr>
          <w:rFonts w:ascii="Times New Roman" w:eastAsia="Times New Roman" w:hAnsi="Times New Roman" w:cs="Times New Roman"/>
          <w:color w:val="000000"/>
        </w:rPr>
        <w:t xml:space="preserve"> p </w:t>
      </w:r>
      <m:oMath>
        <m:r>
          <w:rPr>
            <w:rFonts w:ascii="Cambria Math" w:eastAsia="Times New Roman" w:hAnsi="Cambria Math" w:cs="Times New Roman"/>
            <w:color w:val="000000"/>
          </w:rPr>
          <m:t>≤</m:t>
        </m:r>
      </m:oMath>
      <w:r>
        <w:rPr>
          <w:rFonts w:ascii="Times New Roman" w:eastAsia="Times New Roman" w:hAnsi="Times New Roman" w:cs="Times New Roman"/>
          <w:color w:val="000000"/>
        </w:rPr>
        <w:t xml:space="preserve"> </w:t>
      </w:r>
      <w:r w:rsidRPr="00763EF3">
        <w:rPr>
          <w:rFonts w:ascii="Times New Roman" w:eastAsia="Times New Roman" w:hAnsi="Times New Roman" w:cs="Times New Roman"/>
          <w:color w:val="000000"/>
        </w:rPr>
        <w:t xml:space="preserve">0.05 </w:t>
      </w:r>
      <w:r>
        <w:rPr>
          <w:rFonts w:ascii="Times New Roman" w:eastAsia="Times New Roman" w:hAnsi="Times New Roman" w:cs="Times New Roman"/>
          <w:color w:val="000000"/>
        </w:rPr>
        <w:t>(NT = no-till; CP = chisel plow).</w:t>
      </w:r>
    </w:p>
    <w:p w14:paraId="349FADF0" w14:textId="77777777" w:rsidR="00CB1278" w:rsidRPr="00F80565" w:rsidRDefault="00CB1278" w:rsidP="00CB1278">
      <w:pPr>
        <w:spacing w:line="240" w:lineRule="auto"/>
        <w:rPr>
          <w:rFonts w:ascii="Times New Roman" w:eastAsia="Times New Roman" w:hAnsi="Times New Roman" w:cs="Times New Roman"/>
          <w:color w:val="000000"/>
          <w:sz w:val="24"/>
          <w:szCs w:val="24"/>
        </w:rPr>
      </w:pPr>
    </w:p>
    <w:p w14:paraId="6CE096B1" w14:textId="77777777" w:rsidR="00CB1278" w:rsidRPr="00F80565" w:rsidRDefault="00CB1278" w:rsidP="00CB1278">
      <w:pPr>
        <w:spacing w:line="240" w:lineRule="auto"/>
        <w:rPr>
          <w:rFonts w:ascii="Times New Roman" w:eastAsia="Times New Roman" w:hAnsi="Times New Roman" w:cs="Times New Roman"/>
          <w:color w:val="000000"/>
          <w:sz w:val="24"/>
          <w:szCs w:val="24"/>
        </w:rPr>
      </w:pPr>
    </w:p>
    <w:p w14:paraId="743C7AB7" w14:textId="77777777" w:rsidR="00B74994" w:rsidRDefault="00B74994">
      <w:pPr>
        <w:rPr>
          <w:rFonts w:ascii="Times New Roman" w:hAnsi="Times New Roman" w:cs="Times New Roman"/>
          <w:b/>
          <w:bCs/>
          <w:noProof/>
          <w:sz w:val="24"/>
          <w:szCs w:val="24"/>
        </w:rPr>
      </w:pPr>
      <w:r>
        <w:rPr>
          <w:rFonts w:ascii="Times New Roman" w:hAnsi="Times New Roman" w:cs="Times New Roman"/>
          <w:b/>
          <w:bCs/>
          <w:noProof/>
          <w:sz w:val="24"/>
          <w:szCs w:val="24"/>
        </w:rPr>
        <w:br w:type="page"/>
      </w:r>
    </w:p>
    <w:p w14:paraId="787180D6" w14:textId="4408BA2C" w:rsidR="00004BCB" w:rsidRPr="00F80565" w:rsidRDefault="00004BCB" w:rsidP="00004BCB">
      <w:pPr>
        <w:rPr>
          <w:rFonts w:ascii="Times New Roman" w:hAnsi="Times New Roman" w:cs="Times New Roman"/>
          <w:noProof/>
          <w:sz w:val="24"/>
          <w:szCs w:val="24"/>
        </w:rPr>
      </w:pPr>
      <w:r w:rsidRPr="00F80565">
        <w:rPr>
          <w:rFonts w:ascii="Times New Roman" w:hAnsi="Times New Roman" w:cs="Times New Roman"/>
          <w:b/>
          <w:bCs/>
          <w:noProof/>
          <w:sz w:val="24"/>
          <w:szCs w:val="24"/>
        </w:rPr>
        <w:lastRenderedPageBreak/>
        <w:t>Economic Analysis</w:t>
      </w:r>
    </w:p>
    <w:p w14:paraId="356881E9" w14:textId="77777777" w:rsidR="00004BCB" w:rsidRPr="00F80565" w:rsidRDefault="00004BCB" w:rsidP="00004BCB">
      <w:pPr>
        <w:rPr>
          <w:rFonts w:ascii="Times New Roman" w:hAnsi="Times New Roman" w:cs="Times New Roman"/>
          <w:noProof/>
          <w:sz w:val="24"/>
          <w:szCs w:val="24"/>
        </w:rPr>
      </w:pPr>
    </w:p>
    <w:p w14:paraId="054C9E57" w14:textId="39839164" w:rsidR="00004BCB" w:rsidRPr="00373A3D" w:rsidRDefault="00004BCB" w:rsidP="00004BCB">
      <w:pPr>
        <w:rPr>
          <w:rFonts w:ascii="Times New Roman" w:hAnsi="Times New Roman" w:cs="Times New Roman"/>
          <w:noProof/>
        </w:rPr>
      </w:pPr>
      <w:r>
        <w:rPr>
          <w:rFonts w:ascii="Times New Roman" w:hAnsi="Times New Roman" w:cs="Times New Roman"/>
          <w:noProof/>
        </w:rPr>
        <w:tab/>
        <w:t xml:space="preserve">When making decisions regarding farming practices to incorporate sustainable practices into a management system, one of the driving factors is the economic costs and returns on investment. Using a variety of tools ranging from the Iowa State University Extension Ag Decision Tools, partial budgets, and on-farm data, we analyzed the input costs, economic returns, and additional financial benefits of the different cover crop and tillage practices in this study. Our results show a higher input cost for </w:t>
      </w:r>
      <w:r w:rsidR="0076690B">
        <w:rPr>
          <w:rFonts w:ascii="Times New Roman" w:hAnsi="Times New Roman" w:cs="Times New Roman"/>
          <w:noProof/>
        </w:rPr>
        <w:t>CP</w:t>
      </w:r>
      <w:r>
        <w:rPr>
          <w:rFonts w:ascii="Times New Roman" w:hAnsi="Times New Roman" w:cs="Times New Roman"/>
          <w:noProof/>
        </w:rPr>
        <w:t xml:space="preserve"> in comparison to </w:t>
      </w:r>
      <w:r w:rsidR="0076690B">
        <w:rPr>
          <w:rFonts w:ascii="Times New Roman" w:hAnsi="Times New Roman" w:cs="Times New Roman"/>
          <w:noProof/>
        </w:rPr>
        <w:t>NT</w:t>
      </w:r>
      <w:r>
        <w:rPr>
          <w:rFonts w:ascii="Times New Roman" w:hAnsi="Times New Roman" w:cs="Times New Roman"/>
          <w:noProof/>
        </w:rPr>
        <w:t xml:space="preserve"> (</w:t>
      </w:r>
      <w:r w:rsidR="00AD0AFB">
        <w:rPr>
          <w:rFonts w:ascii="Times New Roman" w:hAnsi="Times New Roman" w:cs="Times New Roman"/>
          <w:noProof/>
        </w:rPr>
        <w:t>Fig</w:t>
      </w:r>
      <w:r w:rsidR="005E3163">
        <w:rPr>
          <w:rFonts w:ascii="Times New Roman" w:hAnsi="Times New Roman" w:cs="Times New Roman"/>
          <w:noProof/>
        </w:rPr>
        <w:t>s.</w:t>
      </w:r>
      <w:r w:rsidR="00AD0AFB">
        <w:rPr>
          <w:rFonts w:ascii="Times New Roman" w:hAnsi="Times New Roman" w:cs="Times New Roman"/>
          <w:noProof/>
        </w:rPr>
        <w:t xml:space="preserve"> 5</w:t>
      </w:r>
      <w:r w:rsidR="00605C04">
        <w:rPr>
          <w:rFonts w:ascii="Times New Roman" w:hAnsi="Times New Roman" w:cs="Times New Roman"/>
          <w:noProof/>
        </w:rPr>
        <w:t xml:space="preserve">, </w:t>
      </w:r>
      <w:r w:rsidR="00AD0AFB">
        <w:rPr>
          <w:rFonts w:ascii="Times New Roman" w:hAnsi="Times New Roman" w:cs="Times New Roman"/>
          <w:noProof/>
        </w:rPr>
        <w:t xml:space="preserve">6, </w:t>
      </w:r>
      <w:r>
        <w:rPr>
          <w:rFonts w:ascii="Times New Roman" w:hAnsi="Times New Roman" w:cs="Times New Roman"/>
          <w:noProof/>
        </w:rPr>
        <w:t>Table 1). This is caused by an increase in labor cost as well as fixed and variable costs from tillage operations (machinery, fuel, repairs, etc.). There are also higher costs associated with using cover crops (</w:t>
      </w:r>
      <w:r w:rsidR="004874B5">
        <w:rPr>
          <w:rFonts w:ascii="Times New Roman" w:hAnsi="Times New Roman" w:cs="Times New Roman"/>
          <w:noProof/>
        </w:rPr>
        <w:t>Figs</w:t>
      </w:r>
      <w:r w:rsidR="005E3163">
        <w:rPr>
          <w:rFonts w:ascii="Times New Roman" w:hAnsi="Times New Roman" w:cs="Times New Roman"/>
          <w:noProof/>
        </w:rPr>
        <w:t>.</w:t>
      </w:r>
      <w:r w:rsidR="004874B5">
        <w:rPr>
          <w:rFonts w:ascii="Times New Roman" w:hAnsi="Times New Roman" w:cs="Times New Roman"/>
          <w:noProof/>
        </w:rPr>
        <w:t xml:space="preserve"> 5</w:t>
      </w:r>
      <w:r w:rsidR="00605C04">
        <w:rPr>
          <w:rFonts w:ascii="Times New Roman" w:hAnsi="Times New Roman" w:cs="Times New Roman"/>
          <w:noProof/>
        </w:rPr>
        <w:t xml:space="preserve">, </w:t>
      </w:r>
      <w:r w:rsidR="004874B5">
        <w:rPr>
          <w:rFonts w:ascii="Times New Roman" w:hAnsi="Times New Roman" w:cs="Times New Roman"/>
          <w:noProof/>
        </w:rPr>
        <w:t xml:space="preserve">6, </w:t>
      </w:r>
      <w:r>
        <w:rPr>
          <w:rFonts w:ascii="Times New Roman" w:hAnsi="Times New Roman" w:cs="Times New Roman"/>
          <w:noProof/>
        </w:rPr>
        <w:t>Table 1)</w:t>
      </w:r>
      <w:r w:rsidR="000F4CDE">
        <w:rPr>
          <w:rFonts w:ascii="Times New Roman" w:hAnsi="Times New Roman" w:cs="Times New Roman"/>
          <w:noProof/>
        </w:rPr>
        <w:t>, driven</w:t>
      </w:r>
      <w:r>
        <w:rPr>
          <w:rFonts w:ascii="Times New Roman" w:hAnsi="Times New Roman" w:cs="Times New Roman"/>
          <w:noProof/>
        </w:rPr>
        <w:t xml:space="preserve"> by additional seed and planting costs. The increased costs of tillage and cover crop use persisted regardless of year. As the yield data suggest, the economic returns were higher in the soybean plots in 2019 where cover crops were used (</w:t>
      </w:r>
      <w:r w:rsidR="00B724F0">
        <w:rPr>
          <w:rFonts w:ascii="Times New Roman" w:hAnsi="Times New Roman" w:cs="Times New Roman"/>
          <w:noProof/>
        </w:rPr>
        <w:t>Fig</w:t>
      </w:r>
      <w:r w:rsidR="005E3163">
        <w:rPr>
          <w:rFonts w:ascii="Times New Roman" w:hAnsi="Times New Roman" w:cs="Times New Roman"/>
          <w:noProof/>
        </w:rPr>
        <w:t>.</w:t>
      </w:r>
      <w:r w:rsidR="00B724F0">
        <w:rPr>
          <w:rFonts w:ascii="Times New Roman" w:hAnsi="Times New Roman" w:cs="Times New Roman"/>
          <w:noProof/>
        </w:rPr>
        <w:t xml:space="preserve"> 6, </w:t>
      </w:r>
      <w:r>
        <w:rPr>
          <w:rFonts w:ascii="Times New Roman" w:hAnsi="Times New Roman" w:cs="Times New Roman"/>
          <w:noProof/>
        </w:rPr>
        <w:t xml:space="preserve">Table 1). These returns are a direct fuction of yield. An essential question is whether the net returns for the different management systems are different. The treatments where the cover crop plots had higher yields than the plots without cover crop </w:t>
      </w:r>
      <w:r w:rsidR="004A5F46">
        <w:rPr>
          <w:rFonts w:ascii="Times New Roman" w:hAnsi="Times New Roman" w:cs="Times New Roman"/>
          <w:noProof/>
        </w:rPr>
        <w:t xml:space="preserve"> (2019) </w:t>
      </w:r>
      <w:r>
        <w:rPr>
          <w:rFonts w:ascii="Times New Roman" w:hAnsi="Times New Roman" w:cs="Times New Roman"/>
          <w:noProof/>
        </w:rPr>
        <w:t>did not show significantly different returns, which means the gains in yield were similar to the extra cost incurred by cover crop use</w:t>
      </w:r>
      <w:r w:rsidR="004A5F46">
        <w:rPr>
          <w:rFonts w:ascii="Times New Roman" w:hAnsi="Times New Roman" w:cs="Times New Roman"/>
          <w:noProof/>
        </w:rPr>
        <w:t xml:space="preserve"> (Table 1)</w:t>
      </w:r>
      <w:r>
        <w:rPr>
          <w:rFonts w:ascii="Times New Roman" w:hAnsi="Times New Roman" w:cs="Times New Roman"/>
          <w:noProof/>
        </w:rPr>
        <w:t>. When the cover crops did not improve the yield, the costs of cover crop created a loss in net returns</w:t>
      </w:r>
      <w:r w:rsidR="004A5F46">
        <w:rPr>
          <w:rFonts w:ascii="Times New Roman" w:hAnsi="Times New Roman" w:cs="Times New Roman"/>
          <w:noProof/>
        </w:rPr>
        <w:t xml:space="preserve"> (Table 1)</w:t>
      </w:r>
      <w:r>
        <w:rPr>
          <w:rFonts w:ascii="Times New Roman" w:hAnsi="Times New Roman" w:cs="Times New Roman"/>
          <w:noProof/>
        </w:rPr>
        <w:t>.</w:t>
      </w:r>
      <w:r w:rsidR="00333069">
        <w:rPr>
          <w:rFonts w:ascii="Times New Roman" w:hAnsi="Times New Roman" w:cs="Times New Roman"/>
          <w:noProof/>
        </w:rPr>
        <w:t xml:space="preserve"> </w:t>
      </w:r>
      <w:r w:rsidR="00373A3D">
        <w:rPr>
          <w:rFonts w:ascii="Times New Roman" w:hAnsi="Times New Roman" w:cs="Times New Roman"/>
          <w:noProof/>
        </w:rPr>
        <w:t>Not included in this analysis are the additional potential economic benefits of grazing, which are estimated to be $30.00*ac</w:t>
      </w:r>
      <w:r w:rsidR="00373A3D" w:rsidRPr="00373A3D">
        <w:rPr>
          <w:rFonts w:ascii="Times New Roman" w:hAnsi="Times New Roman" w:cs="Times New Roman"/>
          <w:noProof/>
          <w:vertAlign w:val="superscript"/>
        </w:rPr>
        <w:t>-1</w:t>
      </w:r>
      <w:r w:rsidR="00373A3D">
        <w:rPr>
          <w:rFonts w:ascii="Times New Roman" w:hAnsi="Times New Roman" w:cs="Times New Roman"/>
          <w:noProof/>
        </w:rPr>
        <w:t xml:space="preserve"> by the Iowa State University Extension Ag Decision Maker.</w:t>
      </w:r>
    </w:p>
    <w:p w14:paraId="67632926" w14:textId="77777777" w:rsidR="00004BCB" w:rsidRPr="00763EF3" w:rsidRDefault="00004BCB" w:rsidP="00004BCB">
      <w:pPr>
        <w:rPr>
          <w:rFonts w:ascii="Times New Roman" w:hAnsi="Times New Roman" w:cs="Times New Roman"/>
          <w:noProof/>
        </w:rPr>
      </w:pPr>
      <w:r>
        <w:rPr>
          <w:rFonts w:ascii="Times New Roman" w:hAnsi="Times New Roman" w:cs="Times New Roman"/>
          <w:noProof/>
        </w:rPr>
        <w:t xml:space="preserve"> </w:t>
      </w:r>
    </w:p>
    <w:p w14:paraId="622E83D3" w14:textId="0F4FB5DA" w:rsidR="00004BCB" w:rsidRPr="00763EF3" w:rsidRDefault="00004BCB" w:rsidP="00004BCB">
      <w:pPr>
        <w:rPr>
          <w:rFonts w:ascii="Times New Roman" w:hAnsi="Times New Roman" w:cs="Times New Roman"/>
          <w:noProof/>
        </w:rPr>
      </w:pPr>
      <w:r>
        <w:rPr>
          <w:noProof/>
        </w:rPr>
        <w:drawing>
          <wp:inline distT="0" distB="0" distL="0" distR="0" wp14:anchorId="32F9F21E" wp14:editId="39C5D826">
            <wp:extent cx="4581867" cy="2634328"/>
            <wp:effectExtent l="0" t="0" r="9525" b="13970"/>
            <wp:docPr id="43" name="Chart 43">
              <a:extLst xmlns:a="http://schemas.openxmlformats.org/drawingml/2006/main">
                <a:ext uri="{FF2B5EF4-FFF2-40B4-BE49-F238E27FC236}">
                  <a16:creationId xmlns:a16="http://schemas.microsoft.com/office/drawing/2014/main" id="{DCB44666-CB8E-4E5C-A52E-862854CEEBF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2D841A82" w14:textId="070AD189" w:rsidR="00004BCB" w:rsidRPr="00763EF3" w:rsidRDefault="00004BCB" w:rsidP="00004BCB">
      <w:pP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Figure </w:t>
      </w:r>
      <w:r w:rsidR="00C04DA0">
        <w:rPr>
          <w:rFonts w:ascii="Times New Roman" w:eastAsia="Times New Roman" w:hAnsi="Times New Roman" w:cs="Times New Roman"/>
          <w:color w:val="000000"/>
        </w:rPr>
        <w:t>5</w:t>
      </w:r>
      <w:r>
        <w:rPr>
          <w:rFonts w:ascii="Times New Roman" w:eastAsia="Times New Roman" w:hAnsi="Times New Roman" w:cs="Times New Roman"/>
          <w:color w:val="000000"/>
        </w:rPr>
        <w:t xml:space="preserve">. </w:t>
      </w:r>
      <w:r w:rsidR="00476D3F">
        <w:rPr>
          <w:rFonts w:ascii="Times New Roman" w:eastAsia="Times New Roman" w:hAnsi="Times New Roman" w:cs="Times New Roman"/>
          <w:color w:val="000000"/>
        </w:rPr>
        <w:t>Average i</w:t>
      </w:r>
      <w:r>
        <w:rPr>
          <w:rFonts w:ascii="Times New Roman" w:eastAsia="Times New Roman" w:hAnsi="Times New Roman" w:cs="Times New Roman"/>
          <w:color w:val="000000"/>
        </w:rPr>
        <w:t xml:space="preserve">nput costs and economic return for soybean yield in 2018 under different tillage and winter rye cover crop treatments. </w:t>
      </w:r>
      <w:r w:rsidR="005D507E">
        <w:rPr>
          <w:rFonts w:ascii="Times New Roman" w:eastAsia="Times New Roman" w:hAnsi="Times New Roman" w:cs="Times New Roman"/>
          <w:color w:val="000000"/>
        </w:rPr>
        <w:t xml:space="preserve">Upper case letters are used for comparing cover crop treatments within </w:t>
      </w:r>
      <w:r w:rsidR="00005AB9">
        <w:rPr>
          <w:rFonts w:ascii="Times New Roman" w:eastAsia="Times New Roman" w:hAnsi="Times New Roman" w:cs="Times New Roman"/>
          <w:color w:val="000000"/>
        </w:rPr>
        <w:t xml:space="preserve">each </w:t>
      </w:r>
      <w:r w:rsidR="005D507E">
        <w:rPr>
          <w:rFonts w:ascii="Times New Roman" w:eastAsia="Times New Roman" w:hAnsi="Times New Roman" w:cs="Times New Roman"/>
          <w:color w:val="000000"/>
        </w:rPr>
        <w:t xml:space="preserve">tillage </w:t>
      </w:r>
      <w:r w:rsidR="00005AB9">
        <w:rPr>
          <w:rFonts w:ascii="Times New Roman" w:eastAsia="Times New Roman" w:hAnsi="Times New Roman" w:cs="Times New Roman"/>
          <w:color w:val="000000"/>
        </w:rPr>
        <w:t>system</w:t>
      </w:r>
      <w:r w:rsidR="005D507E">
        <w:rPr>
          <w:rFonts w:ascii="Times New Roman" w:eastAsia="Times New Roman" w:hAnsi="Times New Roman" w:cs="Times New Roman"/>
          <w:color w:val="000000"/>
        </w:rPr>
        <w:t xml:space="preserve">. Lower case letters are used for comparing </w:t>
      </w:r>
      <w:r w:rsidR="00D251DD">
        <w:rPr>
          <w:rFonts w:ascii="Times New Roman" w:eastAsia="Times New Roman" w:hAnsi="Times New Roman" w:cs="Times New Roman"/>
          <w:color w:val="000000"/>
        </w:rPr>
        <w:t xml:space="preserve">each cover crop treatment between </w:t>
      </w:r>
      <w:r w:rsidR="005D507E">
        <w:rPr>
          <w:rFonts w:ascii="Times New Roman" w:eastAsia="Times New Roman" w:hAnsi="Times New Roman" w:cs="Times New Roman"/>
          <w:color w:val="000000"/>
        </w:rPr>
        <w:t xml:space="preserve">tillage </w:t>
      </w:r>
      <w:r w:rsidR="00D251DD">
        <w:rPr>
          <w:rFonts w:ascii="Times New Roman" w:eastAsia="Times New Roman" w:hAnsi="Times New Roman" w:cs="Times New Roman"/>
          <w:color w:val="000000"/>
        </w:rPr>
        <w:t>systems</w:t>
      </w:r>
      <w:r w:rsidR="005D507E">
        <w:rPr>
          <w:rFonts w:ascii="Times New Roman" w:eastAsia="Times New Roman" w:hAnsi="Times New Roman" w:cs="Times New Roman"/>
          <w:color w:val="000000"/>
        </w:rPr>
        <w:t>.</w:t>
      </w:r>
      <w:r w:rsidRPr="00763EF3">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Treatment</w:t>
      </w:r>
      <w:r w:rsidR="00BD45CE">
        <w:rPr>
          <w:rFonts w:ascii="Times New Roman" w:eastAsia="Times New Roman" w:hAnsi="Times New Roman" w:cs="Times New Roman"/>
          <w:color w:val="000000"/>
        </w:rPr>
        <w:t xml:space="preserve"> mean</w:t>
      </w:r>
      <w:r w:rsidR="005D507E">
        <w:rPr>
          <w:rFonts w:ascii="Times New Roman" w:eastAsia="Times New Roman" w:hAnsi="Times New Roman" w:cs="Times New Roman"/>
          <w:color w:val="000000"/>
        </w:rPr>
        <w:t>s</w:t>
      </w:r>
      <w:r>
        <w:rPr>
          <w:rFonts w:ascii="Times New Roman" w:eastAsia="Times New Roman" w:hAnsi="Times New Roman" w:cs="Times New Roman"/>
          <w:color w:val="000000"/>
        </w:rPr>
        <w:t xml:space="preserve"> with the same letter</w:t>
      </w:r>
      <w:r w:rsidRPr="00763EF3">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are not s</w:t>
      </w:r>
      <w:r w:rsidRPr="00763EF3">
        <w:rPr>
          <w:rFonts w:ascii="Times New Roman" w:eastAsia="Times New Roman" w:hAnsi="Times New Roman" w:cs="Times New Roman"/>
          <w:color w:val="000000"/>
        </w:rPr>
        <w:t>ignificant</w:t>
      </w:r>
      <w:r>
        <w:rPr>
          <w:rFonts w:ascii="Times New Roman" w:eastAsia="Times New Roman" w:hAnsi="Times New Roman" w:cs="Times New Roman"/>
          <w:color w:val="000000"/>
        </w:rPr>
        <w:t>ly</w:t>
      </w:r>
      <w:r w:rsidRPr="00763EF3">
        <w:rPr>
          <w:rFonts w:ascii="Times New Roman" w:eastAsia="Times New Roman" w:hAnsi="Times New Roman" w:cs="Times New Roman"/>
          <w:color w:val="000000"/>
        </w:rPr>
        <w:t xml:space="preserve"> differen</w:t>
      </w:r>
      <w:r>
        <w:rPr>
          <w:rFonts w:ascii="Times New Roman" w:eastAsia="Times New Roman" w:hAnsi="Times New Roman" w:cs="Times New Roman"/>
          <w:color w:val="000000"/>
        </w:rPr>
        <w:t>t at</w:t>
      </w:r>
      <w:r w:rsidRPr="00763EF3">
        <w:rPr>
          <w:rFonts w:ascii="Times New Roman" w:eastAsia="Times New Roman" w:hAnsi="Times New Roman" w:cs="Times New Roman"/>
          <w:color w:val="000000"/>
        </w:rPr>
        <w:t xml:space="preserve"> p </w:t>
      </w:r>
      <m:oMath>
        <m:r>
          <w:rPr>
            <w:rFonts w:ascii="Cambria Math" w:eastAsia="Times New Roman" w:hAnsi="Cambria Math" w:cs="Times New Roman"/>
            <w:color w:val="000000"/>
          </w:rPr>
          <m:t>≤</m:t>
        </m:r>
      </m:oMath>
      <w:r>
        <w:rPr>
          <w:rFonts w:ascii="Times New Roman" w:eastAsia="Times New Roman" w:hAnsi="Times New Roman" w:cs="Times New Roman"/>
          <w:color w:val="000000"/>
        </w:rPr>
        <w:t xml:space="preserve"> </w:t>
      </w:r>
      <w:r w:rsidRPr="00763EF3">
        <w:rPr>
          <w:rFonts w:ascii="Times New Roman" w:eastAsia="Times New Roman" w:hAnsi="Times New Roman" w:cs="Times New Roman"/>
          <w:color w:val="000000"/>
        </w:rPr>
        <w:t xml:space="preserve">0.05. </w:t>
      </w:r>
      <w:r>
        <w:rPr>
          <w:rFonts w:ascii="Times New Roman" w:eastAsia="Times New Roman" w:hAnsi="Times New Roman" w:cs="Times New Roman"/>
          <w:color w:val="000000"/>
        </w:rPr>
        <w:t>(NT = no-till; CP = chisel plow; CC = cover crop; NC = no cover crop).</w:t>
      </w:r>
    </w:p>
    <w:p w14:paraId="0394946F" w14:textId="77777777" w:rsidR="00004BCB" w:rsidRDefault="00004BCB" w:rsidP="00004BCB">
      <w:pPr>
        <w:rPr>
          <w:noProof/>
        </w:rPr>
      </w:pPr>
    </w:p>
    <w:p w14:paraId="760F0C3C" w14:textId="77777777" w:rsidR="00004BCB" w:rsidRPr="00763EF3" w:rsidRDefault="00004BCB" w:rsidP="00004BCB">
      <w:pPr>
        <w:rPr>
          <w:rFonts w:ascii="Times New Roman" w:hAnsi="Times New Roman" w:cs="Times New Roman"/>
        </w:rPr>
      </w:pPr>
      <w:r>
        <w:rPr>
          <w:noProof/>
        </w:rPr>
        <w:lastRenderedPageBreak/>
        <w:drawing>
          <wp:inline distT="0" distB="0" distL="0" distR="0" wp14:anchorId="1AF431F0" wp14:editId="02DDCE27">
            <wp:extent cx="4581867" cy="2627980"/>
            <wp:effectExtent l="0" t="0" r="9525" b="1270"/>
            <wp:docPr id="45" name="Chart 45">
              <a:extLst xmlns:a="http://schemas.openxmlformats.org/drawingml/2006/main">
                <a:ext uri="{FF2B5EF4-FFF2-40B4-BE49-F238E27FC236}">
                  <a16:creationId xmlns:a16="http://schemas.microsoft.com/office/drawing/2014/main" id="{95482A8E-7C15-4FC5-A314-D7EBCD6940E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E20FEED" w14:textId="2AFC45E4" w:rsidR="00004BCB" w:rsidRPr="00A91C31" w:rsidRDefault="00004BCB" w:rsidP="00004BCB">
      <w:pP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Figure </w:t>
      </w:r>
      <w:r w:rsidR="00C04DA0">
        <w:rPr>
          <w:rFonts w:ascii="Times New Roman" w:eastAsia="Times New Roman" w:hAnsi="Times New Roman" w:cs="Times New Roman"/>
          <w:color w:val="000000"/>
        </w:rPr>
        <w:t>6</w:t>
      </w:r>
      <w:r>
        <w:rPr>
          <w:rFonts w:ascii="Times New Roman" w:eastAsia="Times New Roman" w:hAnsi="Times New Roman" w:cs="Times New Roman"/>
          <w:color w:val="000000"/>
        </w:rPr>
        <w:t xml:space="preserve">. </w:t>
      </w:r>
      <w:r w:rsidR="002F675D">
        <w:rPr>
          <w:rFonts w:ascii="Times New Roman" w:eastAsia="Times New Roman" w:hAnsi="Times New Roman" w:cs="Times New Roman"/>
          <w:color w:val="000000"/>
        </w:rPr>
        <w:t>Average i</w:t>
      </w:r>
      <w:r>
        <w:rPr>
          <w:rFonts w:ascii="Times New Roman" w:eastAsia="Times New Roman" w:hAnsi="Times New Roman" w:cs="Times New Roman"/>
          <w:color w:val="000000"/>
        </w:rPr>
        <w:t xml:space="preserve">nput costs and economic return for soybean yield in 2019 under different tillage and winter rye cover crop treatments. </w:t>
      </w:r>
      <w:r w:rsidR="00BF5E18">
        <w:rPr>
          <w:rFonts w:ascii="Times New Roman" w:eastAsia="Times New Roman" w:hAnsi="Times New Roman" w:cs="Times New Roman"/>
          <w:color w:val="000000"/>
        </w:rPr>
        <w:t xml:space="preserve">Upper case letters are used for comparing cover crop treatments within </w:t>
      </w:r>
      <w:r w:rsidR="005D6A3C">
        <w:rPr>
          <w:rFonts w:ascii="Times New Roman" w:eastAsia="Times New Roman" w:hAnsi="Times New Roman" w:cs="Times New Roman"/>
          <w:color w:val="000000"/>
        </w:rPr>
        <w:t xml:space="preserve">each </w:t>
      </w:r>
      <w:r w:rsidR="00BF5E18">
        <w:rPr>
          <w:rFonts w:ascii="Times New Roman" w:eastAsia="Times New Roman" w:hAnsi="Times New Roman" w:cs="Times New Roman"/>
          <w:color w:val="000000"/>
        </w:rPr>
        <w:t xml:space="preserve">tillage </w:t>
      </w:r>
      <w:r w:rsidR="005D6A3C">
        <w:rPr>
          <w:rFonts w:ascii="Times New Roman" w:eastAsia="Times New Roman" w:hAnsi="Times New Roman" w:cs="Times New Roman"/>
          <w:color w:val="000000"/>
        </w:rPr>
        <w:t>system</w:t>
      </w:r>
      <w:r w:rsidR="00BF5E18">
        <w:rPr>
          <w:rFonts w:ascii="Times New Roman" w:eastAsia="Times New Roman" w:hAnsi="Times New Roman" w:cs="Times New Roman"/>
          <w:color w:val="000000"/>
        </w:rPr>
        <w:t xml:space="preserve">. Lower case letters are used for comparing </w:t>
      </w:r>
      <w:r w:rsidR="005D6A3C">
        <w:rPr>
          <w:rFonts w:ascii="Times New Roman" w:eastAsia="Times New Roman" w:hAnsi="Times New Roman" w:cs="Times New Roman"/>
          <w:color w:val="000000"/>
        </w:rPr>
        <w:t xml:space="preserve">each cover crop treatment </w:t>
      </w:r>
      <w:r w:rsidR="005B15C4">
        <w:rPr>
          <w:rFonts w:ascii="Times New Roman" w:eastAsia="Times New Roman" w:hAnsi="Times New Roman" w:cs="Times New Roman"/>
          <w:color w:val="000000"/>
        </w:rPr>
        <w:t xml:space="preserve">between </w:t>
      </w:r>
      <w:r w:rsidR="00BF5E18">
        <w:rPr>
          <w:rFonts w:ascii="Times New Roman" w:eastAsia="Times New Roman" w:hAnsi="Times New Roman" w:cs="Times New Roman"/>
          <w:color w:val="000000"/>
        </w:rPr>
        <w:t xml:space="preserve">tillage </w:t>
      </w:r>
      <w:r w:rsidR="005B15C4">
        <w:rPr>
          <w:rFonts w:ascii="Times New Roman" w:eastAsia="Times New Roman" w:hAnsi="Times New Roman" w:cs="Times New Roman"/>
          <w:color w:val="000000"/>
        </w:rPr>
        <w:t>systems</w:t>
      </w:r>
      <w:r w:rsidR="00BF5E18">
        <w:rPr>
          <w:rFonts w:ascii="Times New Roman" w:eastAsia="Times New Roman" w:hAnsi="Times New Roman" w:cs="Times New Roman"/>
          <w:color w:val="000000"/>
        </w:rPr>
        <w:t>.</w:t>
      </w:r>
      <w:r w:rsidR="00BF5E18" w:rsidRPr="00763EF3">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Treatment</w:t>
      </w:r>
      <w:r w:rsidR="00792430">
        <w:rPr>
          <w:rFonts w:ascii="Times New Roman" w:eastAsia="Times New Roman" w:hAnsi="Times New Roman" w:cs="Times New Roman"/>
          <w:color w:val="000000"/>
        </w:rPr>
        <w:t xml:space="preserve"> mean</w:t>
      </w:r>
      <w:r>
        <w:rPr>
          <w:rFonts w:ascii="Times New Roman" w:eastAsia="Times New Roman" w:hAnsi="Times New Roman" w:cs="Times New Roman"/>
          <w:color w:val="000000"/>
        </w:rPr>
        <w:t>s with the same letter</w:t>
      </w:r>
      <w:r w:rsidRPr="00763EF3">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are not s</w:t>
      </w:r>
      <w:r w:rsidRPr="00763EF3">
        <w:rPr>
          <w:rFonts w:ascii="Times New Roman" w:eastAsia="Times New Roman" w:hAnsi="Times New Roman" w:cs="Times New Roman"/>
          <w:color w:val="000000"/>
        </w:rPr>
        <w:t>ignificant</w:t>
      </w:r>
      <w:r>
        <w:rPr>
          <w:rFonts w:ascii="Times New Roman" w:eastAsia="Times New Roman" w:hAnsi="Times New Roman" w:cs="Times New Roman"/>
          <w:color w:val="000000"/>
        </w:rPr>
        <w:t>ly</w:t>
      </w:r>
      <w:r w:rsidRPr="00763EF3">
        <w:rPr>
          <w:rFonts w:ascii="Times New Roman" w:eastAsia="Times New Roman" w:hAnsi="Times New Roman" w:cs="Times New Roman"/>
          <w:color w:val="000000"/>
        </w:rPr>
        <w:t xml:space="preserve"> differen</w:t>
      </w:r>
      <w:r>
        <w:rPr>
          <w:rFonts w:ascii="Times New Roman" w:eastAsia="Times New Roman" w:hAnsi="Times New Roman" w:cs="Times New Roman"/>
          <w:color w:val="000000"/>
        </w:rPr>
        <w:t>t at</w:t>
      </w:r>
      <w:r w:rsidRPr="00763EF3">
        <w:rPr>
          <w:rFonts w:ascii="Times New Roman" w:eastAsia="Times New Roman" w:hAnsi="Times New Roman" w:cs="Times New Roman"/>
          <w:color w:val="000000"/>
        </w:rPr>
        <w:t xml:space="preserve"> p </w:t>
      </w:r>
      <m:oMath>
        <m:r>
          <w:rPr>
            <w:rFonts w:ascii="Cambria Math" w:eastAsia="Times New Roman" w:hAnsi="Cambria Math" w:cs="Times New Roman"/>
            <w:color w:val="000000"/>
          </w:rPr>
          <m:t>≤</m:t>
        </m:r>
      </m:oMath>
      <w:r>
        <w:rPr>
          <w:rFonts w:ascii="Times New Roman" w:eastAsia="Times New Roman" w:hAnsi="Times New Roman" w:cs="Times New Roman"/>
          <w:color w:val="000000"/>
        </w:rPr>
        <w:t xml:space="preserve"> </w:t>
      </w:r>
      <w:r w:rsidRPr="00763EF3">
        <w:rPr>
          <w:rFonts w:ascii="Times New Roman" w:eastAsia="Times New Roman" w:hAnsi="Times New Roman" w:cs="Times New Roman"/>
          <w:color w:val="000000"/>
        </w:rPr>
        <w:t xml:space="preserve">0.05. </w:t>
      </w:r>
      <w:r>
        <w:rPr>
          <w:rFonts w:ascii="Times New Roman" w:eastAsia="Times New Roman" w:hAnsi="Times New Roman" w:cs="Times New Roman"/>
          <w:color w:val="000000"/>
        </w:rPr>
        <w:t>(NT = no-till; CP = chisel plow; CC = cover</w:t>
      </w:r>
      <w:r w:rsidRPr="00A91C31">
        <w:rPr>
          <w:rFonts w:ascii="Times New Roman" w:eastAsia="Times New Roman" w:hAnsi="Times New Roman" w:cs="Times New Roman"/>
          <w:color w:val="000000"/>
        </w:rPr>
        <w:t xml:space="preserve"> crop; NC = no cover crop).</w:t>
      </w:r>
    </w:p>
    <w:p w14:paraId="22E09195" w14:textId="77777777" w:rsidR="00004BCB" w:rsidRPr="00A91C31" w:rsidRDefault="00004BCB" w:rsidP="00004BCB">
      <w:pPr>
        <w:spacing w:line="240" w:lineRule="auto"/>
        <w:rPr>
          <w:rFonts w:ascii="Times New Roman" w:eastAsia="Times New Roman" w:hAnsi="Times New Roman" w:cs="Times New Roman"/>
          <w:color w:val="000000"/>
        </w:rPr>
        <w:sectPr w:rsidR="00004BCB" w:rsidRPr="00A91C31" w:rsidSect="00BB183A">
          <w:pgSz w:w="12240" w:h="15840"/>
          <w:pgMar w:top="1440" w:right="1440" w:bottom="1440" w:left="1440" w:header="720" w:footer="720" w:gutter="0"/>
          <w:cols w:space="720"/>
          <w:docGrid w:linePitch="360"/>
        </w:sectPr>
      </w:pPr>
    </w:p>
    <w:p w14:paraId="1C3DBF8C" w14:textId="193BBEC3" w:rsidR="00004BCB" w:rsidRDefault="00004BCB" w:rsidP="00004BCB">
      <w:pPr>
        <w:spacing w:line="240" w:lineRule="auto"/>
        <w:rPr>
          <w:rFonts w:ascii="Times New Roman" w:eastAsia="Times New Roman" w:hAnsi="Times New Roman" w:cs="Times New Roman"/>
          <w:color w:val="000000"/>
        </w:rPr>
      </w:pPr>
      <w:r w:rsidRPr="00A91C31">
        <w:rPr>
          <w:rFonts w:ascii="Times New Roman" w:eastAsia="Times New Roman" w:hAnsi="Times New Roman" w:cs="Times New Roman"/>
          <w:color w:val="000000"/>
        </w:rPr>
        <w:lastRenderedPageBreak/>
        <w:t xml:space="preserve">Table 1. Average values for input cost, economic return, net return, and additional </w:t>
      </w:r>
      <w:r w:rsidR="00C9263F">
        <w:rPr>
          <w:rFonts w:ascii="Times New Roman" w:eastAsia="Times New Roman" w:hAnsi="Times New Roman" w:cs="Times New Roman"/>
          <w:color w:val="000000"/>
        </w:rPr>
        <w:t xml:space="preserve">potential </w:t>
      </w:r>
      <w:r w:rsidRPr="00A91C31">
        <w:rPr>
          <w:rFonts w:ascii="Times New Roman" w:eastAsia="Times New Roman" w:hAnsi="Times New Roman" w:cs="Times New Roman"/>
          <w:color w:val="000000"/>
        </w:rPr>
        <w:t>benefits within each year and cash crop as affected by two tillage systems and two cover crop systems.</w:t>
      </w:r>
      <w:r w:rsidR="00792430" w:rsidRPr="00792430">
        <w:rPr>
          <w:rFonts w:ascii="Times New Roman" w:eastAsia="Times New Roman" w:hAnsi="Times New Roman" w:cs="Times New Roman"/>
          <w:color w:val="000000"/>
        </w:rPr>
        <w:t xml:space="preserve"> </w:t>
      </w:r>
      <w:r w:rsidR="00792430">
        <w:rPr>
          <w:rFonts w:ascii="Times New Roman" w:eastAsia="Times New Roman" w:hAnsi="Times New Roman" w:cs="Times New Roman"/>
          <w:color w:val="000000"/>
        </w:rPr>
        <w:t>Upper case letters are used for comparing cover crop treatments within each tillage system. Lower case letters are used for comparing each cover crop treatment between tillage systems.</w:t>
      </w:r>
      <w:r w:rsidR="00792430" w:rsidRPr="00763EF3">
        <w:rPr>
          <w:rFonts w:ascii="Times New Roman" w:eastAsia="Times New Roman" w:hAnsi="Times New Roman" w:cs="Times New Roman"/>
          <w:color w:val="000000"/>
        </w:rPr>
        <w:t xml:space="preserve"> </w:t>
      </w:r>
      <w:r w:rsidR="00792430">
        <w:rPr>
          <w:rFonts w:ascii="Times New Roman" w:eastAsia="Times New Roman" w:hAnsi="Times New Roman" w:cs="Times New Roman"/>
          <w:color w:val="000000"/>
        </w:rPr>
        <w:t>Treatment means with the same letter</w:t>
      </w:r>
      <w:r w:rsidR="00792430" w:rsidRPr="00763EF3">
        <w:rPr>
          <w:rFonts w:ascii="Times New Roman" w:eastAsia="Times New Roman" w:hAnsi="Times New Roman" w:cs="Times New Roman"/>
          <w:color w:val="000000"/>
        </w:rPr>
        <w:t xml:space="preserve"> </w:t>
      </w:r>
      <w:r w:rsidR="00792430">
        <w:rPr>
          <w:rFonts w:ascii="Times New Roman" w:eastAsia="Times New Roman" w:hAnsi="Times New Roman" w:cs="Times New Roman"/>
          <w:color w:val="000000"/>
        </w:rPr>
        <w:t>are not s</w:t>
      </w:r>
      <w:r w:rsidR="00792430" w:rsidRPr="00763EF3">
        <w:rPr>
          <w:rFonts w:ascii="Times New Roman" w:eastAsia="Times New Roman" w:hAnsi="Times New Roman" w:cs="Times New Roman"/>
          <w:color w:val="000000"/>
        </w:rPr>
        <w:t>ignificant</w:t>
      </w:r>
      <w:r w:rsidR="00792430">
        <w:rPr>
          <w:rFonts w:ascii="Times New Roman" w:eastAsia="Times New Roman" w:hAnsi="Times New Roman" w:cs="Times New Roman"/>
          <w:color w:val="000000"/>
        </w:rPr>
        <w:t>ly</w:t>
      </w:r>
      <w:r w:rsidR="00792430" w:rsidRPr="00763EF3">
        <w:rPr>
          <w:rFonts w:ascii="Times New Roman" w:eastAsia="Times New Roman" w:hAnsi="Times New Roman" w:cs="Times New Roman"/>
          <w:color w:val="000000"/>
        </w:rPr>
        <w:t xml:space="preserve"> differen</w:t>
      </w:r>
      <w:r w:rsidR="00792430">
        <w:rPr>
          <w:rFonts w:ascii="Times New Roman" w:eastAsia="Times New Roman" w:hAnsi="Times New Roman" w:cs="Times New Roman"/>
          <w:color w:val="000000"/>
        </w:rPr>
        <w:t>t at</w:t>
      </w:r>
      <w:r w:rsidR="00792430" w:rsidRPr="00763EF3">
        <w:rPr>
          <w:rFonts w:ascii="Times New Roman" w:eastAsia="Times New Roman" w:hAnsi="Times New Roman" w:cs="Times New Roman"/>
          <w:color w:val="000000"/>
        </w:rPr>
        <w:t xml:space="preserve"> p </w:t>
      </w:r>
      <m:oMath>
        <m:r>
          <w:rPr>
            <w:rFonts w:ascii="Cambria Math" w:eastAsia="Times New Roman" w:hAnsi="Cambria Math" w:cs="Times New Roman"/>
            <w:color w:val="000000"/>
          </w:rPr>
          <m:t>≤</m:t>
        </m:r>
      </m:oMath>
      <w:r w:rsidR="00792430">
        <w:rPr>
          <w:rFonts w:ascii="Times New Roman" w:eastAsia="Times New Roman" w:hAnsi="Times New Roman" w:cs="Times New Roman"/>
          <w:color w:val="000000"/>
        </w:rPr>
        <w:t xml:space="preserve"> </w:t>
      </w:r>
      <w:r w:rsidR="00792430" w:rsidRPr="00763EF3">
        <w:rPr>
          <w:rFonts w:ascii="Times New Roman" w:eastAsia="Times New Roman" w:hAnsi="Times New Roman" w:cs="Times New Roman"/>
          <w:color w:val="000000"/>
        </w:rPr>
        <w:t xml:space="preserve">0.05. </w:t>
      </w:r>
      <w:r w:rsidR="00792430">
        <w:rPr>
          <w:rFonts w:ascii="Times New Roman" w:eastAsia="Times New Roman" w:hAnsi="Times New Roman" w:cs="Times New Roman"/>
          <w:color w:val="000000"/>
        </w:rPr>
        <w:t>(NT = no-till; CP = chisel plow; CC = cover</w:t>
      </w:r>
      <w:r w:rsidR="00792430" w:rsidRPr="00A91C31">
        <w:rPr>
          <w:rFonts w:ascii="Times New Roman" w:eastAsia="Times New Roman" w:hAnsi="Times New Roman" w:cs="Times New Roman"/>
          <w:color w:val="000000"/>
        </w:rPr>
        <w:t xml:space="preserve"> crop; NC = no cover crop).</w:t>
      </w:r>
    </w:p>
    <w:p w14:paraId="2411EBE0" w14:textId="77777777" w:rsidR="008B4ACF" w:rsidRDefault="008B4ACF" w:rsidP="00004BCB">
      <w:pPr>
        <w:spacing w:line="240" w:lineRule="auto"/>
        <w:rPr>
          <w:rFonts w:ascii="Times New Roman" w:eastAsia="Times New Roman" w:hAnsi="Times New Roman" w:cs="Times New Roman"/>
          <w:color w:val="000000"/>
        </w:rPr>
      </w:pPr>
    </w:p>
    <w:p w14:paraId="07EA1D1A" w14:textId="57AE4578" w:rsidR="00004BCB" w:rsidRPr="00A91C31" w:rsidRDefault="0019706B" w:rsidP="00004BCB">
      <w:pPr>
        <w:spacing w:line="240" w:lineRule="auto"/>
        <w:rPr>
          <w:rFonts w:ascii="Times New Roman" w:eastAsia="Times New Roman" w:hAnsi="Times New Roman" w:cs="Times New Roman"/>
          <w:color w:val="000000"/>
        </w:rPr>
      </w:pPr>
      <w:r w:rsidRPr="0019706B">
        <w:rPr>
          <w:noProof/>
        </w:rPr>
        <w:drawing>
          <wp:inline distT="0" distB="0" distL="0" distR="0" wp14:anchorId="6E7583E0" wp14:editId="29B48709">
            <wp:extent cx="8229600" cy="23304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229600" cy="2330450"/>
                    </a:xfrm>
                    <a:prstGeom prst="rect">
                      <a:avLst/>
                    </a:prstGeom>
                    <a:noFill/>
                    <a:ln>
                      <a:noFill/>
                    </a:ln>
                  </pic:spPr>
                </pic:pic>
              </a:graphicData>
            </a:graphic>
          </wp:inline>
        </w:drawing>
      </w:r>
    </w:p>
    <w:p w14:paraId="19C1983C" w14:textId="2E5281FA" w:rsidR="00004BCB" w:rsidRDefault="00CF310A" w:rsidP="00A91C31">
      <w:pPr>
        <w:spacing w:line="240" w:lineRule="auto"/>
        <w:ind w:left="360"/>
        <w:rPr>
          <w:rFonts w:ascii="Times New Roman" w:eastAsia="Times New Roman" w:hAnsi="Times New Roman" w:cs="Times New Roman"/>
          <w:color w:val="000000"/>
        </w:rPr>
        <w:sectPr w:rsidR="00004BCB" w:rsidSect="00224C2D">
          <w:pgSz w:w="15840" w:h="12240" w:orient="landscape"/>
          <w:pgMar w:top="1440" w:right="1440" w:bottom="1440" w:left="1440" w:header="720" w:footer="720" w:gutter="0"/>
          <w:cols w:space="720"/>
          <w:docGrid w:linePitch="360"/>
        </w:sectPr>
      </w:pPr>
      <w:r w:rsidRPr="00A91C31">
        <w:rPr>
          <w:rFonts w:ascii="Times New Roman" w:eastAsia="Times New Roman" w:hAnsi="Times New Roman" w:cs="Times New Roman"/>
          <w:color w:val="000000"/>
        </w:rPr>
        <w:t xml:space="preserve">*Additional benefits </w:t>
      </w:r>
      <w:r w:rsidR="00004D71">
        <w:rPr>
          <w:rFonts w:ascii="Times New Roman" w:eastAsia="Times New Roman" w:hAnsi="Times New Roman" w:cs="Times New Roman"/>
          <w:color w:val="000000"/>
        </w:rPr>
        <w:t>represent cost share payment through USDA government programs for planting cover crops</w:t>
      </w:r>
      <w:r w:rsidR="00B76715" w:rsidRPr="00A91C31">
        <w:rPr>
          <w:rFonts w:ascii="Times New Roman" w:eastAsia="Times New Roman" w:hAnsi="Times New Roman" w:cs="Times New Roman"/>
          <w:color w:val="000000"/>
        </w:rPr>
        <w:t>, estimated at $30</w:t>
      </w:r>
      <w:r w:rsidR="00605C04">
        <w:rPr>
          <w:rFonts w:ascii="Times New Roman" w:eastAsia="Times New Roman" w:hAnsi="Times New Roman" w:cs="Times New Roman"/>
          <w:color w:val="000000"/>
        </w:rPr>
        <w:t xml:space="preserve"> </w:t>
      </w:r>
      <w:r w:rsidR="00FB5C8A" w:rsidRPr="00A91C31">
        <w:rPr>
          <w:rFonts w:ascii="Times New Roman" w:eastAsia="Times New Roman" w:hAnsi="Times New Roman" w:cs="Times New Roman"/>
          <w:color w:val="000000"/>
        </w:rPr>
        <w:t>ac</w:t>
      </w:r>
      <w:r w:rsidR="00FB5C8A" w:rsidRPr="00A91C31">
        <w:rPr>
          <w:rFonts w:ascii="Times New Roman" w:eastAsia="Times New Roman" w:hAnsi="Times New Roman" w:cs="Times New Roman"/>
          <w:color w:val="000000"/>
          <w:vertAlign w:val="superscript"/>
        </w:rPr>
        <w:t>-1</w:t>
      </w:r>
      <w:r w:rsidR="00FB5C8A" w:rsidRPr="00A91C31">
        <w:rPr>
          <w:rFonts w:ascii="Times New Roman" w:eastAsia="Times New Roman" w:hAnsi="Times New Roman" w:cs="Times New Roman"/>
          <w:color w:val="000000"/>
        </w:rPr>
        <w:t xml:space="preserve">. </w:t>
      </w:r>
      <w:r w:rsidR="00646EC1">
        <w:rPr>
          <w:rFonts w:ascii="Times New Roman" w:eastAsia="Times New Roman" w:hAnsi="Times New Roman" w:cs="Times New Roman"/>
          <w:color w:val="000000"/>
        </w:rPr>
        <w:t xml:space="preserve">These potential benefits do not include additional benefits if cover crop </w:t>
      </w:r>
      <w:r w:rsidR="00807BB2">
        <w:rPr>
          <w:rFonts w:ascii="Times New Roman" w:eastAsia="Times New Roman" w:hAnsi="Times New Roman" w:cs="Times New Roman"/>
          <w:color w:val="000000"/>
        </w:rPr>
        <w:t xml:space="preserve">is </w:t>
      </w:r>
      <w:r w:rsidR="00646EC1">
        <w:rPr>
          <w:rFonts w:ascii="Times New Roman" w:eastAsia="Times New Roman" w:hAnsi="Times New Roman" w:cs="Times New Roman"/>
          <w:color w:val="000000"/>
        </w:rPr>
        <w:t>used for grazing or sold as hay product</w:t>
      </w:r>
      <w:r w:rsidR="00FB5C8A" w:rsidRPr="00A91C31">
        <w:rPr>
          <w:rFonts w:ascii="Times New Roman" w:eastAsia="Times New Roman" w:hAnsi="Times New Roman" w:cs="Times New Roman"/>
          <w:color w:val="000000"/>
        </w:rPr>
        <w:t>.</w:t>
      </w:r>
    </w:p>
    <w:p w14:paraId="4BAC3D32" w14:textId="47FACD6A" w:rsidR="005E2567" w:rsidRDefault="005E2567" w:rsidP="00763EF3">
      <w:pPr>
        <w:spacing w:line="24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lastRenderedPageBreak/>
        <w:t>Soil Sampling</w:t>
      </w:r>
    </w:p>
    <w:p w14:paraId="535BAB62" w14:textId="77777777" w:rsidR="00CE6F0A" w:rsidRDefault="00CE6F0A" w:rsidP="00CE6F0A">
      <w:pPr>
        <w:spacing w:line="240" w:lineRule="auto"/>
        <w:rPr>
          <w:rFonts w:ascii="Times New Roman" w:eastAsia="Times New Roman" w:hAnsi="Times New Roman" w:cs="Times New Roman"/>
          <w:b/>
          <w:bCs/>
          <w:color w:val="000000"/>
          <w:sz w:val="28"/>
          <w:szCs w:val="28"/>
        </w:rPr>
      </w:pPr>
    </w:p>
    <w:p w14:paraId="3D760FC4" w14:textId="352922BC" w:rsidR="000F65E7" w:rsidRDefault="000F65E7" w:rsidP="000F65E7">
      <w:pPr>
        <w:rPr>
          <w:rFonts w:ascii="Times New Roman" w:hAnsi="Times New Roman" w:cs="Times New Roman"/>
          <w:b/>
          <w:bCs/>
          <w:sz w:val="24"/>
          <w:szCs w:val="24"/>
        </w:rPr>
      </w:pPr>
      <w:r w:rsidRPr="00F80565">
        <w:rPr>
          <w:rFonts w:ascii="Times New Roman" w:hAnsi="Times New Roman" w:cs="Times New Roman"/>
          <w:b/>
          <w:bCs/>
          <w:sz w:val="24"/>
          <w:szCs w:val="24"/>
        </w:rPr>
        <w:t>Macro-Aggregate Stability</w:t>
      </w:r>
    </w:p>
    <w:p w14:paraId="606B5CF8" w14:textId="77777777" w:rsidR="00526EE7" w:rsidRPr="002D7DB1" w:rsidRDefault="00526EE7" w:rsidP="000F65E7">
      <w:pPr>
        <w:rPr>
          <w:rFonts w:ascii="Times New Roman" w:hAnsi="Times New Roman" w:cs="Times New Roman"/>
          <w:b/>
          <w:bCs/>
        </w:rPr>
      </w:pPr>
    </w:p>
    <w:p w14:paraId="57073C67" w14:textId="0D1501B7" w:rsidR="0011228B" w:rsidRPr="002D7DB1" w:rsidRDefault="00526EE7" w:rsidP="000F65E7">
      <w:pPr>
        <w:rPr>
          <w:rFonts w:ascii="Times New Roman" w:hAnsi="Times New Roman" w:cs="Times New Roman"/>
          <w:b/>
          <w:bCs/>
        </w:rPr>
      </w:pPr>
      <w:r w:rsidRPr="002D7DB1">
        <w:rPr>
          <w:rFonts w:ascii="Times New Roman" w:hAnsi="Times New Roman" w:cs="Times New Roman"/>
          <w:b/>
          <w:bCs/>
        </w:rPr>
        <w:tab/>
      </w:r>
      <w:r w:rsidRPr="002D7DB1">
        <w:rPr>
          <w:rFonts w:ascii="Times New Roman" w:hAnsi="Times New Roman" w:cs="Times New Roman"/>
        </w:rPr>
        <w:t xml:space="preserve">As mentioned </w:t>
      </w:r>
      <w:r w:rsidR="00C93040" w:rsidRPr="002D7DB1">
        <w:rPr>
          <w:rFonts w:ascii="Times New Roman" w:hAnsi="Times New Roman" w:cs="Times New Roman"/>
        </w:rPr>
        <w:t xml:space="preserve">in the previous </w:t>
      </w:r>
      <w:r w:rsidR="00CE016C" w:rsidRPr="002D7DB1">
        <w:rPr>
          <w:rFonts w:ascii="Times New Roman" w:hAnsi="Times New Roman" w:cs="Times New Roman"/>
        </w:rPr>
        <w:t xml:space="preserve">progress report, macro-aggregate stability is a test </w:t>
      </w:r>
      <w:r w:rsidR="00EF1DFB" w:rsidRPr="002D7DB1">
        <w:rPr>
          <w:rFonts w:ascii="Times New Roman" w:hAnsi="Times New Roman" w:cs="Times New Roman"/>
        </w:rPr>
        <w:t xml:space="preserve">that </w:t>
      </w:r>
      <w:r w:rsidR="007627B8" w:rsidRPr="002D7DB1">
        <w:rPr>
          <w:rFonts w:ascii="Times New Roman" w:hAnsi="Times New Roman" w:cs="Times New Roman"/>
        </w:rPr>
        <w:t>measures the strength of soil to resist destructive forces such as rainfall and erosion.</w:t>
      </w:r>
      <w:r w:rsidR="000134E2" w:rsidRPr="002D7DB1">
        <w:rPr>
          <w:rFonts w:ascii="Times New Roman" w:hAnsi="Times New Roman" w:cs="Times New Roman"/>
        </w:rPr>
        <w:t xml:space="preserve"> Due to the </w:t>
      </w:r>
      <w:r w:rsidR="005E1D72" w:rsidRPr="002D7DB1">
        <w:rPr>
          <w:rFonts w:ascii="Times New Roman" w:hAnsi="Times New Roman" w:cs="Times New Roman"/>
        </w:rPr>
        <w:t>high variability</w:t>
      </w:r>
      <w:r w:rsidR="00E91079" w:rsidRPr="002D7DB1">
        <w:rPr>
          <w:rFonts w:ascii="Times New Roman" w:hAnsi="Times New Roman" w:cs="Times New Roman"/>
        </w:rPr>
        <w:t xml:space="preserve"> of the results and the</w:t>
      </w:r>
      <w:r w:rsidR="00FF3B73" w:rsidRPr="002D7DB1">
        <w:rPr>
          <w:rFonts w:ascii="Times New Roman" w:hAnsi="Times New Roman" w:cs="Times New Roman"/>
        </w:rPr>
        <w:t xml:space="preserve"> relatively</w:t>
      </w:r>
      <w:r w:rsidR="00E91079" w:rsidRPr="002D7DB1">
        <w:rPr>
          <w:rFonts w:ascii="Times New Roman" w:hAnsi="Times New Roman" w:cs="Times New Roman"/>
        </w:rPr>
        <w:t xml:space="preserve"> short</w:t>
      </w:r>
      <w:r w:rsidR="00FF3B73" w:rsidRPr="002D7DB1">
        <w:rPr>
          <w:rFonts w:ascii="Times New Roman" w:hAnsi="Times New Roman" w:cs="Times New Roman"/>
        </w:rPr>
        <w:t xml:space="preserve"> duration of the</w:t>
      </w:r>
      <w:r w:rsidR="00E91079" w:rsidRPr="002D7DB1">
        <w:rPr>
          <w:rFonts w:ascii="Times New Roman" w:hAnsi="Times New Roman" w:cs="Times New Roman"/>
        </w:rPr>
        <w:t xml:space="preserve"> </w:t>
      </w:r>
      <w:r w:rsidR="00FF3B73" w:rsidRPr="002D7DB1">
        <w:rPr>
          <w:rFonts w:ascii="Times New Roman" w:hAnsi="Times New Roman" w:cs="Times New Roman"/>
        </w:rPr>
        <w:t>study</w:t>
      </w:r>
      <w:r w:rsidR="00410CCA" w:rsidRPr="002D7DB1">
        <w:rPr>
          <w:rFonts w:ascii="Times New Roman" w:hAnsi="Times New Roman" w:cs="Times New Roman"/>
        </w:rPr>
        <w:t xml:space="preserve">, no significant differences </w:t>
      </w:r>
      <w:r w:rsidR="003B1DB5" w:rsidRPr="002D7DB1">
        <w:rPr>
          <w:rFonts w:ascii="Times New Roman" w:hAnsi="Times New Roman" w:cs="Times New Roman"/>
        </w:rPr>
        <w:t xml:space="preserve">between tillage or cover crop treatments </w:t>
      </w:r>
      <w:r w:rsidR="00410CCA" w:rsidRPr="002D7DB1">
        <w:rPr>
          <w:rFonts w:ascii="Times New Roman" w:hAnsi="Times New Roman" w:cs="Times New Roman"/>
        </w:rPr>
        <w:t>were detected</w:t>
      </w:r>
      <w:r w:rsidR="007263D7" w:rsidRPr="002D7DB1">
        <w:rPr>
          <w:rFonts w:ascii="Times New Roman" w:hAnsi="Times New Roman" w:cs="Times New Roman"/>
        </w:rPr>
        <w:t xml:space="preserve"> in either </w:t>
      </w:r>
      <w:r w:rsidR="00E91079" w:rsidRPr="002D7DB1">
        <w:rPr>
          <w:rFonts w:ascii="Times New Roman" w:hAnsi="Times New Roman" w:cs="Times New Roman"/>
        </w:rPr>
        <w:t>the 4 mm fraction</w:t>
      </w:r>
      <w:r w:rsidR="00BB6D01">
        <w:rPr>
          <w:rFonts w:ascii="Times New Roman" w:hAnsi="Times New Roman" w:cs="Times New Roman"/>
        </w:rPr>
        <w:t xml:space="preserve"> (Fig. 7)</w:t>
      </w:r>
      <w:r w:rsidR="00E91079" w:rsidRPr="002D7DB1">
        <w:rPr>
          <w:rFonts w:ascii="Times New Roman" w:hAnsi="Times New Roman" w:cs="Times New Roman"/>
        </w:rPr>
        <w:t xml:space="preserve"> or the 2 mm fraction</w:t>
      </w:r>
      <w:r w:rsidR="00397CFA" w:rsidRPr="002D7DB1">
        <w:rPr>
          <w:rFonts w:ascii="Times New Roman" w:hAnsi="Times New Roman" w:cs="Times New Roman"/>
        </w:rPr>
        <w:t xml:space="preserve"> (Fig</w:t>
      </w:r>
      <w:r w:rsidR="00BB6D01">
        <w:rPr>
          <w:rFonts w:ascii="Times New Roman" w:hAnsi="Times New Roman" w:cs="Times New Roman"/>
        </w:rPr>
        <w:t>.</w:t>
      </w:r>
      <w:r w:rsidR="00397CFA" w:rsidRPr="002D7DB1">
        <w:rPr>
          <w:rFonts w:ascii="Times New Roman" w:hAnsi="Times New Roman" w:cs="Times New Roman"/>
        </w:rPr>
        <w:t xml:space="preserve"> 8)</w:t>
      </w:r>
      <w:r w:rsidR="00410CCA" w:rsidRPr="002D7DB1">
        <w:rPr>
          <w:rFonts w:ascii="Times New Roman" w:hAnsi="Times New Roman" w:cs="Times New Roman"/>
        </w:rPr>
        <w:t>.</w:t>
      </w:r>
    </w:p>
    <w:p w14:paraId="1E127775" w14:textId="77777777" w:rsidR="003B1DB5" w:rsidRPr="002D7DB1" w:rsidRDefault="003B1DB5" w:rsidP="000F65E7">
      <w:pPr>
        <w:rPr>
          <w:rFonts w:ascii="Times New Roman" w:hAnsi="Times New Roman" w:cs="Times New Roman"/>
          <w:b/>
          <w:bCs/>
          <w:sz w:val="24"/>
          <w:szCs w:val="24"/>
        </w:rPr>
      </w:pPr>
    </w:p>
    <w:p w14:paraId="7547A8F8" w14:textId="28714FE3" w:rsidR="000F65E7" w:rsidRDefault="000F65E7" w:rsidP="000F65E7">
      <w:pPr>
        <w:rPr>
          <w:rFonts w:ascii="Times New Roman" w:hAnsi="Times New Roman" w:cs="Times New Roman"/>
          <w:b/>
          <w:bCs/>
          <w:sz w:val="28"/>
          <w:szCs w:val="28"/>
        </w:rPr>
      </w:pPr>
      <w:r>
        <w:rPr>
          <w:noProof/>
        </w:rPr>
        <w:drawing>
          <wp:inline distT="0" distB="0" distL="0" distR="0" wp14:anchorId="23741C71" wp14:editId="2B9ACF53">
            <wp:extent cx="4809451" cy="2600326"/>
            <wp:effectExtent l="0" t="0" r="10795" b="9525"/>
            <wp:docPr id="15" name="Chart 15">
              <a:extLst xmlns:a="http://schemas.openxmlformats.org/drawingml/2006/main">
                <a:ext uri="{FF2B5EF4-FFF2-40B4-BE49-F238E27FC236}">
                  <a16:creationId xmlns:a16="http://schemas.microsoft.com/office/drawing/2014/main" id="{7B8B2820-0F3C-4BF3-99E3-86F5F2ACFC3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592A18F8" w14:textId="1D784BF8" w:rsidR="000F65E7" w:rsidRDefault="00C04DA0" w:rsidP="000F65E7">
      <w:pPr>
        <w:rPr>
          <w:rFonts w:ascii="Times New Roman" w:hAnsi="Times New Roman" w:cs="Times New Roman"/>
        </w:rPr>
      </w:pPr>
      <w:r w:rsidRPr="00C04DA0">
        <w:rPr>
          <w:rFonts w:ascii="Times New Roman" w:hAnsi="Times New Roman" w:cs="Times New Roman"/>
        </w:rPr>
        <w:t xml:space="preserve">Figure 7. </w:t>
      </w:r>
      <w:r>
        <w:rPr>
          <w:rFonts w:ascii="Times New Roman" w:hAnsi="Times New Roman" w:cs="Times New Roman"/>
        </w:rPr>
        <w:t xml:space="preserve">Average </w:t>
      </w:r>
      <w:r w:rsidR="00476D3F">
        <w:rPr>
          <w:rFonts w:ascii="Times New Roman" w:hAnsi="Times New Roman" w:cs="Times New Roman"/>
        </w:rPr>
        <w:t xml:space="preserve">macro-aggregate stability </w:t>
      </w:r>
      <w:r w:rsidR="00441F23">
        <w:rPr>
          <w:rFonts w:ascii="Times New Roman" w:hAnsi="Times New Roman" w:cs="Times New Roman"/>
        </w:rPr>
        <w:t xml:space="preserve">for </w:t>
      </w:r>
      <w:r w:rsidR="0003383C">
        <w:rPr>
          <w:rFonts w:ascii="Times New Roman" w:hAnsi="Times New Roman" w:cs="Times New Roman"/>
        </w:rPr>
        <w:t>the 4 mm soil fraction.</w:t>
      </w:r>
      <w:r w:rsidR="008A3276" w:rsidRPr="008A3276">
        <w:rPr>
          <w:rFonts w:ascii="Times New Roman" w:eastAsia="Times New Roman" w:hAnsi="Times New Roman" w:cs="Times New Roman"/>
          <w:color w:val="000000"/>
        </w:rPr>
        <w:t xml:space="preserve"> </w:t>
      </w:r>
      <w:r w:rsidR="008A3276">
        <w:rPr>
          <w:rFonts w:ascii="Times New Roman" w:eastAsia="Times New Roman" w:hAnsi="Times New Roman" w:cs="Times New Roman"/>
          <w:color w:val="000000"/>
        </w:rPr>
        <w:t xml:space="preserve">Upper case letters are used for comparing cover crop treatments within </w:t>
      </w:r>
      <w:r w:rsidR="00636E9E">
        <w:rPr>
          <w:rFonts w:ascii="Times New Roman" w:eastAsia="Times New Roman" w:hAnsi="Times New Roman" w:cs="Times New Roman"/>
          <w:color w:val="000000"/>
        </w:rPr>
        <w:t xml:space="preserve">each </w:t>
      </w:r>
      <w:r w:rsidR="008A3276">
        <w:rPr>
          <w:rFonts w:ascii="Times New Roman" w:eastAsia="Times New Roman" w:hAnsi="Times New Roman" w:cs="Times New Roman"/>
          <w:color w:val="000000"/>
        </w:rPr>
        <w:t xml:space="preserve">tillage </w:t>
      </w:r>
      <w:r w:rsidR="00636E9E">
        <w:rPr>
          <w:rFonts w:ascii="Times New Roman" w:eastAsia="Times New Roman" w:hAnsi="Times New Roman" w:cs="Times New Roman"/>
          <w:color w:val="000000"/>
        </w:rPr>
        <w:t>system</w:t>
      </w:r>
      <w:r w:rsidR="00950A55">
        <w:rPr>
          <w:rFonts w:ascii="Times New Roman" w:eastAsia="Times New Roman" w:hAnsi="Times New Roman" w:cs="Times New Roman"/>
          <w:color w:val="000000"/>
        </w:rPr>
        <w:t xml:space="preserve"> and date</w:t>
      </w:r>
      <w:r w:rsidR="008A3276">
        <w:rPr>
          <w:rFonts w:ascii="Times New Roman" w:eastAsia="Times New Roman" w:hAnsi="Times New Roman" w:cs="Times New Roman"/>
          <w:color w:val="000000"/>
        </w:rPr>
        <w:t xml:space="preserve">. Lower case letters are used for comparing </w:t>
      </w:r>
      <w:r w:rsidR="001D5ADF">
        <w:rPr>
          <w:rFonts w:ascii="Times New Roman" w:eastAsia="Times New Roman" w:hAnsi="Times New Roman" w:cs="Times New Roman"/>
          <w:color w:val="000000"/>
        </w:rPr>
        <w:t>each cover crop treatment</w:t>
      </w:r>
      <w:r w:rsidR="008A3276">
        <w:rPr>
          <w:rFonts w:ascii="Times New Roman" w:eastAsia="Times New Roman" w:hAnsi="Times New Roman" w:cs="Times New Roman"/>
          <w:color w:val="000000"/>
        </w:rPr>
        <w:t xml:space="preserve"> </w:t>
      </w:r>
      <w:r w:rsidR="001D5ADF">
        <w:rPr>
          <w:rFonts w:ascii="Times New Roman" w:eastAsia="Times New Roman" w:hAnsi="Times New Roman" w:cs="Times New Roman"/>
          <w:color w:val="000000"/>
        </w:rPr>
        <w:t>between</w:t>
      </w:r>
      <w:r w:rsidR="008A3276">
        <w:rPr>
          <w:rFonts w:ascii="Times New Roman" w:eastAsia="Times New Roman" w:hAnsi="Times New Roman" w:cs="Times New Roman"/>
          <w:color w:val="000000"/>
        </w:rPr>
        <w:t xml:space="preserve"> cover crop treatments</w:t>
      </w:r>
      <w:r w:rsidR="00950A55">
        <w:rPr>
          <w:rFonts w:ascii="Times New Roman" w:eastAsia="Times New Roman" w:hAnsi="Times New Roman" w:cs="Times New Roman"/>
          <w:color w:val="000000"/>
        </w:rPr>
        <w:t xml:space="preserve"> within each date</w:t>
      </w:r>
      <w:r w:rsidR="008A3276">
        <w:rPr>
          <w:rFonts w:ascii="Times New Roman" w:eastAsia="Times New Roman" w:hAnsi="Times New Roman" w:cs="Times New Roman"/>
          <w:color w:val="000000"/>
        </w:rPr>
        <w:t>. Treatment</w:t>
      </w:r>
      <w:r w:rsidR="008B4ACF">
        <w:rPr>
          <w:rFonts w:ascii="Times New Roman" w:eastAsia="Times New Roman" w:hAnsi="Times New Roman" w:cs="Times New Roman"/>
          <w:color w:val="000000"/>
        </w:rPr>
        <w:t xml:space="preserve"> mean</w:t>
      </w:r>
      <w:r w:rsidR="008A3276">
        <w:rPr>
          <w:rFonts w:ascii="Times New Roman" w:eastAsia="Times New Roman" w:hAnsi="Times New Roman" w:cs="Times New Roman"/>
          <w:color w:val="000000"/>
        </w:rPr>
        <w:t>s with the same letter</w:t>
      </w:r>
      <w:r w:rsidR="008A3276" w:rsidRPr="00763EF3">
        <w:rPr>
          <w:rFonts w:ascii="Times New Roman" w:eastAsia="Times New Roman" w:hAnsi="Times New Roman" w:cs="Times New Roman"/>
          <w:color w:val="000000"/>
        </w:rPr>
        <w:t xml:space="preserve"> </w:t>
      </w:r>
      <w:r w:rsidR="008A3276">
        <w:rPr>
          <w:rFonts w:ascii="Times New Roman" w:eastAsia="Times New Roman" w:hAnsi="Times New Roman" w:cs="Times New Roman"/>
          <w:color w:val="000000"/>
        </w:rPr>
        <w:t>are not s</w:t>
      </w:r>
      <w:r w:rsidR="008A3276" w:rsidRPr="00763EF3">
        <w:rPr>
          <w:rFonts w:ascii="Times New Roman" w:eastAsia="Times New Roman" w:hAnsi="Times New Roman" w:cs="Times New Roman"/>
          <w:color w:val="000000"/>
        </w:rPr>
        <w:t>ignificant</w:t>
      </w:r>
      <w:r w:rsidR="008A3276">
        <w:rPr>
          <w:rFonts w:ascii="Times New Roman" w:eastAsia="Times New Roman" w:hAnsi="Times New Roman" w:cs="Times New Roman"/>
          <w:color w:val="000000"/>
        </w:rPr>
        <w:t>ly</w:t>
      </w:r>
      <w:r w:rsidR="008A3276" w:rsidRPr="00763EF3">
        <w:rPr>
          <w:rFonts w:ascii="Times New Roman" w:eastAsia="Times New Roman" w:hAnsi="Times New Roman" w:cs="Times New Roman"/>
          <w:color w:val="000000"/>
        </w:rPr>
        <w:t xml:space="preserve"> differen</w:t>
      </w:r>
      <w:r w:rsidR="008A3276">
        <w:rPr>
          <w:rFonts w:ascii="Times New Roman" w:eastAsia="Times New Roman" w:hAnsi="Times New Roman" w:cs="Times New Roman"/>
          <w:color w:val="000000"/>
        </w:rPr>
        <w:t>t at</w:t>
      </w:r>
      <w:r w:rsidR="008A3276" w:rsidRPr="00763EF3">
        <w:rPr>
          <w:rFonts w:ascii="Times New Roman" w:eastAsia="Times New Roman" w:hAnsi="Times New Roman" w:cs="Times New Roman"/>
          <w:color w:val="000000"/>
        </w:rPr>
        <w:t xml:space="preserve"> p </w:t>
      </w:r>
      <m:oMath>
        <m:r>
          <w:rPr>
            <w:rFonts w:ascii="Cambria Math" w:eastAsia="Times New Roman" w:hAnsi="Cambria Math" w:cs="Times New Roman"/>
            <w:color w:val="000000"/>
          </w:rPr>
          <m:t>≤</m:t>
        </m:r>
      </m:oMath>
      <w:r w:rsidR="008A3276">
        <w:rPr>
          <w:rFonts w:ascii="Times New Roman" w:eastAsia="Times New Roman" w:hAnsi="Times New Roman" w:cs="Times New Roman"/>
          <w:color w:val="000000"/>
        </w:rPr>
        <w:t xml:space="preserve"> </w:t>
      </w:r>
      <w:r w:rsidR="008A3276" w:rsidRPr="00763EF3">
        <w:rPr>
          <w:rFonts w:ascii="Times New Roman" w:eastAsia="Times New Roman" w:hAnsi="Times New Roman" w:cs="Times New Roman"/>
          <w:color w:val="000000"/>
        </w:rPr>
        <w:t xml:space="preserve">0.05. </w:t>
      </w:r>
      <w:r w:rsidR="008A3276">
        <w:rPr>
          <w:rFonts w:ascii="Times New Roman" w:eastAsia="Times New Roman" w:hAnsi="Times New Roman" w:cs="Times New Roman"/>
          <w:color w:val="000000"/>
        </w:rPr>
        <w:t>(NT = no-till; CP = chisel plow; CC = cover crop; NC = no cover crop).</w:t>
      </w:r>
    </w:p>
    <w:p w14:paraId="18E5D328" w14:textId="5BD63162" w:rsidR="00D9690C" w:rsidRDefault="00D9690C" w:rsidP="000F65E7">
      <w:pPr>
        <w:rPr>
          <w:rFonts w:ascii="Times New Roman" w:hAnsi="Times New Roman" w:cs="Times New Roman"/>
        </w:rPr>
      </w:pPr>
    </w:p>
    <w:p w14:paraId="6885E785" w14:textId="77777777" w:rsidR="00C77FE2" w:rsidRDefault="00C77FE2">
      <w:pPr>
        <w:rPr>
          <w:rFonts w:ascii="Times New Roman" w:hAnsi="Times New Roman" w:cs="Times New Roman"/>
        </w:rPr>
      </w:pPr>
      <w:r>
        <w:rPr>
          <w:rFonts w:ascii="Times New Roman" w:hAnsi="Times New Roman" w:cs="Times New Roman"/>
        </w:rPr>
        <w:br w:type="page"/>
      </w:r>
    </w:p>
    <w:p w14:paraId="3F0CCB12" w14:textId="17D8857E" w:rsidR="000F65E7" w:rsidRPr="00C04DA0" w:rsidRDefault="000F65E7" w:rsidP="000F65E7">
      <w:pPr>
        <w:rPr>
          <w:rFonts w:ascii="Times New Roman" w:hAnsi="Times New Roman" w:cs="Times New Roman"/>
        </w:rPr>
      </w:pPr>
      <w:r w:rsidRPr="00C04DA0">
        <w:rPr>
          <w:noProof/>
        </w:rPr>
        <w:lastRenderedPageBreak/>
        <w:drawing>
          <wp:inline distT="0" distB="0" distL="0" distR="0" wp14:anchorId="51A0D65B" wp14:editId="18B40327">
            <wp:extent cx="4591050" cy="2605295"/>
            <wp:effectExtent l="0" t="0" r="0" b="5080"/>
            <wp:docPr id="16" name="Chart 16">
              <a:extLst xmlns:a="http://schemas.openxmlformats.org/drawingml/2006/main">
                <a:ext uri="{FF2B5EF4-FFF2-40B4-BE49-F238E27FC236}">
                  <a16:creationId xmlns:a16="http://schemas.microsoft.com/office/drawing/2014/main" id="{382070BC-3920-4347-9B0C-C702F51EF45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55AF344B" w14:textId="2DE5375F" w:rsidR="000F65E7" w:rsidRDefault="00C04DA0" w:rsidP="00CE6F0A">
      <w:pPr>
        <w:spacing w:line="240" w:lineRule="auto"/>
        <w:rPr>
          <w:rFonts w:ascii="Times New Roman" w:eastAsia="Times New Roman" w:hAnsi="Times New Roman" w:cs="Times New Roman"/>
          <w:color w:val="000000"/>
        </w:rPr>
      </w:pPr>
      <w:r w:rsidRPr="00C04DA0">
        <w:rPr>
          <w:rFonts w:ascii="Times New Roman" w:hAnsi="Times New Roman" w:cs="Times New Roman"/>
        </w:rPr>
        <w:t>Figure 8</w:t>
      </w:r>
      <w:r w:rsidR="000F65E7" w:rsidRPr="00C04DA0">
        <w:rPr>
          <w:rFonts w:ascii="Times New Roman" w:hAnsi="Times New Roman" w:cs="Times New Roman"/>
        </w:rPr>
        <w:t>.</w:t>
      </w:r>
      <w:r w:rsidR="0003383C">
        <w:rPr>
          <w:rFonts w:ascii="Times New Roman" w:hAnsi="Times New Roman" w:cs="Times New Roman"/>
        </w:rPr>
        <w:t xml:space="preserve"> Average macro-aggregate stability for the 2 mm soil fraction.</w:t>
      </w:r>
      <w:r w:rsidR="009255E4">
        <w:rPr>
          <w:rFonts w:ascii="Times New Roman" w:eastAsia="Times New Roman" w:hAnsi="Times New Roman" w:cs="Times New Roman"/>
          <w:color w:val="000000"/>
        </w:rPr>
        <w:t xml:space="preserve"> Upper case letters are used for comparing cover crop treatments within </w:t>
      </w:r>
      <w:r w:rsidR="00961F21">
        <w:rPr>
          <w:rFonts w:ascii="Times New Roman" w:eastAsia="Times New Roman" w:hAnsi="Times New Roman" w:cs="Times New Roman"/>
          <w:color w:val="000000"/>
        </w:rPr>
        <w:t xml:space="preserve">each </w:t>
      </w:r>
      <w:r w:rsidR="009255E4">
        <w:rPr>
          <w:rFonts w:ascii="Times New Roman" w:eastAsia="Times New Roman" w:hAnsi="Times New Roman" w:cs="Times New Roman"/>
          <w:color w:val="000000"/>
        </w:rPr>
        <w:t xml:space="preserve">tillage </w:t>
      </w:r>
      <w:r w:rsidR="00961F21">
        <w:rPr>
          <w:rFonts w:ascii="Times New Roman" w:eastAsia="Times New Roman" w:hAnsi="Times New Roman" w:cs="Times New Roman"/>
          <w:color w:val="000000"/>
        </w:rPr>
        <w:t>system</w:t>
      </w:r>
      <w:r w:rsidR="00E82843">
        <w:rPr>
          <w:rFonts w:ascii="Times New Roman" w:eastAsia="Times New Roman" w:hAnsi="Times New Roman" w:cs="Times New Roman"/>
          <w:color w:val="000000"/>
        </w:rPr>
        <w:t xml:space="preserve"> and date</w:t>
      </w:r>
      <w:r w:rsidR="009255E4">
        <w:rPr>
          <w:rFonts w:ascii="Times New Roman" w:eastAsia="Times New Roman" w:hAnsi="Times New Roman" w:cs="Times New Roman"/>
          <w:color w:val="000000"/>
        </w:rPr>
        <w:t xml:space="preserve">. Lower case letters are used for comparing </w:t>
      </w:r>
      <w:r w:rsidR="00961F21">
        <w:rPr>
          <w:rFonts w:ascii="Times New Roman" w:eastAsia="Times New Roman" w:hAnsi="Times New Roman" w:cs="Times New Roman"/>
          <w:color w:val="000000"/>
        </w:rPr>
        <w:t xml:space="preserve">each cover crop </w:t>
      </w:r>
      <w:r w:rsidR="009255E4">
        <w:rPr>
          <w:rFonts w:ascii="Times New Roman" w:eastAsia="Times New Roman" w:hAnsi="Times New Roman" w:cs="Times New Roman"/>
          <w:color w:val="000000"/>
        </w:rPr>
        <w:t xml:space="preserve">treatment </w:t>
      </w:r>
      <w:r w:rsidR="00961F21">
        <w:rPr>
          <w:rFonts w:ascii="Times New Roman" w:eastAsia="Times New Roman" w:hAnsi="Times New Roman" w:cs="Times New Roman"/>
          <w:color w:val="000000"/>
        </w:rPr>
        <w:t>between tillage systems</w:t>
      </w:r>
      <w:r w:rsidR="00E82843">
        <w:rPr>
          <w:rFonts w:ascii="Times New Roman" w:eastAsia="Times New Roman" w:hAnsi="Times New Roman" w:cs="Times New Roman"/>
          <w:color w:val="000000"/>
        </w:rPr>
        <w:t xml:space="preserve"> within each date</w:t>
      </w:r>
      <w:r w:rsidR="009255E4">
        <w:rPr>
          <w:rFonts w:ascii="Times New Roman" w:eastAsia="Times New Roman" w:hAnsi="Times New Roman" w:cs="Times New Roman"/>
          <w:color w:val="000000"/>
        </w:rPr>
        <w:t>. Treatmen</w:t>
      </w:r>
      <w:r w:rsidR="00961F21">
        <w:rPr>
          <w:rFonts w:ascii="Times New Roman" w:eastAsia="Times New Roman" w:hAnsi="Times New Roman" w:cs="Times New Roman"/>
          <w:color w:val="000000"/>
        </w:rPr>
        <w:t>t</w:t>
      </w:r>
      <w:r w:rsidR="00FF7042">
        <w:rPr>
          <w:rFonts w:ascii="Times New Roman" w:eastAsia="Times New Roman" w:hAnsi="Times New Roman" w:cs="Times New Roman"/>
          <w:color w:val="000000"/>
        </w:rPr>
        <w:t xml:space="preserve"> mean</w:t>
      </w:r>
      <w:r w:rsidR="009255E4">
        <w:rPr>
          <w:rFonts w:ascii="Times New Roman" w:eastAsia="Times New Roman" w:hAnsi="Times New Roman" w:cs="Times New Roman"/>
          <w:color w:val="000000"/>
        </w:rPr>
        <w:t>s with the same letter</w:t>
      </w:r>
      <w:r w:rsidR="009255E4" w:rsidRPr="00763EF3">
        <w:rPr>
          <w:rFonts w:ascii="Times New Roman" w:eastAsia="Times New Roman" w:hAnsi="Times New Roman" w:cs="Times New Roman"/>
          <w:color w:val="000000"/>
        </w:rPr>
        <w:t xml:space="preserve"> </w:t>
      </w:r>
      <w:r w:rsidR="009255E4">
        <w:rPr>
          <w:rFonts w:ascii="Times New Roman" w:eastAsia="Times New Roman" w:hAnsi="Times New Roman" w:cs="Times New Roman"/>
          <w:color w:val="000000"/>
        </w:rPr>
        <w:t>are not s</w:t>
      </w:r>
      <w:r w:rsidR="009255E4" w:rsidRPr="00763EF3">
        <w:rPr>
          <w:rFonts w:ascii="Times New Roman" w:eastAsia="Times New Roman" w:hAnsi="Times New Roman" w:cs="Times New Roman"/>
          <w:color w:val="000000"/>
        </w:rPr>
        <w:t>ignificant</w:t>
      </w:r>
      <w:r w:rsidR="009255E4">
        <w:rPr>
          <w:rFonts w:ascii="Times New Roman" w:eastAsia="Times New Roman" w:hAnsi="Times New Roman" w:cs="Times New Roman"/>
          <w:color w:val="000000"/>
        </w:rPr>
        <w:t>ly</w:t>
      </w:r>
      <w:r w:rsidR="009255E4" w:rsidRPr="00763EF3">
        <w:rPr>
          <w:rFonts w:ascii="Times New Roman" w:eastAsia="Times New Roman" w:hAnsi="Times New Roman" w:cs="Times New Roman"/>
          <w:color w:val="000000"/>
        </w:rPr>
        <w:t xml:space="preserve"> differen</w:t>
      </w:r>
      <w:r w:rsidR="009255E4">
        <w:rPr>
          <w:rFonts w:ascii="Times New Roman" w:eastAsia="Times New Roman" w:hAnsi="Times New Roman" w:cs="Times New Roman"/>
          <w:color w:val="000000"/>
        </w:rPr>
        <w:t>t at</w:t>
      </w:r>
      <w:r w:rsidR="009255E4" w:rsidRPr="00763EF3">
        <w:rPr>
          <w:rFonts w:ascii="Times New Roman" w:eastAsia="Times New Roman" w:hAnsi="Times New Roman" w:cs="Times New Roman"/>
          <w:color w:val="000000"/>
        </w:rPr>
        <w:t xml:space="preserve"> p </w:t>
      </w:r>
      <m:oMath>
        <m:r>
          <w:rPr>
            <w:rFonts w:ascii="Cambria Math" w:eastAsia="Times New Roman" w:hAnsi="Cambria Math" w:cs="Times New Roman"/>
            <w:color w:val="000000"/>
          </w:rPr>
          <m:t>≤</m:t>
        </m:r>
      </m:oMath>
      <w:r w:rsidR="009255E4">
        <w:rPr>
          <w:rFonts w:ascii="Times New Roman" w:eastAsia="Times New Roman" w:hAnsi="Times New Roman" w:cs="Times New Roman"/>
          <w:color w:val="000000"/>
        </w:rPr>
        <w:t xml:space="preserve"> </w:t>
      </w:r>
      <w:r w:rsidR="009255E4" w:rsidRPr="00763EF3">
        <w:rPr>
          <w:rFonts w:ascii="Times New Roman" w:eastAsia="Times New Roman" w:hAnsi="Times New Roman" w:cs="Times New Roman"/>
          <w:color w:val="000000"/>
        </w:rPr>
        <w:t xml:space="preserve">0.05. </w:t>
      </w:r>
      <w:r w:rsidR="009255E4">
        <w:rPr>
          <w:rFonts w:ascii="Times New Roman" w:eastAsia="Times New Roman" w:hAnsi="Times New Roman" w:cs="Times New Roman"/>
          <w:color w:val="000000"/>
        </w:rPr>
        <w:t>(NT = no-till; CP = chisel plow; CC = cover crop; NC = no cover crop).</w:t>
      </w:r>
    </w:p>
    <w:p w14:paraId="64E07BC2" w14:textId="77777777" w:rsidR="009255E4" w:rsidRPr="002D7DB1" w:rsidRDefault="009255E4" w:rsidP="00CE6F0A">
      <w:pPr>
        <w:spacing w:line="240" w:lineRule="auto"/>
        <w:rPr>
          <w:rFonts w:ascii="Times New Roman" w:eastAsia="Times New Roman" w:hAnsi="Times New Roman" w:cs="Times New Roman"/>
          <w:color w:val="000000"/>
        </w:rPr>
      </w:pPr>
    </w:p>
    <w:p w14:paraId="47CBFF61" w14:textId="437E0C6B" w:rsidR="00CE6F0A" w:rsidRPr="00F80565" w:rsidRDefault="00CE6F0A" w:rsidP="00CE6F0A">
      <w:pPr>
        <w:spacing w:line="240" w:lineRule="auto"/>
        <w:rPr>
          <w:rFonts w:ascii="Times New Roman" w:eastAsia="Times New Roman" w:hAnsi="Times New Roman" w:cs="Times New Roman"/>
          <w:b/>
          <w:bCs/>
          <w:color w:val="000000"/>
          <w:sz w:val="24"/>
          <w:szCs w:val="24"/>
        </w:rPr>
      </w:pPr>
      <w:r w:rsidRPr="00F80565">
        <w:rPr>
          <w:rFonts w:ascii="Times New Roman" w:eastAsia="Times New Roman" w:hAnsi="Times New Roman" w:cs="Times New Roman"/>
          <w:b/>
          <w:bCs/>
          <w:color w:val="000000"/>
          <w:sz w:val="24"/>
          <w:szCs w:val="24"/>
        </w:rPr>
        <w:t>Soil Bulk Density</w:t>
      </w:r>
    </w:p>
    <w:p w14:paraId="65B412C9" w14:textId="77777777" w:rsidR="007B4437" w:rsidRDefault="00CE6F0A" w:rsidP="00CE6F0A">
      <w:pP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ab/>
      </w:r>
    </w:p>
    <w:p w14:paraId="781101CE" w14:textId="6D8EDE69" w:rsidR="00CE6F0A" w:rsidRDefault="00CE6F0A" w:rsidP="007B4437">
      <w:pPr>
        <w:spacing w:line="240" w:lineRule="auto"/>
        <w:ind w:firstLine="720"/>
        <w:rPr>
          <w:rFonts w:ascii="Times New Roman" w:eastAsia="Times New Roman" w:hAnsi="Times New Roman" w:cs="Times New Roman"/>
          <w:color w:val="000000"/>
        </w:rPr>
      </w:pPr>
      <w:r>
        <w:rPr>
          <w:rFonts w:ascii="Times New Roman" w:eastAsia="Times New Roman" w:hAnsi="Times New Roman" w:cs="Times New Roman"/>
          <w:color w:val="000000"/>
        </w:rPr>
        <w:t>Bulk density was not measured in the fall of 2019 because wet soil conditions did not allow the soil to maintain its structure during sampling.</w:t>
      </w:r>
      <w:r w:rsidR="009255E4">
        <w:rPr>
          <w:rFonts w:ascii="Times New Roman" w:eastAsia="Times New Roman" w:hAnsi="Times New Roman" w:cs="Times New Roman"/>
          <w:color w:val="000000"/>
        </w:rPr>
        <w:t xml:space="preserve"> </w:t>
      </w:r>
      <w:r w:rsidR="00333136">
        <w:rPr>
          <w:rFonts w:ascii="Times New Roman" w:eastAsia="Times New Roman" w:hAnsi="Times New Roman" w:cs="Times New Roman"/>
          <w:color w:val="000000"/>
        </w:rPr>
        <w:t>While there was one significant difference in the six- to twelve-inch depth</w:t>
      </w:r>
      <w:r w:rsidR="006B0C79">
        <w:rPr>
          <w:rFonts w:ascii="Times New Roman" w:eastAsia="Times New Roman" w:hAnsi="Times New Roman" w:cs="Times New Roman"/>
          <w:color w:val="000000"/>
        </w:rPr>
        <w:t xml:space="preserve"> (Fig</w:t>
      </w:r>
      <w:r w:rsidR="005E3163">
        <w:rPr>
          <w:rFonts w:ascii="Times New Roman" w:eastAsia="Times New Roman" w:hAnsi="Times New Roman" w:cs="Times New Roman"/>
          <w:color w:val="000000"/>
        </w:rPr>
        <w:t>.</w:t>
      </w:r>
      <w:r w:rsidR="006B0C79">
        <w:rPr>
          <w:rFonts w:ascii="Times New Roman" w:eastAsia="Times New Roman" w:hAnsi="Times New Roman" w:cs="Times New Roman"/>
          <w:color w:val="000000"/>
        </w:rPr>
        <w:t xml:space="preserve"> 9)</w:t>
      </w:r>
      <w:r w:rsidR="00333136">
        <w:rPr>
          <w:rFonts w:ascii="Times New Roman" w:eastAsia="Times New Roman" w:hAnsi="Times New Roman" w:cs="Times New Roman"/>
          <w:color w:val="000000"/>
        </w:rPr>
        <w:t>, t</w:t>
      </w:r>
      <w:r w:rsidR="009255E4">
        <w:rPr>
          <w:rFonts w:ascii="Times New Roman" w:eastAsia="Times New Roman" w:hAnsi="Times New Roman" w:cs="Times New Roman"/>
          <w:color w:val="000000"/>
        </w:rPr>
        <w:t xml:space="preserve">here were no </w:t>
      </w:r>
      <w:r w:rsidR="00502FBB">
        <w:rPr>
          <w:rFonts w:ascii="Times New Roman" w:eastAsia="Times New Roman" w:hAnsi="Times New Roman" w:cs="Times New Roman"/>
          <w:color w:val="000000"/>
        </w:rPr>
        <w:t>consistent trends</w:t>
      </w:r>
      <w:r w:rsidR="00333136">
        <w:rPr>
          <w:rFonts w:ascii="Times New Roman" w:eastAsia="Times New Roman" w:hAnsi="Times New Roman" w:cs="Times New Roman"/>
          <w:color w:val="000000"/>
        </w:rPr>
        <w:t xml:space="preserve"> over time</w:t>
      </w:r>
      <w:r w:rsidR="009255E4">
        <w:rPr>
          <w:rFonts w:ascii="Times New Roman" w:eastAsia="Times New Roman" w:hAnsi="Times New Roman" w:cs="Times New Roman"/>
          <w:color w:val="000000"/>
        </w:rPr>
        <w:t xml:space="preserve"> between tillage </w:t>
      </w:r>
      <w:r w:rsidR="00DE2039">
        <w:rPr>
          <w:rFonts w:ascii="Times New Roman" w:eastAsia="Times New Roman" w:hAnsi="Times New Roman" w:cs="Times New Roman"/>
          <w:color w:val="000000"/>
        </w:rPr>
        <w:t>and</w:t>
      </w:r>
      <w:r w:rsidR="009255E4">
        <w:rPr>
          <w:rFonts w:ascii="Times New Roman" w:eastAsia="Times New Roman" w:hAnsi="Times New Roman" w:cs="Times New Roman"/>
          <w:color w:val="000000"/>
        </w:rPr>
        <w:t xml:space="preserve"> cover crop treatments</w:t>
      </w:r>
      <w:r w:rsidR="006B0C79">
        <w:rPr>
          <w:rFonts w:ascii="Times New Roman" w:eastAsia="Times New Roman" w:hAnsi="Times New Roman" w:cs="Times New Roman"/>
          <w:color w:val="000000"/>
        </w:rPr>
        <w:t xml:space="preserve"> (Fig</w:t>
      </w:r>
      <w:r w:rsidR="005E3163">
        <w:rPr>
          <w:rFonts w:ascii="Times New Roman" w:eastAsia="Times New Roman" w:hAnsi="Times New Roman" w:cs="Times New Roman"/>
          <w:color w:val="000000"/>
        </w:rPr>
        <w:t>s.</w:t>
      </w:r>
      <w:r w:rsidR="006B0C79">
        <w:rPr>
          <w:rFonts w:ascii="Times New Roman" w:eastAsia="Times New Roman" w:hAnsi="Times New Roman" w:cs="Times New Roman"/>
          <w:color w:val="000000"/>
        </w:rPr>
        <w:t xml:space="preserve"> 9, 10)</w:t>
      </w:r>
      <w:r w:rsidR="006059E5">
        <w:rPr>
          <w:rFonts w:ascii="Times New Roman" w:eastAsia="Times New Roman" w:hAnsi="Times New Roman" w:cs="Times New Roman"/>
          <w:color w:val="000000"/>
        </w:rPr>
        <w:t>.</w:t>
      </w:r>
      <w:r w:rsidR="00190716">
        <w:rPr>
          <w:rFonts w:ascii="Times New Roman" w:eastAsia="Times New Roman" w:hAnsi="Times New Roman" w:cs="Times New Roman"/>
          <w:color w:val="000000"/>
        </w:rPr>
        <w:t xml:space="preserve"> Changes in bulk density take </w:t>
      </w:r>
      <w:r w:rsidR="0058077F">
        <w:rPr>
          <w:rFonts w:ascii="Times New Roman" w:eastAsia="Times New Roman" w:hAnsi="Times New Roman" w:cs="Times New Roman"/>
          <w:color w:val="000000"/>
        </w:rPr>
        <w:t>more</w:t>
      </w:r>
      <w:r w:rsidR="00190716">
        <w:rPr>
          <w:rFonts w:ascii="Times New Roman" w:eastAsia="Times New Roman" w:hAnsi="Times New Roman" w:cs="Times New Roman"/>
          <w:color w:val="000000"/>
        </w:rPr>
        <w:t xml:space="preserve"> time as influenced by cover crop or tillage treatments.</w:t>
      </w:r>
    </w:p>
    <w:p w14:paraId="3F7F264F" w14:textId="51091AB0" w:rsidR="00CE6F0A" w:rsidRDefault="00CE6F0A" w:rsidP="00CE6F0A">
      <w:pPr>
        <w:spacing w:line="240" w:lineRule="auto"/>
        <w:rPr>
          <w:noProof/>
        </w:rPr>
      </w:pPr>
    </w:p>
    <w:p w14:paraId="1E609D44" w14:textId="77777777" w:rsidR="00C77FE2" w:rsidRDefault="00C77FE2">
      <w:pPr>
        <w:rPr>
          <w:rFonts w:ascii="Times New Roman" w:eastAsia="Times New Roman" w:hAnsi="Times New Roman" w:cs="Times New Roman"/>
          <w:color w:val="000000"/>
        </w:rPr>
      </w:pPr>
      <w:r>
        <w:rPr>
          <w:rFonts w:ascii="Times New Roman" w:eastAsia="Times New Roman" w:hAnsi="Times New Roman" w:cs="Times New Roman"/>
          <w:color w:val="000000"/>
        </w:rPr>
        <w:br w:type="page"/>
      </w:r>
    </w:p>
    <w:p w14:paraId="6551A8C7" w14:textId="740FD4B8" w:rsidR="004309A4" w:rsidRDefault="007F7B2D" w:rsidP="00CE6F0A">
      <w:pPr>
        <w:spacing w:line="240" w:lineRule="auto"/>
        <w:rPr>
          <w:rFonts w:ascii="Times New Roman" w:eastAsia="Times New Roman" w:hAnsi="Times New Roman" w:cs="Times New Roman"/>
          <w:color w:val="000000"/>
        </w:rPr>
      </w:pPr>
      <w:r>
        <w:rPr>
          <w:noProof/>
        </w:rPr>
        <w:lastRenderedPageBreak/>
        <w:drawing>
          <wp:inline distT="0" distB="0" distL="0" distR="0" wp14:anchorId="74C1E93B" wp14:editId="01870D87">
            <wp:extent cx="4588642" cy="2772760"/>
            <wp:effectExtent l="0" t="0" r="2540" b="8890"/>
            <wp:docPr id="8" name="Chart 8">
              <a:extLst xmlns:a="http://schemas.openxmlformats.org/drawingml/2006/main">
                <a:ext uri="{FF2B5EF4-FFF2-40B4-BE49-F238E27FC236}">
                  <a16:creationId xmlns:a16="http://schemas.microsoft.com/office/drawing/2014/main" id="{FB2CAF3F-15C3-4723-8105-EECD6859D9A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0BED82E3" w14:textId="3E2852CF" w:rsidR="00CE6F0A" w:rsidRDefault="00CE6F0A" w:rsidP="00CE6F0A">
      <w:pP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Figure </w:t>
      </w:r>
      <w:r w:rsidR="006A3C5D">
        <w:rPr>
          <w:rFonts w:ascii="Times New Roman" w:eastAsia="Times New Roman" w:hAnsi="Times New Roman" w:cs="Times New Roman"/>
          <w:color w:val="000000"/>
        </w:rPr>
        <w:t>9</w:t>
      </w:r>
      <w:r>
        <w:rPr>
          <w:rFonts w:ascii="Times New Roman" w:eastAsia="Times New Roman" w:hAnsi="Times New Roman" w:cs="Times New Roman"/>
          <w:color w:val="000000"/>
        </w:rPr>
        <w:t xml:space="preserve">. Average soil bulk density in the top six inches of soil for different tillage and cover crop treatments. </w:t>
      </w:r>
      <w:r w:rsidRPr="00611199">
        <w:rPr>
          <w:rFonts w:ascii="Times New Roman" w:eastAsia="Times New Roman" w:hAnsi="Times New Roman" w:cs="Times New Roman"/>
          <w:color w:val="000000"/>
        </w:rPr>
        <w:t xml:space="preserve">Upper case letters compare cover crop treatments </w:t>
      </w:r>
      <w:r w:rsidR="00F37BA3">
        <w:rPr>
          <w:rFonts w:ascii="Times New Roman" w:eastAsia="Times New Roman" w:hAnsi="Times New Roman" w:cs="Times New Roman"/>
          <w:color w:val="000000"/>
        </w:rPr>
        <w:t>within</w:t>
      </w:r>
      <w:r w:rsidRPr="00611199">
        <w:rPr>
          <w:rFonts w:ascii="Times New Roman" w:eastAsia="Times New Roman" w:hAnsi="Times New Roman" w:cs="Times New Roman"/>
          <w:color w:val="000000"/>
        </w:rPr>
        <w:t xml:space="preserve"> </w:t>
      </w:r>
      <w:r w:rsidR="00B148A4">
        <w:rPr>
          <w:rFonts w:ascii="Times New Roman" w:eastAsia="Times New Roman" w:hAnsi="Times New Roman" w:cs="Times New Roman"/>
          <w:color w:val="000000"/>
        </w:rPr>
        <w:t xml:space="preserve">each </w:t>
      </w:r>
      <w:r w:rsidRPr="00611199">
        <w:rPr>
          <w:rFonts w:ascii="Times New Roman" w:eastAsia="Times New Roman" w:hAnsi="Times New Roman" w:cs="Times New Roman"/>
          <w:color w:val="000000"/>
        </w:rPr>
        <w:t xml:space="preserve">tillage </w:t>
      </w:r>
      <w:r w:rsidR="00B148A4">
        <w:rPr>
          <w:rFonts w:ascii="Times New Roman" w:eastAsia="Times New Roman" w:hAnsi="Times New Roman" w:cs="Times New Roman"/>
          <w:color w:val="000000"/>
        </w:rPr>
        <w:t>system</w:t>
      </w:r>
      <w:r w:rsidR="00F469CD">
        <w:rPr>
          <w:rFonts w:ascii="Times New Roman" w:eastAsia="Times New Roman" w:hAnsi="Times New Roman" w:cs="Times New Roman"/>
          <w:color w:val="000000"/>
        </w:rPr>
        <w:t xml:space="preserve"> and</w:t>
      </w:r>
      <w:r w:rsidRPr="00611199">
        <w:rPr>
          <w:rFonts w:ascii="Times New Roman" w:eastAsia="Times New Roman" w:hAnsi="Times New Roman" w:cs="Times New Roman"/>
          <w:color w:val="000000"/>
        </w:rPr>
        <w:t xml:space="preserve"> date.</w:t>
      </w:r>
      <w:r>
        <w:rPr>
          <w:rFonts w:ascii="Times New Roman" w:eastAsia="Times New Roman" w:hAnsi="Times New Roman" w:cs="Times New Roman"/>
          <w:color w:val="000000"/>
        </w:rPr>
        <w:t xml:space="preserve"> Lower case letters compare </w:t>
      </w:r>
      <w:r w:rsidR="007D5CBB">
        <w:rPr>
          <w:rFonts w:ascii="Times New Roman" w:eastAsia="Times New Roman" w:hAnsi="Times New Roman" w:cs="Times New Roman"/>
          <w:color w:val="000000"/>
        </w:rPr>
        <w:t>each cover crop treatment between tillage systems</w:t>
      </w:r>
      <w:r w:rsidR="00F469CD">
        <w:rPr>
          <w:rFonts w:ascii="Times New Roman" w:eastAsia="Times New Roman" w:hAnsi="Times New Roman" w:cs="Times New Roman"/>
          <w:color w:val="000000"/>
        </w:rPr>
        <w:t xml:space="preserve"> </w:t>
      </w:r>
      <w:r w:rsidR="00262572">
        <w:rPr>
          <w:rFonts w:ascii="Times New Roman" w:eastAsia="Times New Roman" w:hAnsi="Times New Roman" w:cs="Times New Roman"/>
          <w:color w:val="000000"/>
        </w:rPr>
        <w:t>within each</w:t>
      </w:r>
      <w:r>
        <w:rPr>
          <w:rFonts w:ascii="Times New Roman" w:eastAsia="Times New Roman" w:hAnsi="Times New Roman" w:cs="Times New Roman"/>
          <w:color w:val="000000"/>
        </w:rPr>
        <w:t xml:space="preserve"> date.</w:t>
      </w:r>
      <w:r w:rsidRPr="00611199">
        <w:rPr>
          <w:rFonts w:ascii="Times New Roman" w:eastAsia="Times New Roman" w:hAnsi="Times New Roman" w:cs="Times New Roman"/>
          <w:color w:val="000000"/>
        </w:rPr>
        <w:t xml:space="preserve"> Treatmen</w:t>
      </w:r>
      <w:r w:rsidR="007D5CBB">
        <w:rPr>
          <w:rFonts w:ascii="Times New Roman" w:eastAsia="Times New Roman" w:hAnsi="Times New Roman" w:cs="Times New Roman"/>
          <w:color w:val="000000"/>
        </w:rPr>
        <w:t>t</w:t>
      </w:r>
      <w:r w:rsidR="00FF7042">
        <w:rPr>
          <w:rFonts w:ascii="Times New Roman" w:eastAsia="Times New Roman" w:hAnsi="Times New Roman" w:cs="Times New Roman"/>
          <w:color w:val="000000"/>
        </w:rPr>
        <w:t xml:space="preserve"> mean</w:t>
      </w:r>
      <w:r w:rsidRPr="00611199">
        <w:rPr>
          <w:rFonts w:ascii="Times New Roman" w:eastAsia="Times New Roman" w:hAnsi="Times New Roman" w:cs="Times New Roman"/>
          <w:color w:val="000000"/>
        </w:rPr>
        <w:t>s with the same letter</w:t>
      </w:r>
      <w:r>
        <w:rPr>
          <w:rFonts w:ascii="Times New Roman" w:eastAsia="Times New Roman" w:hAnsi="Times New Roman" w:cs="Times New Roman"/>
          <w:color w:val="000000"/>
        </w:rPr>
        <w:t xml:space="preserve"> </w:t>
      </w:r>
      <w:r w:rsidRPr="00611199">
        <w:rPr>
          <w:rFonts w:ascii="Times New Roman" w:eastAsia="Times New Roman" w:hAnsi="Times New Roman" w:cs="Times New Roman"/>
          <w:color w:val="000000"/>
        </w:rPr>
        <w:t xml:space="preserve">are not significantly different at p </w:t>
      </w:r>
      <m:oMath>
        <m:r>
          <w:rPr>
            <w:rFonts w:ascii="Cambria Math" w:eastAsia="Times New Roman" w:hAnsi="Cambria Math" w:cs="Times New Roman"/>
            <w:color w:val="000000"/>
          </w:rPr>
          <m:t>≤</m:t>
        </m:r>
      </m:oMath>
      <w:r w:rsidRPr="00611199">
        <w:rPr>
          <w:rFonts w:ascii="Times New Roman" w:eastAsia="Times New Roman" w:hAnsi="Times New Roman" w:cs="Times New Roman"/>
          <w:color w:val="000000"/>
        </w:rPr>
        <w:t xml:space="preserve"> 0.05</w:t>
      </w:r>
      <w:r>
        <w:rPr>
          <w:rFonts w:ascii="Times New Roman" w:eastAsia="Times New Roman" w:hAnsi="Times New Roman" w:cs="Times New Roman"/>
          <w:color w:val="000000"/>
        </w:rPr>
        <w:t xml:space="preserve"> (NT = no-till; CP = chisel plow; CC = cover crop; NC = no cover crop).</w:t>
      </w:r>
    </w:p>
    <w:p w14:paraId="31C2FE4E" w14:textId="77777777" w:rsidR="00CE6F0A" w:rsidRDefault="00CE6F0A" w:rsidP="00CE6F0A">
      <w:pPr>
        <w:spacing w:line="240" w:lineRule="auto"/>
        <w:rPr>
          <w:rFonts w:ascii="Times New Roman" w:eastAsia="Times New Roman" w:hAnsi="Times New Roman" w:cs="Times New Roman"/>
          <w:color w:val="000000"/>
        </w:rPr>
      </w:pPr>
    </w:p>
    <w:p w14:paraId="20A2C6E3" w14:textId="63F4798D" w:rsidR="00CE6F0A" w:rsidRDefault="00E86EFD" w:rsidP="00CE6F0A">
      <w:pPr>
        <w:spacing w:line="240" w:lineRule="auto"/>
        <w:rPr>
          <w:rFonts w:ascii="Times New Roman" w:eastAsia="Times New Roman" w:hAnsi="Times New Roman" w:cs="Times New Roman"/>
          <w:color w:val="000000"/>
        </w:rPr>
      </w:pPr>
      <w:r>
        <w:rPr>
          <w:noProof/>
        </w:rPr>
        <w:drawing>
          <wp:inline distT="0" distB="0" distL="0" distR="0" wp14:anchorId="34E7F4B5" wp14:editId="4D307B4D">
            <wp:extent cx="4588642" cy="2772760"/>
            <wp:effectExtent l="0" t="0" r="2540" b="8890"/>
            <wp:docPr id="9" name="Chart 9">
              <a:extLst xmlns:a="http://schemas.openxmlformats.org/drawingml/2006/main">
                <a:ext uri="{FF2B5EF4-FFF2-40B4-BE49-F238E27FC236}">
                  <a16:creationId xmlns:a16="http://schemas.microsoft.com/office/drawing/2014/main" id="{DED2D3EF-52B9-4027-BAC5-D4F879BDD4F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1FB4B00F" w14:textId="7F53509A" w:rsidR="00CE6F0A" w:rsidRDefault="00CE6F0A" w:rsidP="00CE6F0A">
      <w:pP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Figure </w:t>
      </w:r>
      <w:r w:rsidR="006A3C5D">
        <w:rPr>
          <w:rFonts w:ascii="Times New Roman" w:eastAsia="Times New Roman" w:hAnsi="Times New Roman" w:cs="Times New Roman"/>
          <w:color w:val="000000"/>
        </w:rPr>
        <w:t>10</w:t>
      </w:r>
      <w:r>
        <w:rPr>
          <w:rFonts w:ascii="Times New Roman" w:eastAsia="Times New Roman" w:hAnsi="Times New Roman" w:cs="Times New Roman"/>
          <w:color w:val="000000"/>
        </w:rPr>
        <w:t xml:space="preserve">. Average soil bulk density in the six- to twelve-inch depth of soil for different tillage and cover crop treatments. </w:t>
      </w:r>
      <w:r w:rsidRPr="00611199">
        <w:rPr>
          <w:rFonts w:ascii="Times New Roman" w:eastAsia="Times New Roman" w:hAnsi="Times New Roman" w:cs="Times New Roman"/>
          <w:color w:val="000000"/>
        </w:rPr>
        <w:t xml:space="preserve">Upper case letters compare cover crop treatments </w:t>
      </w:r>
      <w:r w:rsidR="00B2599A">
        <w:rPr>
          <w:rFonts w:ascii="Times New Roman" w:eastAsia="Times New Roman" w:hAnsi="Times New Roman" w:cs="Times New Roman"/>
          <w:color w:val="000000"/>
        </w:rPr>
        <w:t xml:space="preserve">within </w:t>
      </w:r>
      <w:r w:rsidR="00BF797B">
        <w:rPr>
          <w:rFonts w:ascii="Times New Roman" w:eastAsia="Times New Roman" w:hAnsi="Times New Roman" w:cs="Times New Roman"/>
          <w:color w:val="000000"/>
        </w:rPr>
        <w:t xml:space="preserve">each </w:t>
      </w:r>
      <w:r w:rsidRPr="00611199">
        <w:rPr>
          <w:rFonts w:ascii="Times New Roman" w:eastAsia="Times New Roman" w:hAnsi="Times New Roman" w:cs="Times New Roman"/>
          <w:color w:val="000000"/>
        </w:rPr>
        <w:t>tillage</w:t>
      </w:r>
      <w:r w:rsidR="00BF797B">
        <w:rPr>
          <w:rFonts w:ascii="Times New Roman" w:eastAsia="Times New Roman" w:hAnsi="Times New Roman" w:cs="Times New Roman"/>
          <w:color w:val="000000"/>
        </w:rPr>
        <w:t xml:space="preserve"> system </w:t>
      </w:r>
      <w:r w:rsidRPr="00611199">
        <w:rPr>
          <w:rFonts w:ascii="Times New Roman" w:eastAsia="Times New Roman" w:hAnsi="Times New Roman" w:cs="Times New Roman"/>
          <w:color w:val="000000"/>
        </w:rPr>
        <w:t>and date.</w:t>
      </w:r>
      <w:r>
        <w:rPr>
          <w:rFonts w:ascii="Times New Roman" w:eastAsia="Times New Roman" w:hAnsi="Times New Roman" w:cs="Times New Roman"/>
          <w:color w:val="000000"/>
        </w:rPr>
        <w:t xml:space="preserve"> Lower case letters compare </w:t>
      </w:r>
      <w:r w:rsidR="00ED7AD4">
        <w:rPr>
          <w:rFonts w:ascii="Times New Roman" w:eastAsia="Times New Roman" w:hAnsi="Times New Roman" w:cs="Times New Roman"/>
          <w:color w:val="000000"/>
        </w:rPr>
        <w:t>each cover crop</w:t>
      </w:r>
      <w:r>
        <w:rPr>
          <w:rFonts w:ascii="Times New Roman" w:eastAsia="Times New Roman" w:hAnsi="Times New Roman" w:cs="Times New Roman"/>
          <w:color w:val="000000"/>
        </w:rPr>
        <w:t xml:space="preserve"> treatment </w:t>
      </w:r>
      <w:r w:rsidR="00ED7AD4">
        <w:rPr>
          <w:rFonts w:ascii="Times New Roman" w:eastAsia="Times New Roman" w:hAnsi="Times New Roman" w:cs="Times New Roman"/>
          <w:color w:val="000000"/>
        </w:rPr>
        <w:t>between tillage systems within each</w:t>
      </w:r>
      <w:r>
        <w:rPr>
          <w:rFonts w:ascii="Times New Roman" w:eastAsia="Times New Roman" w:hAnsi="Times New Roman" w:cs="Times New Roman"/>
          <w:color w:val="000000"/>
        </w:rPr>
        <w:t xml:space="preserve"> date.</w:t>
      </w:r>
      <w:r w:rsidRPr="00611199">
        <w:rPr>
          <w:rFonts w:ascii="Times New Roman" w:eastAsia="Times New Roman" w:hAnsi="Times New Roman" w:cs="Times New Roman"/>
          <w:color w:val="000000"/>
        </w:rPr>
        <w:t xml:space="preserve"> Treatment means with the same letter are not significantly different at p </w:t>
      </w:r>
      <m:oMath>
        <m:r>
          <w:rPr>
            <w:rFonts w:ascii="Cambria Math" w:eastAsia="Times New Roman" w:hAnsi="Cambria Math" w:cs="Times New Roman"/>
            <w:color w:val="000000"/>
          </w:rPr>
          <m:t>≤</m:t>
        </m:r>
      </m:oMath>
      <w:r w:rsidRPr="00611199">
        <w:rPr>
          <w:rFonts w:ascii="Times New Roman" w:eastAsia="Times New Roman" w:hAnsi="Times New Roman" w:cs="Times New Roman"/>
          <w:color w:val="000000"/>
        </w:rPr>
        <w:t xml:space="preserve"> 0.05</w:t>
      </w:r>
      <w:r>
        <w:rPr>
          <w:rFonts w:ascii="Times New Roman" w:eastAsia="Times New Roman" w:hAnsi="Times New Roman" w:cs="Times New Roman"/>
          <w:color w:val="000000"/>
        </w:rPr>
        <w:t xml:space="preserve"> (NT = no-till; CP = chisel plow; CC = cover crop; NC = no cover crop).</w:t>
      </w:r>
    </w:p>
    <w:p w14:paraId="71D2EEC3" w14:textId="1F985DB8" w:rsidR="00CE6F0A" w:rsidRPr="00F80565" w:rsidRDefault="00CE6F0A" w:rsidP="00CE6F0A">
      <w:pPr>
        <w:rPr>
          <w:rFonts w:ascii="Times New Roman" w:hAnsi="Times New Roman" w:cs="Times New Roman"/>
          <w:b/>
          <w:bCs/>
          <w:sz w:val="24"/>
          <w:szCs w:val="24"/>
        </w:rPr>
      </w:pPr>
    </w:p>
    <w:p w14:paraId="5518C110" w14:textId="77777777" w:rsidR="00C77FE2" w:rsidRDefault="00C77FE2">
      <w:pP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br w:type="page"/>
      </w:r>
    </w:p>
    <w:p w14:paraId="2550E175" w14:textId="2533F3B2" w:rsidR="00FC6DAF" w:rsidRPr="00F80565" w:rsidRDefault="00FC6DAF" w:rsidP="00C77FE2">
      <w:pPr>
        <w:rPr>
          <w:rFonts w:ascii="Times New Roman" w:eastAsia="Times New Roman" w:hAnsi="Times New Roman" w:cs="Times New Roman"/>
          <w:b/>
          <w:bCs/>
          <w:color w:val="000000"/>
          <w:sz w:val="24"/>
          <w:szCs w:val="24"/>
        </w:rPr>
      </w:pPr>
      <w:r w:rsidRPr="00F80565">
        <w:rPr>
          <w:rFonts w:ascii="Times New Roman" w:eastAsia="Times New Roman" w:hAnsi="Times New Roman" w:cs="Times New Roman"/>
          <w:b/>
          <w:bCs/>
          <w:color w:val="000000"/>
          <w:sz w:val="24"/>
          <w:szCs w:val="24"/>
        </w:rPr>
        <w:lastRenderedPageBreak/>
        <w:t>Soil pH</w:t>
      </w:r>
    </w:p>
    <w:p w14:paraId="50FB2EE8" w14:textId="77777777" w:rsidR="007B4437" w:rsidRDefault="007B4437" w:rsidP="006A3C5D">
      <w:pPr>
        <w:ind w:firstLine="720"/>
        <w:rPr>
          <w:rFonts w:ascii="Times New Roman" w:hAnsi="Times New Roman" w:cs="Times New Roman"/>
        </w:rPr>
      </w:pPr>
    </w:p>
    <w:p w14:paraId="5D4E2183" w14:textId="2D3EB46B" w:rsidR="006A3C5D" w:rsidRDefault="006A3C5D" w:rsidP="006A3C5D">
      <w:pPr>
        <w:ind w:firstLine="720"/>
        <w:rPr>
          <w:rFonts w:ascii="Times New Roman" w:hAnsi="Times New Roman" w:cs="Times New Roman"/>
        </w:rPr>
      </w:pPr>
      <w:r>
        <w:rPr>
          <w:rFonts w:ascii="Times New Roman" w:hAnsi="Times New Roman" w:cs="Times New Roman"/>
        </w:rPr>
        <w:t xml:space="preserve">Soil pH on average was </w:t>
      </w:r>
      <w:r w:rsidR="00963C91">
        <w:rPr>
          <w:rFonts w:ascii="Times New Roman" w:hAnsi="Times New Roman" w:cs="Times New Roman"/>
        </w:rPr>
        <w:t>0.8</w:t>
      </w:r>
      <w:r>
        <w:rPr>
          <w:rFonts w:ascii="Times New Roman" w:hAnsi="Times New Roman" w:cs="Times New Roman"/>
        </w:rPr>
        <w:t xml:space="preserve"> </w:t>
      </w:r>
      <w:r w:rsidR="00A0155D">
        <w:rPr>
          <w:rFonts w:ascii="Times New Roman" w:hAnsi="Times New Roman" w:cs="Times New Roman"/>
        </w:rPr>
        <w:t>lowe</w:t>
      </w:r>
      <w:r>
        <w:rPr>
          <w:rFonts w:ascii="Times New Roman" w:hAnsi="Times New Roman" w:cs="Times New Roman"/>
        </w:rPr>
        <w:t xml:space="preserve">r in the top six inches than the second six inches. Although there were a </w:t>
      </w:r>
      <w:r w:rsidR="00A0155D">
        <w:rPr>
          <w:rFonts w:ascii="Times New Roman" w:hAnsi="Times New Roman" w:cs="Times New Roman"/>
        </w:rPr>
        <w:t>couple of</w:t>
      </w:r>
      <w:r>
        <w:rPr>
          <w:rFonts w:ascii="Times New Roman" w:hAnsi="Times New Roman" w:cs="Times New Roman"/>
        </w:rPr>
        <w:t xml:space="preserve"> significant differences</w:t>
      </w:r>
      <w:r w:rsidR="00D856A4">
        <w:rPr>
          <w:rFonts w:ascii="Times New Roman" w:hAnsi="Times New Roman" w:cs="Times New Roman"/>
        </w:rPr>
        <w:t xml:space="preserve"> (Fig</w:t>
      </w:r>
      <w:r w:rsidR="005E3163">
        <w:rPr>
          <w:rFonts w:ascii="Times New Roman" w:hAnsi="Times New Roman" w:cs="Times New Roman"/>
        </w:rPr>
        <w:t>.</w:t>
      </w:r>
      <w:r w:rsidR="00D856A4">
        <w:rPr>
          <w:rFonts w:ascii="Times New Roman" w:hAnsi="Times New Roman" w:cs="Times New Roman"/>
        </w:rPr>
        <w:t xml:space="preserve"> 11)</w:t>
      </w:r>
      <w:r>
        <w:rPr>
          <w:rFonts w:ascii="Times New Roman" w:hAnsi="Times New Roman" w:cs="Times New Roman"/>
        </w:rPr>
        <w:t>, t</w:t>
      </w:r>
      <w:r w:rsidR="006059E5">
        <w:rPr>
          <w:rFonts w:ascii="Times New Roman" w:hAnsi="Times New Roman" w:cs="Times New Roman"/>
        </w:rPr>
        <w:t>here were no significant trends</w:t>
      </w:r>
      <w:r>
        <w:rPr>
          <w:rFonts w:ascii="Times New Roman" w:hAnsi="Times New Roman" w:cs="Times New Roman"/>
        </w:rPr>
        <w:t xml:space="preserve"> </w:t>
      </w:r>
      <w:r w:rsidR="00A24BED">
        <w:rPr>
          <w:rFonts w:ascii="Times New Roman" w:hAnsi="Times New Roman" w:cs="Times New Roman"/>
        </w:rPr>
        <w:t>within</w:t>
      </w:r>
      <w:r>
        <w:rPr>
          <w:rFonts w:ascii="Times New Roman" w:hAnsi="Times New Roman" w:cs="Times New Roman"/>
        </w:rPr>
        <w:t xml:space="preserve"> treatments</w:t>
      </w:r>
      <w:r w:rsidR="00530D72">
        <w:rPr>
          <w:rFonts w:ascii="Times New Roman" w:hAnsi="Times New Roman" w:cs="Times New Roman"/>
        </w:rPr>
        <w:t xml:space="preserve"> over time</w:t>
      </w:r>
      <w:r w:rsidR="00D856A4">
        <w:rPr>
          <w:rFonts w:ascii="Times New Roman" w:hAnsi="Times New Roman" w:cs="Times New Roman"/>
        </w:rPr>
        <w:t xml:space="preserve"> (Fig</w:t>
      </w:r>
      <w:r w:rsidR="005E3163">
        <w:rPr>
          <w:rFonts w:ascii="Times New Roman" w:hAnsi="Times New Roman" w:cs="Times New Roman"/>
        </w:rPr>
        <w:t>s.</w:t>
      </w:r>
      <w:r w:rsidR="00D856A4">
        <w:rPr>
          <w:rFonts w:ascii="Times New Roman" w:hAnsi="Times New Roman" w:cs="Times New Roman"/>
        </w:rPr>
        <w:t xml:space="preserve"> 11</w:t>
      </w:r>
      <w:r w:rsidR="008F53EA">
        <w:rPr>
          <w:rFonts w:ascii="Times New Roman" w:hAnsi="Times New Roman" w:cs="Times New Roman"/>
        </w:rPr>
        <w:t>, 12)</w:t>
      </w:r>
      <w:r>
        <w:rPr>
          <w:rFonts w:ascii="Times New Roman" w:hAnsi="Times New Roman" w:cs="Times New Roman"/>
        </w:rPr>
        <w:t>.</w:t>
      </w:r>
    </w:p>
    <w:p w14:paraId="33502965" w14:textId="7E1A9835" w:rsidR="00FC6DAF" w:rsidRPr="006059E5" w:rsidRDefault="006A3C5D" w:rsidP="00CE6F0A">
      <w:pPr>
        <w:rPr>
          <w:rFonts w:ascii="Times New Roman" w:hAnsi="Times New Roman" w:cs="Times New Roman"/>
        </w:rPr>
      </w:pPr>
      <w:r>
        <w:rPr>
          <w:rFonts w:ascii="Times New Roman" w:hAnsi="Times New Roman" w:cs="Times New Roman"/>
        </w:rPr>
        <w:t xml:space="preserve"> </w:t>
      </w:r>
    </w:p>
    <w:p w14:paraId="441E9B56" w14:textId="2656FB88" w:rsidR="00CE6F0A" w:rsidRDefault="00B26A86" w:rsidP="00CE6F0A">
      <w:pPr>
        <w:rPr>
          <w:rFonts w:ascii="Times New Roman" w:hAnsi="Times New Roman" w:cs="Times New Roman"/>
          <w:b/>
          <w:bCs/>
          <w:sz w:val="28"/>
          <w:szCs w:val="28"/>
        </w:rPr>
      </w:pPr>
      <w:r>
        <w:rPr>
          <w:noProof/>
        </w:rPr>
        <w:drawing>
          <wp:inline distT="0" distB="0" distL="0" distR="0" wp14:anchorId="66C8662B" wp14:editId="5546AA4D">
            <wp:extent cx="4596524" cy="2772760"/>
            <wp:effectExtent l="0" t="0" r="13970" b="8890"/>
            <wp:docPr id="10" name="Chart 10">
              <a:extLst xmlns:a="http://schemas.openxmlformats.org/drawingml/2006/main">
                <a:ext uri="{FF2B5EF4-FFF2-40B4-BE49-F238E27FC236}">
                  <a16:creationId xmlns:a16="http://schemas.microsoft.com/office/drawing/2014/main" id="{E6DFF018-0426-4F30-8028-DD0A4E0212E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653A0CAE" w14:textId="739EB332" w:rsidR="00CE6F0A" w:rsidRDefault="00CE6F0A" w:rsidP="00CE6F0A">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Figure </w:t>
      </w:r>
      <w:r w:rsidR="006A3C5D">
        <w:rPr>
          <w:rFonts w:ascii="Times New Roman" w:eastAsia="Times New Roman" w:hAnsi="Times New Roman" w:cs="Times New Roman"/>
          <w:color w:val="000000"/>
        </w:rPr>
        <w:t>11</w:t>
      </w:r>
      <w:r>
        <w:rPr>
          <w:rFonts w:ascii="Times New Roman" w:eastAsia="Times New Roman" w:hAnsi="Times New Roman" w:cs="Times New Roman"/>
          <w:color w:val="000000"/>
        </w:rPr>
        <w:t xml:space="preserve">. Average total soil pH in the top six inches of soil for different tillage and cover crop treatments. </w:t>
      </w:r>
      <w:r w:rsidRPr="00611199">
        <w:rPr>
          <w:rFonts w:ascii="Times New Roman" w:eastAsia="Times New Roman" w:hAnsi="Times New Roman" w:cs="Times New Roman"/>
          <w:color w:val="000000"/>
        </w:rPr>
        <w:t>Upper case letters compare cover crop treatments</w:t>
      </w:r>
      <w:r w:rsidR="00C40594">
        <w:rPr>
          <w:rFonts w:ascii="Times New Roman" w:eastAsia="Times New Roman" w:hAnsi="Times New Roman" w:cs="Times New Roman"/>
          <w:color w:val="000000"/>
        </w:rPr>
        <w:t xml:space="preserve"> within </w:t>
      </w:r>
      <w:r w:rsidR="007E7B45">
        <w:rPr>
          <w:rFonts w:ascii="Times New Roman" w:eastAsia="Times New Roman" w:hAnsi="Times New Roman" w:cs="Times New Roman"/>
          <w:color w:val="000000"/>
        </w:rPr>
        <w:t xml:space="preserve">each </w:t>
      </w:r>
      <w:r w:rsidRPr="00611199">
        <w:rPr>
          <w:rFonts w:ascii="Times New Roman" w:eastAsia="Times New Roman" w:hAnsi="Times New Roman" w:cs="Times New Roman"/>
          <w:color w:val="000000"/>
        </w:rPr>
        <w:t xml:space="preserve">tillage </w:t>
      </w:r>
      <w:r w:rsidR="007E7B45">
        <w:rPr>
          <w:rFonts w:ascii="Times New Roman" w:eastAsia="Times New Roman" w:hAnsi="Times New Roman" w:cs="Times New Roman"/>
          <w:color w:val="000000"/>
        </w:rPr>
        <w:t xml:space="preserve">system </w:t>
      </w:r>
      <w:r w:rsidRPr="00611199">
        <w:rPr>
          <w:rFonts w:ascii="Times New Roman" w:eastAsia="Times New Roman" w:hAnsi="Times New Roman" w:cs="Times New Roman"/>
          <w:color w:val="000000"/>
        </w:rPr>
        <w:t>and date.</w:t>
      </w:r>
      <w:r>
        <w:rPr>
          <w:rFonts w:ascii="Times New Roman" w:eastAsia="Times New Roman" w:hAnsi="Times New Roman" w:cs="Times New Roman"/>
          <w:color w:val="000000"/>
        </w:rPr>
        <w:t xml:space="preserve"> Lower case letters compare </w:t>
      </w:r>
      <w:r w:rsidR="006D0739">
        <w:rPr>
          <w:rFonts w:ascii="Times New Roman" w:eastAsia="Times New Roman" w:hAnsi="Times New Roman" w:cs="Times New Roman"/>
          <w:color w:val="000000"/>
        </w:rPr>
        <w:t xml:space="preserve">cover crop </w:t>
      </w:r>
      <w:r>
        <w:rPr>
          <w:rFonts w:ascii="Times New Roman" w:eastAsia="Times New Roman" w:hAnsi="Times New Roman" w:cs="Times New Roman"/>
          <w:color w:val="000000"/>
        </w:rPr>
        <w:t xml:space="preserve">treatments </w:t>
      </w:r>
      <w:r w:rsidR="006D0739">
        <w:rPr>
          <w:rFonts w:ascii="Times New Roman" w:eastAsia="Times New Roman" w:hAnsi="Times New Roman" w:cs="Times New Roman"/>
          <w:color w:val="000000"/>
        </w:rPr>
        <w:t>across tillage systems</w:t>
      </w:r>
      <w:r>
        <w:rPr>
          <w:rFonts w:ascii="Times New Roman" w:eastAsia="Times New Roman" w:hAnsi="Times New Roman" w:cs="Times New Roman"/>
          <w:color w:val="000000"/>
        </w:rPr>
        <w:t xml:space="preserve"> </w:t>
      </w:r>
      <w:r w:rsidR="006D0739">
        <w:rPr>
          <w:rFonts w:ascii="Times New Roman" w:eastAsia="Times New Roman" w:hAnsi="Times New Roman" w:cs="Times New Roman"/>
          <w:color w:val="000000"/>
        </w:rPr>
        <w:t>within each</w:t>
      </w:r>
      <w:r>
        <w:rPr>
          <w:rFonts w:ascii="Times New Roman" w:eastAsia="Times New Roman" w:hAnsi="Times New Roman" w:cs="Times New Roman"/>
          <w:color w:val="000000"/>
        </w:rPr>
        <w:t xml:space="preserve"> date.</w:t>
      </w:r>
      <w:r w:rsidRPr="00611199">
        <w:rPr>
          <w:rFonts w:ascii="Times New Roman" w:eastAsia="Times New Roman" w:hAnsi="Times New Roman" w:cs="Times New Roman"/>
          <w:color w:val="000000"/>
        </w:rPr>
        <w:t xml:space="preserve"> Treatment means with the same letter are not significantly different at p </w:t>
      </w:r>
      <m:oMath>
        <m:r>
          <w:rPr>
            <w:rFonts w:ascii="Cambria Math" w:eastAsia="Times New Roman" w:hAnsi="Cambria Math" w:cs="Times New Roman"/>
            <w:color w:val="000000"/>
          </w:rPr>
          <m:t>≤</m:t>
        </m:r>
      </m:oMath>
      <w:r w:rsidRPr="00611199">
        <w:rPr>
          <w:rFonts w:ascii="Times New Roman" w:eastAsia="Times New Roman" w:hAnsi="Times New Roman" w:cs="Times New Roman"/>
          <w:color w:val="000000"/>
        </w:rPr>
        <w:t xml:space="preserve"> 0.05</w:t>
      </w:r>
      <w:r>
        <w:rPr>
          <w:rFonts w:ascii="Times New Roman" w:eastAsia="Times New Roman" w:hAnsi="Times New Roman" w:cs="Times New Roman"/>
          <w:color w:val="000000"/>
        </w:rPr>
        <w:t xml:space="preserve"> (NT = no-till; CP = chisel plow; CC = cover crop; NC = no cover crop).</w:t>
      </w:r>
    </w:p>
    <w:p w14:paraId="7F055243" w14:textId="77777777" w:rsidR="00CE6F0A" w:rsidRDefault="00CE6F0A" w:rsidP="00CE6F0A">
      <w:pPr>
        <w:rPr>
          <w:rFonts w:ascii="Times New Roman" w:eastAsia="Times New Roman" w:hAnsi="Times New Roman" w:cs="Times New Roman"/>
          <w:color w:val="000000"/>
        </w:rPr>
      </w:pPr>
    </w:p>
    <w:p w14:paraId="4C9C7A4F" w14:textId="77777777" w:rsidR="00C77FE2" w:rsidRDefault="00C77FE2">
      <w:pPr>
        <w:rPr>
          <w:rFonts w:ascii="Times New Roman" w:hAnsi="Times New Roman" w:cs="Times New Roman"/>
          <w:b/>
          <w:bCs/>
          <w:sz w:val="28"/>
          <w:szCs w:val="28"/>
        </w:rPr>
      </w:pPr>
      <w:r>
        <w:rPr>
          <w:rFonts w:ascii="Times New Roman" w:hAnsi="Times New Roman" w:cs="Times New Roman"/>
          <w:b/>
          <w:bCs/>
          <w:sz w:val="28"/>
          <w:szCs w:val="28"/>
        </w:rPr>
        <w:br w:type="page"/>
      </w:r>
    </w:p>
    <w:p w14:paraId="0A31D97E" w14:textId="31B37501" w:rsidR="00CE6F0A" w:rsidRDefault="0040762D" w:rsidP="00CE6F0A">
      <w:pPr>
        <w:rPr>
          <w:rFonts w:ascii="Times New Roman" w:hAnsi="Times New Roman" w:cs="Times New Roman"/>
          <w:b/>
          <w:bCs/>
          <w:sz w:val="28"/>
          <w:szCs w:val="28"/>
        </w:rPr>
      </w:pPr>
      <w:r>
        <w:rPr>
          <w:noProof/>
        </w:rPr>
        <w:lastRenderedPageBreak/>
        <w:drawing>
          <wp:inline distT="0" distB="0" distL="0" distR="0" wp14:anchorId="7869EB4A" wp14:editId="3852EA90">
            <wp:extent cx="4592145" cy="2772760"/>
            <wp:effectExtent l="0" t="0" r="18415" b="8890"/>
            <wp:docPr id="11" name="Chart 11">
              <a:extLst xmlns:a="http://schemas.openxmlformats.org/drawingml/2006/main">
                <a:ext uri="{FF2B5EF4-FFF2-40B4-BE49-F238E27FC236}">
                  <a16:creationId xmlns:a16="http://schemas.microsoft.com/office/drawing/2014/main" id="{63711E5D-EE45-4C75-9BB6-2C6896F7139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357161B5" w14:textId="60916F0A" w:rsidR="00CE6F0A" w:rsidRPr="00532535" w:rsidRDefault="00CE6F0A" w:rsidP="00CE6F0A">
      <w:pPr>
        <w:rPr>
          <w:rFonts w:ascii="Times New Roman" w:hAnsi="Times New Roman" w:cs="Times New Roman"/>
          <w:b/>
          <w:bCs/>
        </w:rPr>
      </w:pPr>
      <w:r>
        <w:rPr>
          <w:rFonts w:ascii="Times New Roman" w:eastAsia="Times New Roman" w:hAnsi="Times New Roman" w:cs="Times New Roman"/>
          <w:color w:val="000000"/>
        </w:rPr>
        <w:t xml:space="preserve">Figure </w:t>
      </w:r>
      <w:r w:rsidR="006A3C5D">
        <w:rPr>
          <w:rFonts w:ascii="Times New Roman" w:eastAsia="Times New Roman" w:hAnsi="Times New Roman" w:cs="Times New Roman"/>
          <w:color w:val="000000"/>
        </w:rPr>
        <w:t>12</w:t>
      </w:r>
      <w:r>
        <w:rPr>
          <w:rFonts w:ascii="Times New Roman" w:eastAsia="Times New Roman" w:hAnsi="Times New Roman" w:cs="Times New Roman"/>
          <w:color w:val="000000"/>
        </w:rPr>
        <w:t xml:space="preserve">. Average total soil pH in the six- to twelve-inch depth of soil for different crop, tillage, and cover crop treatments. </w:t>
      </w:r>
      <w:r w:rsidRPr="00611199">
        <w:rPr>
          <w:rFonts w:ascii="Times New Roman" w:eastAsia="Times New Roman" w:hAnsi="Times New Roman" w:cs="Times New Roman"/>
          <w:color w:val="000000"/>
        </w:rPr>
        <w:t xml:space="preserve">Upper case letters compare cover crop treatments </w:t>
      </w:r>
      <w:r w:rsidR="00413C0A">
        <w:rPr>
          <w:rFonts w:ascii="Times New Roman" w:eastAsia="Times New Roman" w:hAnsi="Times New Roman" w:cs="Times New Roman"/>
          <w:color w:val="000000"/>
        </w:rPr>
        <w:t>within each</w:t>
      </w:r>
      <w:r w:rsidRPr="00611199">
        <w:rPr>
          <w:rFonts w:ascii="Times New Roman" w:eastAsia="Times New Roman" w:hAnsi="Times New Roman" w:cs="Times New Roman"/>
          <w:color w:val="000000"/>
        </w:rPr>
        <w:t xml:space="preserve"> tillage </w:t>
      </w:r>
      <w:r w:rsidR="00413C0A">
        <w:rPr>
          <w:rFonts w:ascii="Times New Roman" w:eastAsia="Times New Roman" w:hAnsi="Times New Roman" w:cs="Times New Roman"/>
          <w:color w:val="000000"/>
        </w:rPr>
        <w:t>system,</w:t>
      </w:r>
      <w:r w:rsidRPr="00611199">
        <w:rPr>
          <w:rFonts w:ascii="Times New Roman" w:eastAsia="Times New Roman" w:hAnsi="Times New Roman" w:cs="Times New Roman"/>
          <w:color w:val="000000"/>
        </w:rPr>
        <w:t xml:space="preserve"> crop</w:t>
      </w:r>
      <w:r w:rsidR="00413C0A">
        <w:rPr>
          <w:rFonts w:ascii="Times New Roman" w:eastAsia="Times New Roman" w:hAnsi="Times New Roman" w:cs="Times New Roman"/>
          <w:color w:val="000000"/>
        </w:rPr>
        <w:t>,</w:t>
      </w:r>
      <w:r w:rsidRPr="00611199">
        <w:rPr>
          <w:rFonts w:ascii="Times New Roman" w:eastAsia="Times New Roman" w:hAnsi="Times New Roman" w:cs="Times New Roman"/>
          <w:color w:val="000000"/>
        </w:rPr>
        <w:t xml:space="preserve"> and date.</w:t>
      </w:r>
      <w:r>
        <w:rPr>
          <w:rFonts w:ascii="Times New Roman" w:eastAsia="Times New Roman" w:hAnsi="Times New Roman" w:cs="Times New Roman"/>
          <w:color w:val="000000"/>
        </w:rPr>
        <w:t xml:space="preserve"> Lower case letters compare </w:t>
      </w:r>
      <w:r w:rsidR="0014168C">
        <w:rPr>
          <w:rFonts w:ascii="Times New Roman" w:eastAsia="Times New Roman" w:hAnsi="Times New Roman" w:cs="Times New Roman"/>
          <w:color w:val="000000"/>
        </w:rPr>
        <w:t>each cover crop</w:t>
      </w:r>
      <w:r>
        <w:rPr>
          <w:rFonts w:ascii="Times New Roman" w:eastAsia="Times New Roman" w:hAnsi="Times New Roman" w:cs="Times New Roman"/>
          <w:color w:val="000000"/>
        </w:rPr>
        <w:t xml:space="preserve"> treatment </w:t>
      </w:r>
      <w:r w:rsidR="0014168C">
        <w:rPr>
          <w:rFonts w:ascii="Times New Roman" w:eastAsia="Times New Roman" w:hAnsi="Times New Roman" w:cs="Times New Roman"/>
          <w:color w:val="000000"/>
        </w:rPr>
        <w:t>between tillage systems</w:t>
      </w:r>
      <w:r>
        <w:rPr>
          <w:rFonts w:ascii="Times New Roman" w:eastAsia="Times New Roman" w:hAnsi="Times New Roman" w:cs="Times New Roman"/>
          <w:color w:val="000000"/>
        </w:rPr>
        <w:t xml:space="preserve"> within each date.</w:t>
      </w:r>
      <w:r w:rsidRPr="00611199">
        <w:rPr>
          <w:rFonts w:ascii="Times New Roman" w:eastAsia="Times New Roman" w:hAnsi="Times New Roman" w:cs="Times New Roman"/>
          <w:color w:val="000000"/>
        </w:rPr>
        <w:t xml:space="preserve"> Treatment means with the same letter are not significantly different at p </w:t>
      </w:r>
      <m:oMath>
        <m:r>
          <w:rPr>
            <w:rFonts w:ascii="Cambria Math" w:eastAsia="Times New Roman" w:hAnsi="Cambria Math" w:cs="Times New Roman"/>
            <w:color w:val="000000"/>
          </w:rPr>
          <m:t>≤</m:t>
        </m:r>
      </m:oMath>
      <w:r w:rsidRPr="00611199">
        <w:rPr>
          <w:rFonts w:ascii="Times New Roman" w:eastAsia="Times New Roman" w:hAnsi="Times New Roman" w:cs="Times New Roman"/>
          <w:color w:val="000000"/>
        </w:rPr>
        <w:t xml:space="preserve"> 0.05</w:t>
      </w:r>
      <w:r>
        <w:rPr>
          <w:rFonts w:ascii="Times New Roman" w:eastAsia="Times New Roman" w:hAnsi="Times New Roman" w:cs="Times New Roman"/>
          <w:color w:val="000000"/>
        </w:rPr>
        <w:t xml:space="preserve"> (NT = no-till; CP = chisel plow; CC = cover crop; NC = no cover crop).</w:t>
      </w:r>
    </w:p>
    <w:p w14:paraId="59BE39AA" w14:textId="77777777" w:rsidR="00CE6F0A" w:rsidRPr="00F80565" w:rsidRDefault="00CE6F0A" w:rsidP="00CE6F0A">
      <w:pPr>
        <w:rPr>
          <w:rFonts w:ascii="Times New Roman" w:hAnsi="Times New Roman" w:cs="Times New Roman"/>
          <w:b/>
          <w:bCs/>
          <w:sz w:val="28"/>
          <w:szCs w:val="28"/>
        </w:rPr>
      </w:pPr>
    </w:p>
    <w:p w14:paraId="0BEB222D" w14:textId="62C85034" w:rsidR="00333920" w:rsidRPr="00F80565" w:rsidRDefault="00333920" w:rsidP="00243A04">
      <w:pPr>
        <w:rPr>
          <w:rFonts w:ascii="Times New Roman" w:hAnsi="Times New Roman" w:cs="Times New Roman"/>
          <w:b/>
          <w:bCs/>
          <w:sz w:val="24"/>
          <w:szCs w:val="24"/>
        </w:rPr>
      </w:pPr>
      <w:r w:rsidRPr="00F80565">
        <w:rPr>
          <w:rFonts w:ascii="Times New Roman" w:hAnsi="Times New Roman" w:cs="Times New Roman"/>
          <w:b/>
          <w:bCs/>
          <w:sz w:val="24"/>
          <w:szCs w:val="24"/>
        </w:rPr>
        <w:t>Microbial Biomass-Carbon</w:t>
      </w:r>
    </w:p>
    <w:p w14:paraId="158AD4FC" w14:textId="0A197542" w:rsidR="007B4437" w:rsidRDefault="007B4437" w:rsidP="00243A04">
      <w:pPr>
        <w:rPr>
          <w:rFonts w:ascii="Times New Roman" w:hAnsi="Times New Roman" w:cs="Times New Roman"/>
        </w:rPr>
      </w:pPr>
    </w:p>
    <w:p w14:paraId="2E24D9FA" w14:textId="27B95C8F" w:rsidR="00C60048" w:rsidRDefault="00E90BA3" w:rsidP="007B4437">
      <w:pPr>
        <w:ind w:firstLine="720"/>
        <w:rPr>
          <w:rFonts w:ascii="Times New Roman" w:hAnsi="Times New Roman" w:cs="Times New Roman"/>
        </w:rPr>
      </w:pPr>
      <w:r>
        <w:rPr>
          <w:rFonts w:ascii="Times New Roman" w:hAnsi="Times New Roman" w:cs="Times New Roman"/>
        </w:rPr>
        <w:t xml:space="preserve">The amount of carbon in the soil has been slowly decreasing ever since </w:t>
      </w:r>
      <w:r w:rsidR="00A15240">
        <w:rPr>
          <w:rFonts w:ascii="Times New Roman" w:hAnsi="Times New Roman" w:cs="Times New Roman"/>
        </w:rPr>
        <w:t xml:space="preserve">modern cultivation practices began. One benefit of cover crops is that by growing them and returning the biomass to the soil, </w:t>
      </w:r>
      <w:r w:rsidR="000A0276">
        <w:rPr>
          <w:rFonts w:ascii="Times New Roman" w:hAnsi="Times New Roman" w:cs="Times New Roman"/>
        </w:rPr>
        <w:t xml:space="preserve">carbon levels have the potential to slow </w:t>
      </w:r>
      <w:r w:rsidR="00545F9E">
        <w:rPr>
          <w:rFonts w:ascii="Times New Roman" w:hAnsi="Times New Roman" w:cs="Times New Roman"/>
        </w:rPr>
        <w:t>or</w:t>
      </w:r>
      <w:r w:rsidR="000A0276">
        <w:rPr>
          <w:rFonts w:ascii="Times New Roman" w:hAnsi="Times New Roman" w:cs="Times New Roman"/>
        </w:rPr>
        <w:t xml:space="preserve"> reverse </w:t>
      </w:r>
      <w:r w:rsidR="00545F9E">
        <w:rPr>
          <w:rFonts w:ascii="Times New Roman" w:hAnsi="Times New Roman" w:cs="Times New Roman"/>
        </w:rPr>
        <w:t>that trend</w:t>
      </w:r>
      <w:r w:rsidR="000A0276">
        <w:rPr>
          <w:rFonts w:ascii="Times New Roman" w:hAnsi="Times New Roman" w:cs="Times New Roman"/>
        </w:rPr>
        <w:t xml:space="preserve">. </w:t>
      </w:r>
      <w:r w:rsidR="00FD51AA">
        <w:rPr>
          <w:rFonts w:ascii="Times New Roman" w:hAnsi="Times New Roman" w:cs="Times New Roman"/>
        </w:rPr>
        <w:t xml:space="preserve">Soil microbial biomass is </w:t>
      </w:r>
      <w:r w:rsidR="00245A83">
        <w:rPr>
          <w:rFonts w:ascii="Times New Roman" w:hAnsi="Times New Roman" w:cs="Times New Roman"/>
        </w:rPr>
        <w:t xml:space="preserve">highly variable and dependent on </w:t>
      </w:r>
      <w:r w:rsidR="001F6E54">
        <w:rPr>
          <w:rFonts w:ascii="Times New Roman" w:hAnsi="Times New Roman" w:cs="Times New Roman"/>
        </w:rPr>
        <w:t>soil moisture</w:t>
      </w:r>
      <w:r w:rsidR="00311851">
        <w:rPr>
          <w:rFonts w:ascii="Times New Roman" w:hAnsi="Times New Roman" w:cs="Times New Roman"/>
        </w:rPr>
        <w:t xml:space="preserve">. Due to these confounding factors, </w:t>
      </w:r>
      <w:r w:rsidR="008A7EAA">
        <w:rPr>
          <w:rFonts w:ascii="Times New Roman" w:hAnsi="Times New Roman" w:cs="Times New Roman"/>
        </w:rPr>
        <w:t xml:space="preserve">there were no </w:t>
      </w:r>
      <w:r w:rsidR="00EE62C1">
        <w:rPr>
          <w:rFonts w:ascii="Times New Roman" w:hAnsi="Times New Roman" w:cs="Times New Roman"/>
        </w:rPr>
        <w:t>consistent differences between treatments or clear trends over t</w:t>
      </w:r>
      <w:r w:rsidR="00143A44">
        <w:rPr>
          <w:rFonts w:ascii="Times New Roman" w:hAnsi="Times New Roman" w:cs="Times New Roman"/>
        </w:rPr>
        <w:t>he first two years of cover crop and NT</w:t>
      </w:r>
      <w:r w:rsidR="00F21727">
        <w:rPr>
          <w:rFonts w:ascii="Times New Roman" w:hAnsi="Times New Roman" w:cs="Times New Roman"/>
        </w:rPr>
        <w:t xml:space="preserve"> treatments</w:t>
      </w:r>
      <w:r w:rsidR="000D0789">
        <w:rPr>
          <w:rFonts w:ascii="Times New Roman" w:hAnsi="Times New Roman" w:cs="Times New Roman"/>
        </w:rPr>
        <w:t xml:space="preserve"> (Fig</w:t>
      </w:r>
      <w:r w:rsidR="005E3163">
        <w:rPr>
          <w:rFonts w:ascii="Times New Roman" w:hAnsi="Times New Roman" w:cs="Times New Roman"/>
        </w:rPr>
        <w:t>.</w:t>
      </w:r>
      <w:r w:rsidR="000D0789">
        <w:rPr>
          <w:rFonts w:ascii="Times New Roman" w:hAnsi="Times New Roman" w:cs="Times New Roman"/>
        </w:rPr>
        <w:t xml:space="preserve"> 13)</w:t>
      </w:r>
      <w:r w:rsidR="00EE62C1">
        <w:rPr>
          <w:rFonts w:ascii="Times New Roman" w:hAnsi="Times New Roman" w:cs="Times New Roman"/>
        </w:rPr>
        <w:t>.</w:t>
      </w:r>
    </w:p>
    <w:p w14:paraId="3A52E3B2" w14:textId="77777777" w:rsidR="00A0337B" w:rsidRPr="00FD51AA" w:rsidRDefault="00A0337B" w:rsidP="00243A04">
      <w:pPr>
        <w:rPr>
          <w:rFonts w:ascii="Times New Roman" w:hAnsi="Times New Roman" w:cs="Times New Roman"/>
        </w:rPr>
      </w:pPr>
    </w:p>
    <w:p w14:paraId="24A4D81E" w14:textId="77777777" w:rsidR="00C77FE2" w:rsidRDefault="00C77FE2">
      <w:pPr>
        <w:rPr>
          <w:rFonts w:ascii="Times New Roman" w:hAnsi="Times New Roman" w:cs="Times New Roman"/>
          <w:b/>
          <w:bCs/>
          <w:sz w:val="28"/>
          <w:szCs w:val="28"/>
        </w:rPr>
      </w:pPr>
      <w:r>
        <w:rPr>
          <w:rFonts w:ascii="Times New Roman" w:hAnsi="Times New Roman" w:cs="Times New Roman"/>
          <w:b/>
          <w:bCs/>
          <w:sz w:val="28"/>
          <w:szCs w:val="28"/>
        </w:rPr>
        <w:br w:type="page"/>
      </w:r>
    </w:p>
    <w:p w14:paraId="255593DA" w14:textId="39B9B6C1" w:rsidR="00333920" w:rsidRDefault="00DB5A04" w:rsidP="00243A04">
      <w:pPr>
        <w:rPr>
          <w:rFonts w:ascii="Times New Roman" w:hAnsi="Times New Roman" w:cs="Times New Roman"/>
          <w:b/>
          <w:bCs/>
          <w:sz w:val="28"/>
          <w:szCs w:val="28"/>
        </w:rPr>
      </w:pPr>
      <w:r>
        <w:rPr>
          <w:noProof/>
        </w:rPr>
        <w:lastRenderedPageBreak/>
        <w:drawing>
          <wp:inline distT="0" distB="0" distL="0" distR="0" wp14:anchorId="3A0E3478" wp14:editId="57F70B8B">
            <wp:extent cx="4596525" cy="2413219"/>
            <wp:effectExtent l="0" t="0" r="13970" b="6350"/>
            <wp:docPr id="14" name="Chart 14">
              <a:extLst xmlns:a="http://schemas.openxmlformats.org/drawingml/2006/main">
                <a:ext uri="{FF2B5EF4-FFF2-40B4-BE49-F238E27FC236}">
                  <a16:creationId xmlns:a16="http://schemas.microsoft.com/office/drawing/2014/main" id="{C0848DF8-1EAF-409B-B2FA-D0A8A3C65AB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18382C9E" w14:textId="54A79FA3" w:rsidR="00012809" w:rsidRDefault="00012809" w:rsidP="00243A04">
      <w:pPr>
        <w:rPr>
          <w:rFonts w:ascii="Times New Roman" w:hAnsi="Times New Roman" w:cs="Times New Roman"/>
          <w:b/>
          <w:bCs/>
          <w:sz w:val="28"/>
          <w:szCs w:val="28"/>
        </w:rPr>
      </w:pPr>
      <w:r>
        <w:rPr>
          <w:rFonts w:ascii="Times New Roman" w:eastAsia="Times New Roman" w:hAnsi="Times New Roman" w:cs="Times New Roman"/>
          <w:color w:val="000000"/>
        </w:rPr>
        <w:t>Figure</w:t>
      </w:r>
      <w:r w:rsidR="006A3C5D">
        <w:rPr>
          <w:rFonts w:ascii="Times New Roman" w:eastAsia="Times New Roman" w:hAnsi="Times New Roman" w:cs="Times New Roman"/>
          <w:color w:val="000000"/>
        </w:rPr>
        <w:t xml:space="preserve"> 13.</w:t>
      </w:r>
      <w:r w:rsidR="00C548B3" w:rsidRPr="00C548B3">
        <w:rPr>
          <w:rFonts w:ascii="Times New Roman" w:eastAsia="Times New Roman" w:hAnsi="Times New Roman" w:cs="Times New Roman"/>
          <w:color w:val="000000"/>
        </w:rPr>
        <w:t xml:space="preserve"> </w:t>
      </w:r>
      <w:r w:rsidR="00C548B3">
        <w:rPr>
          <w:rFonts w:ascii="Times New Roman" w:eastAsia="Times New Roman" w:hAnsi="Times New Roman" w:cs="Times New Roman"/>
          <w:color w:val="000000"/>
        </w:rPr>
        <w:t xml:space="preserve">Average soil microbial biomass-carbon in the top six inches of soil for different tillage and cover crop treatments. </w:t>
      </w:r>
      <w:r w:rsidR="00C548B3" w:rsidRPr="00611199">
        <w:rPr>
          <w:rFonts w:ascii="Times New Roman" w:eastAsia="Times New Roman" w:hAnsi="Times New Roman" w:cs="Times New Roman"/>
          <w:color w:val="000000"/>
        </w:rPr>
        <w:t xml:space="preserve">Upper case letters compare cover crop treatments </w:t>
      </w:r>
      <w:r w:rsidR="00926E6E">
        <w:rPr>
          <w:rFonts w:ascii="Times New Roman" w:eastAsia="Times New Roman" w:hAnsi="Times New Roman" w:cs="Times New Roman"/>
          <w:color w:val="000000"/>
        </w:rPr>
        <w:t>within each</w:t>
      </w:r>
      <w:r w:rsidR="00C548B3" w:rsidRPr="00611199">
        <w:rPr>
          <w:rFonts w:ascii="Times New Roman" w:eastAsia="Times New Roman" w:hAnsi="Times New Roman" w:cs="Times New Roman"/>
          <w:color w:val="000000"/>
        </w:rPr>
        <w:t xml:space="preserve"> tillage </w:t>
      </w:r>
      <w:r w:rsidR="00926E6E">
        <w:rPr>
          <w:rFonts w:ascii="Times New Roman" w:eastAsia="Times New Roman" w:hAnsi="Times New Roman" w:cs="Times New Roman"/>
          <w:color w:val="000000"/>
        </w:rPr>
        <w:t>system</w:t>
      </w:r>
      <w:r w:rsidR="00C548B3" w:rsidRPr="00611199">
        <w:rPr>
          <w:rFonts w:ascii="Times New Roman" w:eastAsia="Times New Roman" w:hAnsi="Times New Roman" w:cs="Times New Roman"/>
          <w:color w:val="000000"/>
        </w:rPr>
        <w:t xml:space="preserve"> and date.</w:t>
      </w:r>
      <w:r w:rsidR="00C548B3">
        <w:rPr>
          <w:rFonts w:ascii="Times New Roman" w:eastAsia="Times New Roman" w:hAnsi="Times New Roman" w:cs="Times New Roman"/>
          <w:color w:val="000000"/>
        </w:rPr>
        <w:t xml:space="preserve"> Lower case letters compare </w:t>
      </w:r>
      <w:r w:rsidR="00926E6E">
        <w:rPr>
          <w:rFonts w:ascii="Times New Roman" w:eastAsia="Times New Roman" w:hAnsi="Times New Roman" w:cs="Times New Roman"/>
          <w:color w:val="000000"/>
        </w:rPr>
        <w:t xml:space="preserve">each cover </w:t>
      </w:r>
      <w:r w:rsidR="00DA6438">
        <w:rPr>
          <w:rFonts w:ascii="Times New Roman" w:eastAsia="Times New Roman" w:hAnsi="Times New Roman" w:cs="Times New Roman"/>
          <w:color w:val="000000"/>
        </w:rPr>
        <w:t>crop treatment</w:t>
      </w:r>
      <w:r w:rsidR="00C548B3">
        <w:rPr>
          <w:rFonts w:ascii="Times New Roman" w:eastAsia="Times New Roman" w:hAnsi="Times New Roman" w:cs="Times New Roman"/>
          <w:color w:val="000000"/>
        </w:rPr>
        <w:t xml:space="preserve"> </w:t>
      </w:r>
      <w:r w:rsidR="00DA6438">
        <w:rPr>
          <w:rFonts w:ascii="Times New Roman" w:eastAsia="Times New Roman" w:hAnsi="Times New Roman" w:cs="Times New Roman"/>
          <w:color w:val="000000"/>
        </w:rPr>
        <w:t>between</w:t>
      </w:r>
      <w:r w:rsidR="00C548B3">
        <w:rPr>
          <w:rFonts w:ascii="Times New Roman" w:eastAsia="Times New Roman" w:hAnsi="Times New Roman" w:cs="Times New Roman"/>
          <w:color w:val="000000"/>
        </w:rPr>
        <w:t xml:space="preserve"> </w:t>
      </w:r>
      <w:r w:rsidR="00DA6438">
        <w:rPr>
          <w:rFonts w:ascii="Times New Roman" w:eastAsia="Times New Roman" w:hAnsi="Times New Roman" w:cs="Times New Roman"/>
          <w:color w:val="000000"/>
        </w:rPr>
        <w:t>tillage systems</w:t>
      </w:r>
      <w:r w:rsidR="00C548B3">
        <w:rPr>
          <w:rFonts w:ascii="Times New Roman" w:eastAsia="Times New Roman" w:hAnsi="Times New Roman" w:cs="Times New Roman"/>
          <w:color w:val="000000"/>
        </w:rPr>
        <w:t xml:space="preserve"> within each</w:t>
      </w:r>
      <w:r w:rsidR="00DA6438">
        <w:rPr>
          <w:rFonts w:ascii="Times New Roman" w:eastAsia="Times New Roman" w:hAnsi="Times New Roman" w:cs="Times New Roman"/>
          <w:color w:val="000000"/>
        </w:rPr>
        <w:t xml:space="preserve"> </w:t>
      </w:r>
      <w:r w:rsidR="00C548B3">
        <w:rPr>
          <w:rFonts w:ascii="Times New Roman" w:eastAsia="Times New Roman" w:hAnsi="Times New Roman" w:cs="Times New Roman"/>
          <w:color w:val="000000"/>
        </w:rPr>
        <w:t>date.</w:t>
      </w:r>
      <w:r w:rsidR="00C548B3" w:rsidRPr="00611199">
        <w:rPr>
          <w:rFonts w:ascii="Times New Roman" w:eastAsia="Times New Roman" w:hAnsi="Times New Roman" w:cs="Times New Roman"/>
          <w:color w:val="000000"/>
        </w:rPr>
        <w:t xml:space="preserve"> Treatment means with the same letter are not significantly different at p </w:t>
      </w:r>
      <m:oMath>
        <m:r>
          <w:rPr>
            <w:rFonts w:ascii="Cambria Math" w:eastAsia="Times New Roman" w:hAnsi="Cambria Math" w:cs="Times New Roman"/>
            <w:color w:val="000000"/>
          </w:rPr>
          <m:t>≤</m:t>
        </m:r>
      </m:oMath>
      <w:r w:rsidR="00C548B3" w:rsidRPr="00611199">
        <w:rPr>
          <w:rFonts w:ascii="Times New Roman" w:eastAsia="Times New Roman" w:hAnsi="Times New Roman" w:cs="Times New Roman"/>
          <w:color w:val="000000"/>
        </w:rPr>
        <w:t xml:space="preserve"> 0.05</w:t>
      </w:r>
      <w:r w:rsidR="00C548B3">
        <w:rPr>
          <w:rFonts w:ascii="Times New Roman" w:eastAsia="Times New Roman" w:hAnsi="Times New Roman" w:cs="Times New Roman"/>
          <w:color w:val="000000"/>
        </w:rPr>
        <w:t xml:space="preserve"> (NT = no-till; CP = chisel plow; CC = cover crop; NC = no cover crop).</w:t>
      </w:r>
    </w:p>
    <w:p w14:paraId="5A2C506A" w14:textId="77777777" w:rsidR="00FC6DAF" w:rsidRPr="00F80565" w:rsidRDefault="00FC6DAF" w:rsidP="00243A04">
      <w:pPr>
        <w:rPr>
          <w:rFonts w:ascii="Times New Roman" w:hAnsi="Times New Roman" w:cs="Times New Roman"/>
          <w:b/>
          <w:bCs/>
          <w:sz w:val="24"/>
          <w:szCs w:val="24"/>
        </w:rPr>
      </w:pPr>
    </w:p>
    <w:p w14:paraId="41848640" w14:textId="650E2305" w:rsidR="00F20C6B" w:rsidRPr="00F80565" w:rsidRDefault="00F20C6B" w:rsidP="00F20C6B">
      <w:pPr>
        <w:spacing w:line="240" w:lineRule="auto"/>
        <w:rPr>
          <w:rFonts w:ascii="Times New Roman" w:eastAsia="Times New Roman" w:hAnsi="Times New Roman" w:cs="Times New Roman"/>
          <w:b/>
          <w:bCs/>
          <w:color w:val="000000"/>
          <w:sz w:val="24"/>
          <w:szCs w:val="24"/>
        </w:rPr>
      </w:pPr>
      <w:r w:rsidRPr="00F80565">
        <w:rPr>
          <w:rFonts w:ascii="Times New Roman" w:eastAsia="Times New Roman" w:hAnsi="Times New Roman" w:cs="Times New Roman"/>
          <w:b/>
          <w:bCs/>
          <w:color w:val="000000"/>
          <w:sz w:val="24"/>
          <w:szCs w:val="24"/>
        </w:rPr>
        <w:t>Total Soil C</w:t>
      </w:r>
      <w:r w:rsidR="0034554E">
        <w:rPr>
          <w:rFonts w:ascii="Times New Roman" w:eastAsia="Times New Roman" w:hAnsi="Times New Roman" w:cs="Times New Roman"/>
          <w:b/>
          <w:bCs/>
          <w:color w:val="000000"/>
          <w:sz w:val="24"/>
          <w:szCs w:val="24"/>
        </w:rPr>
        <w:t>arbon</w:t>
      </w:r>
    </w:p>
    <w:p w14:paraId="4E2AFF87" w14:textId="77777777" w:rsidR="000D0789" w:rsidRPr="002D7DB1" w:rsidRDefault="000D0789" w:rsidP="00F20C6B">
      <w:pPr>
        <w:spacing w:line="240" w:lineRule="auto"/>
        <w:rPr>
          <w:rFonts w:ascii="Times New Roman" w:eastAsia="Times New Roman" w:hAnsi="Times New Roman" w:cs="Times New Roman"/>
          <w:color w:val="000000"/>
          <w:sz w:val="24"/>
          <w:szCs w:val="24"/>
        </w:rPr>
      </w:pPr>
    </w:p>
    <w:p w14:paraId="141F2EAD" w14:textId="2BFF6AB6" w:rsidR="00F20C6B" w:rsidRPr="002D7DB1" w:rsidRDefault="00F20C6B" w:rsidP="000D0789">
      <w:pPr>
        <w:spacing w:line="240" w:lineRule="auto"/>
        <w:ind w:firstLine="720"/>
        <w:rPr>
          <w:rFonts w:ascii="Times New Roman" w:eastAsia="Times New Roman" w:hAnsi="Times New Roman" w:cs="Times New Roman"/>
          <w:color w:val="000000"/>
        </w:rPr>
      </w:pPr>
      <w:r w:rsidRPr="002D7DB1">
        <w:rPr>
          <w:rFonts w:ascii="Times New Roman" w:eastAsia="Times New Roman" w:hAnsi="Times New Roman" w:cs="Times New Roman"/>
          <w:color w:val="000000"/>
        </w:rPr>
        <w:t>Soil samples taken in the fall of 2017, 2018, and 2019 as well as the spring of 2018 and 2019 were dried, sieved, and sent to Ward Labs in Kearney, NE for total soil carbon analysis. In general, there was about 0.5% higher soil carbon in the top six inches than the next six inches, regardless of tillage or cover crop. While there were a few significant differences (Fig</w:t>
      </w:r>
      <w:r w:rsidR="005E3163" w:rsidRPr="002D7DB1">
        <w:rPr>
          <w:rFonts w:ascii="Times New Roman" w:eastAsia="Times New Roman" w:hAnsi="Times New Roman" w:cs="Times New Roman"/>
          <w:color w:val="000000"/>
        </w:rPr>
        <w:t>s.</w:t>
      </w:r>
      <w:r w:rsidRPr="002D7DB1">
        <w:rPr>
          <w:rFonts w:ascii="Times New Roman" w:eastAsia="Times New Roman" w:hAnsi="Times New Roman" w:cs="Times New Roman"/>
          <w:color w:val="000000"/>
        </w:rPr>
        <w:t xml:space="preserve"> 1</w:t>
      </w:r>
      <w:r w:rsidR="0022411D" w:rsidRPr="002D7DB1">
        <w:rPr>
          <w:rFonts w:ascii="Times New Roman" w:eastAsia="Times New Roman" w:hAnsi="Times New Roman" w:cs="Times New Roman"/>
          <w:color w:val="000000"/>
        </w:rPr>
        <w:t>4</w:t>
      </w:r>
      <w:r w:rsidR="005E3163" w:rsidRPr="002D7DB1">
        <w:rPr>
          <w:rFonts w:ascii="Times New Roman" w:eastAsia="Times New Roman" w:hAnsi="Times New Roman" w:cs="Times New Roman"/>
          <w:color w:val="000000"/>
        </w:rPr>
        <w:t xml:space="preserve">, </w:t>
      </w:r>
      <w:r w:rsidR="0022411D" w:rsidRPr="002D7DB1">
        <w:rPr>
          <w:rFonts w:ascii="Times New Roman" w:eastAsia="Times New Roman" w:hAnsi="Times New Roman" w:cs="Times New Roman"/>
          <w:color w:val="000000"/>
        </w:rPr>
        <w:t>15</w:t>
      </w:r>
      <w:r w:rsidRPr="002D7DB1">
        <w:rPr>
          <w:rFonts w:ascii="Times New Roman" w:eastAsia="Times New Roman" w:hAnsi="Times New Roman" w:cs="Times New Roman"/>
          <w:color w:val="000000"/>
        </w:rPr>
        <w:t>), there were no clear trends to indicate use of cover crops or till</w:t>
      </w:r>
      <w:r w:rsidR="00A1440F" w:rsidRPr="002D7DB1">
        <w:rPr>
          <w:rFonts w:ascii="Times New Roman" w:eastAsia="Times New Roman" w:hAnsi="Times New Roman" w:cs="Times New Roman"/>
          <w:color w:val="000000"/>
        </w:rPr>
        <w:t>age</w:t>
      </w:r>
      <w:r w:rsidRPr="002D7DB1">
        <w:rPr>
          <w:rFonts w:ascii="Times New Roman" w:eastAsia="Times New Roman" w:hAnsi="Times New Roman" w:cs="Times New Roman"/>
          <w:color w:val="000000"/>
        </w:rPr>
        <w:t xml:space="preserve"> have an immediate impact on soil carbon over two years.</w:t>
      </w:r>
      <w:r w:rsidR="0034554E">
        <w:rPr>
          <w:rFonts w:ascii="Times New Roman" w:eastAsia="Times New Roman" w:hAnsi="Times New Roman" w:cs="Times New Roman"/>
          <w:color w:val="000000"/>
        </w:rPr>
        <w:t xml:space="preserve"> This is widely documented due to the short-term nature of such studies.</w:t>
      </w:r>
    </w:p>
    <w:p w14:paraId="0B4E6C22" w14:textId="77777777" w:rsidR="00F20C6B" w:rsidRPr="002D7DB1" w:rsidRDefault="00F20C6B" w:rsidP="00F20C6B">
      <w:pPr>
        <w:spacing w:line="240" w:lineRule="auto"/>
        <w:rPr>
          <w:rFonts w:ascii="Times New Roman" w:eastAsia="Times New Roman" w:hAnsi="Times New Roman" w:cs="Times New Roman"/>
          <w:color w:val="000000"/>
        </w:rPr>
      </w:pPr>
    </w:p>
    <w:p w14:paraId="1F2D50BB" w14:textId="77777777" w:rsidR="00C77FE2" w:rsidRDefault="00C77FE2">
      <w:pPr>
        <w:rPr>
          <w:rFonts w:ascii="Times New Roman" w:eastAsia="Times New Roman" w:hAnsi="Times New Roman" w:cs="Times New Roman"/>
          <w:color w:val="000000"/>
        </w:rPr>
      </w:pPr>
      <w:bookmarkStart w:id="1" w:name="_Hlk48576706"/>
      <w:r>
        <w:rPr>
          <w:rFonts w:ascii="Times New Roman" w:eastAsia="Times New Roman" w:hAnsi="Times New Roman" w:cs="Times New Roman"/>
          <w:color w:val="000000"/>
        </w:rPr>
        <w:br w:type="page"/>
      </w:r>
    </w:p>
    <w:p w14:paraId="5A96FA30" w14:textId="6303ADBE" w:rsidR="00F20C6B" w:rsidRDefault="00F20C6B" w:rsidP="00F20C6B">
      <w:pPr>
        <w:spacing w:line="240" w:lineRule="auto"/>
        <w:rPr>
          <w:rFonts w:ascii="Times New Roman" w:eastAsia="Times New Roman" w:hAnsi="Times New Roman" w:cs="Times New Roman"/>
          <w:color w:val="000000"/>
        </w:rPr>
      </w:pPr>
      <w:r>
        <w:rPr>
          <w:noProof/>
        </w:rPr>
        <w:lastRenderedPageBreak/>
        <w:drawing>
          <wp:inline distT="0" distB="0" distL="0" distR="0" wp14:anchorId="3E9EC00A" wp14:editId="6B3A2529">
            <wp:extent cx="4580758" cy="2772762"/>
            <wp:effectExtent l="0" t="0" r="10795" b="8890"/>
            <wp:docPr id="12" name="Chart 12">
              <a:extLst xmlns:a="http://schemas.openxmlformats.org/drawingml/2006/main">
                <a:ext uri="{FF2B5EF4-FFF2-40B4-BE49-F238E27FC236}">
                  <a16:creationId xmlns:a16="http://schemas.microsoft.com/office/drawing/2014/main" id="{0FFD9172-B8B9-4E99-A812-10019B16395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6D08F939" w14:textId="057495CB" w:rsidR="00F20C6B" w:rsidRDefault="00F20C6B" w:rsidP="00F20C6B">
      <w:pP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Figure 1</w:t>
      </w:r>
      <w:r w:rsidR="006A3C5D">
        <w:rPr>
          <w:rFonts w:ascii="Times New Roman" w:eastAsia="Times New Roman" w:hAnsi="Times New Roman" w:cs="Times New Roman"/>
          <w:color w:val="000000"/>
        </w:rPr>
        <w:t>4</w:t>
      </w:r>
      <w:r>
        <w:rPr>
          <w:rFonts w:ascii="Times New Roman" w:eastAsia="Times New Roman" w:hAnsi="Times New Roman" w:cs="Times New Roman"/>
          <w:color w:val="000000"/>
        </w:rPr>
        <w:t xml:space="preserve">. Average total soil carbon in the top six inches of soil for different tillage and cover crop treatments. </w:t>
      </w:r>
      <w:r w:rsidRPr="00611199">
        <w:rPr>
          <w:rFonts w:ascii="Times New Roman" w:eastAsia="Times New Roman" w:hAnsi="Times New Roman" w:cs="Times New Roman"/>
          <w:color w:val="000000"/>
        </w:rPr>
        <w:t xml:space="preserve">Upper case letters compare cover crop treatments </w:t>
      </w:r>
      <w:r w:rsidR="00BD5DE5">
        <w:rPr>
          <w:rFonts w:ascii="Times New Roman" w:eastAsia="Times New Roman" w:hAnsi="Times New Roman" w:cs="Times New Roman"/>
          <w:color w:val="000000"/>
        </w:rPr>
        <w:t>within each</w:t>
      </w:r>
      <w:r w:rsidRPr="00611199">
        <w:rPr>
          <w:rFonts w:ascii="Times New Roman" w:eastAsia="Times New Roman" w:hAnsi="Times New Roman" w:cs="Times New Roman"/>
          <w:color w:val="000000"/>
        </w:rPr>
        <w:t xml:space="preserve"> tillage </w:t>
      </w:r>
      <w:r w:rsidR="00BD5DE5">
        <w:rPr>
          <w:rFonts w:ascii="Times New Roman" w:eastAsia="Times New Roman" w:hAnsi="Times New Roman" w:cs="Times New Roman"/>
          <w:color w:val="000000"/>
        </w:rPr>
        <w:t>system</w:t>
      </w:r>
      <w:r w:rsidRPr="00611199">
        <w:rPr>
          <w:rFonts w:ascii="Times New Roman" w:eastAsia="Times New Roman" w:hAnsi="Times New Roman" w:cs="Times New Roman"/>
          <w:color w:val="000000"/>
        </w:rPr>
        <w:t xml:space="preserve"> and date.</w:t>
      </w:r>
      <w:r>
        <w:rPr>
          <w:rFonts w:ascii="Times New Roman" w:eastAsia="Times New Roman" w:hAnsi="Times New Roman" w:cs="Times New Roman"/>
          <w:color w:val="000000"/>
        </w:rPr>
        <w:t xml:space="preserve"> Lower case letters compare </w:t>
      </w:r>
      <w:r w:rsidR="001950EB">
        <w:rPr>
          <w:rFonts w:ascii="Times New Roman" w:eastAsia="Times New Roman" w:hAnsi="Times New Roman" w:cs="Times New Roman"/>
          <w:color w:val="000000"/>
        </w:rPr>
        <w:t>cover crop</w:t>
      </w:r>
      <w:r>
        <w:rPr>
          <w:rFonts w:ascii="Times New Roman" w:eastAsia="Times New Roman" w:hAnsi="Times New Roman" w:cs="Times New Roman"/>
          <w:color w:val="000000"/>
        </w:rPr>
        <w:t xml:space="preserve"> treatments </w:t>
      </w:r>
      <w:r w:rsidR="001950EB">
        <w:rPr>
          <w:rFonts w:ascii="Times New Roman" w:eastAsia="Times New Roman" w:hAnsi="Times New Roman" w:cs="Times New Roman"/>
          <w:color w:val="000000"/>
        </w:rPr>
        <w:t>between</w:t>
      </w:r>
      <w:r>
        <w:rPr>
          <w:rFonts w:ascii="Times New Roman" w:eastAsia="Times New Roman" w:hAnsi="Times New Roman" w:cs="Times New Roman"/>
          <w:color w:val="000000"/>
        </w:rPr>
        <w:t xml:space="preserve"> </w:t>
      </w:r>
      <w:r w:rsidR="001950EB">
        <w:rPr>
          <w:rFonts w:ascii="Times New Roman" w:eastAsia="Times New Roman" w:hAnsi="Times New Roman" w:cs="Times New Roman"/>
          <w:color w:val="000000"/>
        </w:rPr>
        <w:t>tillage systems</w:t>
      </w:r>
      <w:r>
        <w:rPr>
          <w:rFonts w:ascii="Times New Roman" w:eastAsia="Times New Roman" w:hAnsi="Times New Roman" w:cs="Times New Roman"/>
          <w:color w:val="000000"/>
        </w:rPr>
        <w:t xml:space="preserve"> within each date.</w:t>
      </w:r>
      <w:r w:rsidRPr="00611199">
        <w:rPr>
          <w:rFonts w:ascii="Times New Roman" w:eastAsia="Times New Roman" w:hAnsi="Times New Roman" w:cs="Times New Roman"/>
          <w:color w:val="000000"/>
        </w:rPr>
        <w:t xml:space="preserve"> Treatment means with the same letter are not significantly different at p </w:t>
      </w:r>
      <m:oMath>
        <m:r>
          <w:rPr>
            <w:rFonts w:ascii="Cambria Math" w:eastAsia="Times New Roman" w:hAnsi="Cambria Math" w:cs="Times New Roman"/>
            <w:color w:val="000000"/>
          </w:rPr>
          <m:t>≤</m:t>
        </m:r>
      </m:oMath>
      <w:r w:rsidRPr="00611199">
        <w:rPr>
          <w:rFonts w:ascii="Times New Roman" w:eastAsia="Times New Roman" w:hAnsi="Times New Roman" w:cs="Times New Roman"/>
          <w:color w:val="000000"/>
        </w:rPr>
        <w:t xml:space="preserve"> 0.05</w:t>
      </w:r>
      <w:r>
        <w:rPr>
          <w:rFonts w:ascii="Times New Roman" w:eastAsia="Times New Roman" w:hAnsi="Times New Roman" w:cs="Times New Roman"/>
          <w:color w:val="000000"/>
        </w:rPr>
        <w:t xml:space="preserve"> (NT = no-till; CP = chisel plow; CC = cover crop; NC = no cover crop).</w:t>
      </w:r>
      <w:bookmarkEnd w:id="1"/>
    </w:p>
    <w:p w14:paraId="0C4DEE3B" w14:textId="77777777" w:rsidR="00F20C6B" w:rsidRDefault="00F20C6B" w:rsidP="00F20C6B">
      <w:pPr>
        <w:spacing w:line="240" w:lineRule="auto"/>
        <w:rPr>
          <w:rFonts w:ascii="Times New Roman" w:eastAsia="Times New Roman" w:hAnsi="Times New Roman" w:cs="Times New Roman"/>
          <w:color w:val="000000"/>
        </w:rPr>
      </w:pPr>
    </w:p>
    <w:p w14:paraId="24B8FDEA" w14:textId="77777777" w:rsidR="00F20C6B" w:rsidRDefault="00F20C6B" w:rsidP="00F20C6B">
      <w:pPr>
        <w:spacing w:line="240" w:lineRule="auto"/>
        <w:rPr>
          <w:rFonts w:ascii="Times New Roman" w:eastAsia="Times New Roman" w:hAnsi="Times New Roman" w:cs="Times New Roman"/>
          <w:color w:val="000000"/>
        </w:rPr>
      </w:pPr>
      <w:r>
        <w:rPr>
          <w:noProof/>
        </w:rPr>
        <w:drawing>
          <wp:inline distT="0" distB="0" distL="0" distR="0" wp14:anchorId="30B07475" wp14:editId="7C7068F8">
            <wp:extent cx="4588642" cy="2772760"/>
            <wp:effectExtent l="0" t="0" r="2540" b="8890"/>
            <wp:docPr id="13" name="Chart 13">
              <a:extLst xmlns:a="http://schemas.openxmlformats.org/drawingml/2006/main">
                <a:ext uri="{FF2B5EF4-FFF2-40B4-BE49-F238E27FC236}">
                  <a16:creationId xmlns:a16="http://schemas.microsoft.com/office/drawing/2014/main" id="{3CC2D959-50B4-424A-89F5-A1967D7FC1F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67F1C17D" w14:textId="6ECE9BEC" w:rsidR="00F20C6B" w:rsidRDefault="00F20C6B" w:rsidP="00F20C6B">
      <w:pP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Figure </w:t>
      </w:r>
      <w:r w:rsidR="006A3C5D">
        <w:rPr>
          <w:rFonts w:ascii="Times New Roman" w:eastAsia="Times New Roman" w:hAnsi="Times New Roman" w:cs="Times New Roman"/>
          <w:color w:val="000000"/>
        </w:rPr>
        <w:t>15</w:t>
      </w:r>
      <w:r>
        <w:rPr>
          <w:rFonts w:ascii="Times New Roman" w:eastAsia="Times New Roman" w:hAnsi="Times New Roman" w:cs="Times New Roman"/>
          <w:color w:val="000000"/>
        </w:rPr>
        <w:t xml:space="preserve">. Average total soil carbon in the six- to twelve-inch soil depth for different tillage and cover crop treatments. </w:t>
      </w:r>
      <w:r w:rsidRPr="00611199">
        <w:rPr>
          <w:rFonts w:ascii="Times New Roman" w:eastAsia="Times New Roman" w:hAnsi="Times New Roman" w:cs="Times New Roman"/>
          <w:color w:val="000000"/>
        </w:rPr>
        <w:t xml:space="preserve">Upper case letters compare cover crop treatments </w:t>
      </w:r>
      <w:r w:rsidR="00BF141B">
        <w:rPr>
          <w:rFonts w:ascii="Times New Roman" w:eastAsia="Times New Roman" w:hAnsi="Times New Roman" w:cs="Times New Roman"/>
          <w:color w:val="000000"/>
        </w:rPr>
        <w:t>within each</w:t>
      </w:r>
      <w:r w:rsidRPr="00611199">
        <w:rPr>
          <w:rFonts w:ascii="Times New Roman" w:eastAsia="Times New Roman" w:hAnsi="Times New Roman" w:cs="Times New Roman"/>
          <w:color w:val="000000"/>
        </w:rPr>
        <w:t xml:space="preserve"> tillage </w:t>
      </w:r>
      <w:r w:rsidR="00BF141B">
        <w:rPr>
          <w:rFonts w:ascii="Times New Roman" w:eastAsia="Times New Roman" w:hAnsi="Times New Roman" w:cs="Times New Roman"/>
          <w:color w:val="000000"/>
        </w:rPr>
        <w:t>system</w:t>
      </w:r>
      <w:r w:rsidRPr="00611199">
        <w:rPr>
          <w:rFonts w:ascii="Times New Roman" w:eastAsia="Times New Roman" w:hAnsi="Times New Roman" w:cs="Times New Roman"/>
          <w:color w:val="000000"/>
        </w:rPr>
        <w:t xml:space="preserve"> and date.</w:t>
      </w:r>
      <w:r>
        <w:rPr>
          <w:rFonts w:ascii="Times New Roman" w:eastAsia="Times New Roman" w:hAnsi="Times New Roman" w:cs="Times New Roman"/>
          <w:color w:val="000000"/>
        </w:rPr>
        <w:t xml:space="preserve"> Lower case letters compare </w:t>
      </w:r>
      <w:r w:rsidR="003705AA">
        <w:rPr>
          <w:rFonts w:ascii="Times New Roman" w:eastAsia="Times New Roman" w:hAnsi="Times New Roman" w:cs="Times New Roman"/>
          <w:color w:val="000000"/>
        </w:rPr>
        <w:t>cover crop</w:t>
      </w:r>
      <w:r>
        <w:rPr>
          <w:rFonts w:ascii="Times New Roman" w:eastAsia="Times New Roman" w:hAnsi="Times New Roman" w:cs="Times New Roman"/>
          <w:color w:val="000000"/>
        </w:rPr>
        <w:t xml:space="preserve"> treatments </w:t>
      </w:r>
      <w:r w:rsidR="003705AA">
        <w:rPr>
          <w:rFonts w:ascii="Times New Roman" w:eastAsia="Times New Roman" w:hAnsi="Times New Roman" w:cs="Times New Roman"/>
          <w:color w:val="000000"/>
        </w:rPr>
        <w:t>between tillage systems</w:t>
      </w:r>
      <w:r>
        <w:rPr>
          <w:rFonts w:ascii="Times New Roman" w:eastAsia="Times New Roman" w:hAnsi="Times New Roman" w:cs="Times New Roman"/>
          <w:color w:val="000000"/>
        </w:rPr>
        <w:t xml:space="preserve"> within each date.</w:t>
      </w:r>
      <w:r w:rsidRPr="00611199">
        <w:rPr>
          <w:rFonts w:ascii="Times New Roman" w:eastAsia="Times New Roman" w:hAnsi="Times New Roman" w:cs="Times New Roman"/>
          <w:color w:val="000000"/>
        </w:rPr>
        <w:t xml:space="preserve"> Treatment means with the same letter are not significantly different at p </w:t>
      </w:r>
      <m:oMath>
        <m:r>
          <w:rPr>
            <w:rFonts w:ascii="Cambria Math" w:eastAsia="Times New Roman" w:hAnsi="Cambria Math" w:cs="Times New Roman"/>
            <w:color w:val="000000"/>
          </w:rPr>
          <m:t>≤</m:t>
        </m:r>
      </m:oMath>
      <w:r w:rsidRPr="00611199">
        <w:rPr>
          <w:rFonts w:ascii="Times New Roman" w:eastAsia="Times New Roman" w:hAnsi="Times New Roman" w:cs="Times New Roman"/>
          <w:color w:val="000000"/>
        </w:rPr>
        <w:t xml:space="preserve"> 0.05</w:t>
      </w:r>
      <w:r>
        <w:rPr>
          <w:rFonts w:ascii="Times New Roman" w:eastAsia="Times New Roman" w:hAnsi="Times New Roman" w:cs="Times New Roman"/>
          <w:color w:val="000000"/>
        </w:rPr>
        <w:t xml:space="preserve"> (NT = no-till; CP = chisel plow; CC = cover crop; NC = no cover crop).</w:t>
      </w:r>
    </w:p>
    <w:p w14:paraId="4098BD30" w14:textId="77777777" w:rsidR="00F20C6B" w:rsidRPr="00F80565" w:rsidRDefault="00F20C6B" w:rsidP="00F20C6B">
      <w:pPr>
        <w:spacing w:line="240" w:lineRule="auto"/>
        <w:rPr>
          <w:rFonts w:ascii="Times New Roman" w:eastAsia="Times New Roman" w:hAnsi="Times New Roman" w:cs="Times New Roman"/>
          <w:color w:val="000000"/>
          <w:sz w:val="20"/>
          <w:szCs w:val="20"/>
        </w:rPr>
      </w:pPr>
    </w:p>
    <w:p w14:paraId="73E9E172" w14:textId="77777777" w:rsidR="00A47763" w:rsidRDefault="00A47763">
      <w:pP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br w:type="page"/>
      </w:r>
    </w:p>
    <w:p w14:paraId="76BC0D4E" w14:textId="1DDAF4B1" w:rsidR="00D07C29" w:rsidRPr="00F80565" w:rsidRDefault="00C5519A" w:rsidP="009F3C82">
      <w:pPr>
        <w:spacing w:line="240" w:lineRule="auto"/>
        <w:rPr>
          <w:rFonts w:ascii="Times New Roman" w:eastAsia="Times New Roman" w:hAnsi="Times New Roman" w:cs="Times New Roman"/>
          <w:b/>
          <w:bCs/>
          <w:color w:val="000000"/>
          <w:sz w:val="24"/>
          <w:szCs w:val="24"/>
        </w:rPr>
      </w:pPr>
      <w:r w:rsidRPr="00F80565">
        <w:rPr>
          <w:rFonts w:ascii="Times New Roman" w:eastAsia="Times New Roman" w:hAnsi="Times New Roman" w:cs="Times New Roman"/>
          <w:b/>
          <w:bCs/>
          <w:color w:val="000000"/>
          <w:sz w:val="24"/>
          <w:szCs w:val="24"/>
        </w:rPr>
        <w:lastRenderedPageBreak/>
        <w:t xml:space="preserve">Soybean </w:t>
      </w:r>
      <w:r w:rsidR="00D07C29" w:rsidRPr="00F80565">
        <w:rPr>
          <w:rFonts w:ascii="Times New Roman" w:eastAsia="Times New Roman" w:hAnsi="Times New Roman" w:cs="Times New Roman"/>
          <w:b/>
          <w:bCs/>
          <w:color w:val="000000"/>
          <w:sz w:val="24"/>
          <w:szCs w:val="24"/>
        </w:rPr>
        <w:t>Residue Decomposition</w:t>
      </w:r>
    </w:p>
    <w:p w14:paraId="003EFE9B" w14:textId="0BBA3463" w:rsidR="00D5576D" w:rsidRDefault="00D5576D" w:rsidP="009F3C82">
      <w:pPr>
        <w:spacing w:line="240" w:lineRule="auto"/>
        <w:rPr>
          <w:rFonts w:ascii="Times New Roman" w:eastAsia="Times New Roman" w:hAnsi="Times New Roman" w:cs="Times New Roman"/>
          <w:color w:val="000000"/>
        </w:rPr>
      </w:pPr>
    </w:p>
    <w:p w14:paraId="5BEA9DA9" w14:textId="365588A9" w:rsidR="00F02D24" w:rsidRDefault="00BD0129" w:rsidP="00D5576D">
      <w:pPr>
        <w:spacing w:line="240" w:lineRule="auto"/>
        <w:ind w:firstLine="720"/>
        <w:rPr>
          <w:rFonts w:ascii="Times New Roman" w:eastAsia="Times New Roman" w:hAnsi="Times New Roman" w:cs="Times New Roman"/>
          <w:color w:val="000000"/>
        </w:rPr>
      </w:pPr>
      <w:r>
        <w:rPr>
          <w:rFonts w:ascii="Times New Roman" w:eastAsia="Times New Roman" w:hAnsi="Times New Roman" w:cs="Times New Roman"/>
          <w:color w:val="000000"/>
        </w:rPr>
        <w:t xml:space="preserve">We grew </w:t>
      </w:r>
      <w:r w:rsidR="00E4289B">
        <w:rPr>
          <w:rFonts w:ascii="Times New Roman" w:eastAsia="Times New Roman" w:hAnsi="Times New Roman" w:cs="Times New Roman"/>
          <w:color w:val="000000"/>
        </w:rPr>
        <w:t>three</w:t>
      </w:r>
      <w:r>
        <w:rPr>
          <w:rFonts w:ascii="Times New Roman" w:eastAsia="Times New Roman" w:hAnsi="Times New Roman" w:cs="Times New Roman"/>
          <w:color w:val="000000"/>
        </w:rPr>
        <w:t xml:space="preserve"> </w:t>
      </w:r>
      <w:r w:rsidR="009F4E48">
        <w:rPr>
          <w:rFonts w:ascii="Times New Roman" w:eastAsia="Times New Roman" w:hAnsi="Times New Roman" w:cs="Times New Roman"/>
          <w:color w:val="000000"/>
        </w:rPr>
        <w:t xml:space="preserve">soybean varieties with </w:t>
      </w:r>
      <w:r>
        <w:rPr>
          <w:rFonts w:ascii="Times New Roman" w:eastAsia="Times New Roman" w:hAnsi="Times New Roman" w:cs="Times New Roman"/>
          <w:color w:val="000000"/>
        </w:rPr>
        <w:t>different</w:t>
      </w:r>
      <w:r w:rsidR="009F4E48">
        <w:rPr>
          <w:rFonts w:ascii="Times New Roman" w:eastAsia="Times New Roman" w:hAnsi="Times New Roman" w:cs="Times New Roman"/>
          <w:color w:val="000000"/>
        </w:rPr>
        <w:t xml:space="preserve"> C:N ratios</w:t>
      </w:r>
      <w:r w:rsidR="00A47B3B">
        <w:rPr>
          <w:rFonts w:ascii="Times New Roman" w:eastAsia="Times New Roman" w:hAnsi="Times New Roman" w:cs="Times New Roman"/>
          <w:color w:val="000000"/>
        </w:rPr>
        <w:t xml:space="preserve"> to measure how quickly each one decomposed in the field under different tillage systems.</w:t>
      </w:r>
      <w:r>
        <w:rPr>
          <w:rFonts w:ascii="Times New Roman" w:eastAsia="Times New Roman" w:hAnsi="Times New Roman" w:cs="Times New Roman"/>
          <w:color w:val="000000"/>
        </w:rPr>
        <w:t xml:space="preserve"> Further experimental d</w:t>
      </w:r>
      <w:r w:rsidR="001274F0">
        <w:rPr>
          <w:rFonts w:ascii="Times New Roman" w:eastAsia="Times New Roman" w:hAnsi="Times New Roman" w:cs="Times New Roman"/>
          <w:color w:val="000000"/>
        </w:rPr>
        <w:t>etails can be found in the 2019 Progress Report</w:t>
      </w:r>
      <w:r w:rsidR="001F0BFA">
        <w:rPr>
          <w:rFonts w:ascii="Times New Roman" w:eastAsia="Times New Roman" w:hAnsi="Times New Roman" w:cs="Times New Roman"/>
          <w:color w:val="000000"/>
        </w:rPr>
        <w:t xml:space="preserve"> </w:t>
      </w:r>
      <w:hyperlink r:id="rId31" w:history="1">
        <w:r w:rsidR="001F0BFA" w:rsidRPr="004E010C">
          <w:rPr>
            <w:rStyle w:val="Hyperlink"/>
            <w:rFonts w:ascii="Times New Roman" w:eastAsia="Times New Roman" w:hAnsi="Times New Roman" w:cs="Times New Roman"/>
            <w:b/>
            <w:bCs/>
            <w:i/>
            <w:iCs/>
          </w:rPr>
          <w:t>hyperlink</w:t>
        </w:r>
      </w:hyperlink>
      <w:bookmarkStart w:id="2" w:name="_GoBack"/>
      <w:bookmarkEnd w:id="2"/>
      <w:r w:rsidR="001274F0">
        <w:rPr>
          <w:rFonts w:ascii="Times New Roman" w:eastAsia="Times New Roman" w:hAnsi="Times New Roman" w:cs="Times New Roman"/>
          <w:color w:val="000000"/>
        </w:rPr>
        <w:t>.</w:t>
      </w:r>
      <w:r w:rsidR="00A47B3B">
        <w:rPr>
          <w:rFonts w:ascii="Times New Roman" w:eastAsia="Times New Roman" w:hAnsi="Times New Roman" w:cs="Times New Roman"/>
          <w:color w:val="000000"/>
        </w:rPr>
        <w:t xml:space="preserve"> </w:t>
      </w:r>
      <w:r w:rsidR="00663995">
        <w:rPr>
          <w:rFonts w:ascii="Times New Roman" w:eastAsia="Times New Roman" w:hAnsi="Times New Roman" w:cs="Times New Roman"/>
          <w:color w:val="000000"/>
        </w:rPr>
        <w:t>Based on the data collected, w</w:t>
      </w:r>
      <w:r w:rsidR="00CB1B73">
        <w:rPr>
          <w:rFonts w:ascii="Times New Roman" w:eastAsia="Times New Roman" w:hAnsi="Times New Roman" w:cs="Times New Roman"/>
          <w:color w:val="000000"/>
        </w:rPr>
        <w:t xml:space="preserve">e created a model to predict the proportion of soybean residue mass remaining </w:t>
      </w:r>
      <w:r w:rsidR="00663995">
        <w:rPr>
          <w:rFonts w:ascii="Times New Roman" w:eastAsia="Times New Roman" w:hAnsi="Times New Roman" w:cs="Times New Roman"/>
          <w:color w:val="000000"/>
        </w:rPr>
        <w:t xml:space="preserve">over time. </w:t>
      </w:r>
      <w:r w:rsidR="00691BF0">
        <w:rPr>
          <w:rFonts w:ascii="Times New Roman" w:eastAsia="Times New Roman" w:hAnsi="Times New Roman" w:cs="Times New Roman"/>
          <w:color w:val="000000"/>
        </w:rPr>
        <w:t xml:space="preserve">Our findings show that there was no difference between </w:t>
      </w:r>
      <w:r w:rsidR="006A3C5D">
        <w:rPr>
          <w:rFonts w:ascii="Times New Roman" w:eastAsia="Times New Roman" w:hAnsi="Times New Roman" w:cs="Times New Roman"/>
          <w:color w:val="000000"/>
        </w:rPr>
        <w:t xml:space="preserve">the rate of decomposition between </w:t>
      </w:r>
      <w:r w:rsidR="00691BF0">
        <w:rPr>
          <w:rFonts w:ascii="Times New Roman" w:eastAsia="Times New Roman" w:hAnsi="Times New Roman" w:cs="Times New Roman"/>
          <w:color w:val="000000"/>
        </w:rPr>
        <w:t>soybean varieties, but the plants in</w:t>
      </w:r>
      <w:r w:rsidR="00CB4F82">
        <w:rPr>
          <w:rFonts w:ascii="Times New Roman" w:eastAsia="Times New Roman" w:hAnsi="Times New Roman" w:cs="Times New Roman"/>
          <w:color w:val="000000"/>
        </w:rPr>
        <w:t xml:space="preserve"> </w:t>
      </w:r>
      <w:r w:rsidR="00663995">
        <w:rPr>
          <w:rFonts w:ascii="Times New Roman" w:eastAsia="Times New Roman" w:hAnsi="Times New Roman" w:cs="Times New Roman"/>
          <w:color w:val="000000"/>
        </w:rPr>
        <w:t>NT</w:t>
      </w:r>
      <w:r w:rsidR="00A85FE7">
        <w:rPr>
          <w:rFonts w:ascii="Times New Roman" w:eastAsia="Times New Roman" w:hAnsi="Times New Roman" w:cs="Times New Roman"/>
          <w:color w:val="000000"/>
        </w:rPr>
        <w:t xml:space="preserve"> </w:t>
      </w:r>
      <w:r w:rsidR="00F76512">
        <w:rPr>
          <w:rFonts w:ascii="Times New Roman" w:eastAsia="Times New Roman" w:hAnsi="Times New Roman" w:cs="Times New Roman"/>
          <w:color w:val="000000"/>
        </w:rPr>
        <w:t xml:space="preserve">decomposed at a faster rate than the plants in </w:t>
      </w:r>
      <w:r w:rsidR="00663995">
        <w:rPr>
          <w:rFonts w:ascii="Times New Roman" w:eastAsia="Times New Roman" w:hAnsi="Times New Roman" w:cs="Times New Roman"/>
          <w:color w:val="000000"/>
        </w:rPr>
        <w:t>CP</w:t>
      </w:r>
      <w:r w:rsidR="00F76512">
        <w:rPr>
          <w:rFonts w:ascii="Times New Roman" w:eastAsia="Times New Roman" w:hAnsi="Times New Roman" w:cs="Times New Roman"/>
          <w:color w:val="000000"/>
        </w:rPr>
        <w:t xml:space="preserve"> (Fig</w:t>
      </w:r>
      <w:r w:rsidR="005F1553">
        <w:rPr>
          <w:rFonts w:ascii="Times New Roman" w:eastAsia="Times New Roman" w:hAnsi="Times New Roman" w:cs="Times New Roman"/>
          <w:color w:val="000000"/>
        </w:rPr>
        <w:t>.</w:t>
      </w:r>
      <w:r w:rsidR="00F76512">
        <w:rPr>
          <w:rFonts w:ascii="Times New Roman" w:eastAsia="Times New Roman" w:hAnsi="Times New Roman" w:cs="Times New Roman"/>
          <w:color w:val="000000"/>
        </w:rPr>
        <w:t xml:space="preserve"> 1</w:t>
      </w:r>
      <w:r w:rsidR="000156D6">
        <w:rPr>
          <w:rFonts w:ascii="Times New Roman" w:eastAsia="Times New Roman" w:hAnsi="Times New Roman" w:cs="Times New Roman"/>
          <w:color w:val="000000"/>
        </w:rPr>
        <w:t>6</w:t>
      </w:r>
      <w:r w:rsidR="00F76512">
        <w:rPr>
          <w:rFonts w:ascii="Times New Roman" w:eastAsia="Times New Roman" w:hAnsi="Times New Roman" w:cs="Times New Roman"/>
          <w:color w:val="000000"/>
        </w:rPr>
        <w:t>).</w:t>
      </w:r>
      <w:r w:rsidR="00D6332D" w:rsidRPr="00D6332D">
        <w:t xml:space="preserve"> </w:t>
      </w:r>
      <w:r w:rsidR="00D6332D">
        <w:rPr>
          <w:rFonts w:ascii="Times New Roman" w:eastAsia="Times New Roman" w:hAnsi="Times New Roman" w:cs="Times New Roman"/>
          <w:color w:val="000000"/>
        </w:rPr>
        <w:t>As stated in the 2019 Progress Report, t</w:t>
      </w:r>
      <w:r w:rsidR="00D6332D" w:rsidRPr="00D6332D">
        <w:rPr>
          <w:rFonts w:ascii="Times New Roman" w:eastAsia="Times New Roman" w:hAnsi="Times New Roman" w:cs="Times New Roman"/>
          <w:color w:val="000000"/>
        </w:rPr>
        <w:t xml:space="preserve">his may be caused by the increased soil moisture associated with </w:t>
      </w:r>
      <w:r w:rsidR="00FF6442">
        <w:rPr>
          <w:rFonts w:ascii="Times New Roman" w:eastAsia="Times New Roman" w:hAnsi="Times New Roman" w:cs="Times New Roman"/>
          <w:color w:val="000000"/>
        </w:rPr>
        <w:t>NT</w:t>
      </w:r>
      <w:r w:rsidR="00D6332D" w:rsidRPr="00D6332D">
        <w:rPr>
          <w:rFonts w:ascii="Times New Roman" w:eastAsia="Times New Roman" w:hAnsi="Times New Roman" w:cs="Times New Roman"/>
          <w:color w:val="000000"/>
        </w:rPr>
        <w:t xml:space="preserve"> and a lack of disruption of the biological community, both of which lead to higher microbial activity which breaks down the</w:t>
      </w:r>
      <w:r w:rsidR="00F02B6C">
        <w:rPr>
          <w:rFonts w:ascii="Times New Roman" w:eastAsia="Times New Roman" w:hAnsi="Times New Roman" w:cs="Times New Roman"/>
          <w:color w:val="000000"/>
        </w:rPr>
        <w:t xml:space="preserve"> residue</w:t>
      </w:r>
      <w:r w:rsidR="00D6332D" w:rsidRPr="00D6332D">
        <w:rPr>
          <w:rFonts w:ascii="Times New Roman" w:eastAsia="Times New Roman" w:hAnsi="Times New Roman" w:cs="Times New Roman"/>
          <w:color w:val="000000"/>
        </w:rPr>
        <w:t>.</w:t>
      </w:r>
    </w:p>
    <w:p w14:paraId="29175708" w14:textId="77777777" w:rsidR="001C2AAC" w:rsidRDefault="001C2AAC" w:rsidP="009F3C82">
      <w:pPr>
        <w:spacing w:line="240" w:lineRule="auto"/>
        <w:rPr>
          <w:rFonts w:ascii="Times New Roman" w:eastAsia="Times New Roman" w:hAnsi="Times New Roman" w:cs="Times New Roman"/>
          <w:color w:val="000000"/>
        </w:rPr>
      </w:pPr>
    </w:p>
    <w:p w14:paraId="5E536AD2" w14:textId="5994C97D" w:rsidR="00675F08" w:rsidRDefault="00162A6A" w:rsidP="009F3C82">
      <w:pPr>
        <w:spacing w:line="240" w:lineRule="auto"/>
        <w:rPr>
          <w:rFonts w:ascii="Times New Roman" w:eastAsia="Times New Roman" w:hAnsi="Times New Roman" w:cs="Times New Roman"/>
          <w:color w:val="000000"/>
        </w:rPr>
      </w:pPr>
      <w:r w:rsidRPr="00162A6A">
        <w:rPr>
          <w:rFonts w:ascii="Times New Roman" w:eastAsia="Times New Roman" w:hAnsi="Times New Roman" w:cs="Times New Roman"/>
          <w:noProof/>
          <w:color w:val="000000"/>
          <w:bdr w:val="single" w:sz="4" w:space="0" w:color="auto"/>
        </w:rPr>
        <w:drawing>
          <wp:inline distT="0" distB="0" distL="0" distR="0" wp14:anchorId="19757957" wp14:editId="3C029EE5">
            <wp:extent cx="4308475" cy="330390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308475" cy="3303905"/>
                    </a:xfrm>
                    <a:prstGeom prst="rect">
                      <a:avLst/>
                    </a:prstGeom>
                    <a:noFill/>
                    <a:ln>
                      <a:noFill/>
                    </a:ln>
                  </pic:spPr>
                </pic:pic>
              </a:graphicData>
            </a:graphic>
          </wp:inline>
        </w:drawing>
      </w:r>
    </w:p>
    <w:p w14:paraId="06EABBBA" w14:textId="023C53DE" w:rsidR="00E940B3" w:rsidRPr="00725E99" w:rsidRDefault="00B3502D" w:rsidP="005944A6">
      <w:pPr>
        <w:rPr>
          <w:rFonts w:ascii="Times New Roman" w:hAnsi="Times New Roman" w:cs="Times New Roman"/>
          <w:noProof/>
        </w:rPr>
      </w:pPr>
      <w:r w:rsidRPr="00B3502D">
        <w:rPr>
          <w:rFonts w:ascii="Times New Roman" w:hAnsi="Times New Roman" w:cs="Times New Roman"/>
          <w:noProof/>
        </w:rPr>
        <w:t>Figure 1</w:t>
      </w:r>
      <w:r w:rsidR="00663995">
        <w:rPr>
          <w:rFonts w:ascii="Times New Roman" w:hAnsi="Times New Roman" w:cs="Times New Roman"/>
          <w:noProof/>
        </w:rPr>
        <w:t>6</w:t>
      </w:r>
      <w:r w:rsidRPr="00B3502D">
        <w:rPr>
          <w:rFonts w:ascii="Times New Roman" w:hAnsi="Times New Roman" w:cs="Times New Roman"/>
          <w:noProof/>
        </w:rPr>
        <w:t xml:space="preserve">. </w:t>
      </w:r>
      <w:r w:rsidR="004E493D">
        <w:rPr>
          <w:rFonts w:ascii="Times New Roman" w:hAnsi="Times New Roman" w:cs="Times New Roman"/>
          <w:noProof/>
        </w:rPr>
        <w:t>Soybean residue d</w:t>
      </w:r>
      <w:r w:rsidRPr="00B3502D">
        <w:rPr>
          <w:rFonts w:ascii="Times New Roman" w:hAnsi="Times New Roman" w:cs="Times New Roman"/>
          <w:noProof/>
        </w:rPr>
        <w:t xml:space="preserve">ecomposition </w:t>
      </w:r>
      <w:r w:rsidR="000156D6">
        <w:rPr>
          <w:rFonts w:ascii="Times New Roman" w:hAnsi="Times New Roman" w:cs="Times New Roman"/>
          <w:noProof/>
        </w:rPr>
        <w:t>by</w:t>
      </w:r>
      <w:r w:rsidRPr="00B3502D">
        <w:rPr>
          <w:rFonts w:ascii="Times New Roman" w:hAnsi="Times New Roman" w:cs="Times New Roman"/>
          <w:noProof/>
        </w:rPr>
        <w:t xml:space="preserve"> </w:t>
      </w:r>
      <w:r w:rsidR="000156D6">
        <w:rPr>
          <w:rFonts w:ascii="Times New Roman" w:hAnsi="Times New Roman" w:cs="Times New Roman"/>
          <w:noProof/>
        </w:rPr>
        <w:t xml:space="preserve">soybean </w:t>
      </w:r>
      <w:r w:rsidRPr="00B3502D">
        <w:rPr>
          <w:rFonts w:ascii="Times New Roman" w:hAnsi="Times New Roman" w:cs="Times New Roman"/>
          <w:noProof/>
        </w:rPr>
        <w:t>variety and tillage</w:t>
      </w:r>
      <w:r w:rsidR="000156D6">
        <w:rPr>
          <w:rFonts w:ascii="Times New Roman" w:hAnsi="Times New Roman" w:cs="Times New Roman"/>
          <w:noProof/>
        </w:rPr>
        <w:t xml:space="preserve"> system</w:t>
      </w:r>
      <w:r w:rsidRPr="00B3502D">
        <w:rPr>
          <w:rFonts w:ascii="Times New Roman" w:hAnsi="Times New Roman" w:cs="Times New Roman"/>
          <w:noProof/>
        </w:rPr>
        <w:t xml:space="preserve">. There is a </w:t>
      </w:r>
      <w:r w:rsidR="008B57B1">
        <w:rPr>
          <w:rFonts w:ascii="Times New Roman" w:hAnsi="Times New Roman" w:cs="Times New Roman"/>
          <w:noProof/>
        </w:rPr>
        <w:t xml:space="preserve">significant </w:t>
      </w:r>
      <w:r w:rsidRPr="00B3502D">
        <w:rPr>
          <w:rFonts w:ascii="Times New Roman" w:hAnsi="Times New Roman" w:cs="Times New Roman"/>
          <w:noProof/>
        </w:rPr>
        <w:t xml:space="preserve">difference in </w:t>
      </w:r>
      <w:r w:rsidR="000156D6">
        <w:rPr>
          <w:rFonts w:ascii="Times New Roman" w:hAnsi="Times New Roman" w:cs="Times New Roman"/>
          <w:noProof/>
        </w:rPr>
        <w:t>proportion of</w:t>
      </w:r>
      <w:r w:rsidRPr="00B3502D">
        <w:rPr>
          <w:rFonts w:ascii="Times New Roman" w:hAnsi="Times New Roman" w:cs="Times New Roman"/>
          <w:noProof/>
        </w:rPr>
        <w:t xml:space="preserve"> </w:t>
      </w:r>
      <w:r w:rsidR="000156D6">
        <w:rPr>
          <w:rFonts w:ascii="Times New Roman" w:hAnsi="Times New Roman" w:cs="Times New Roman"/>
          <w:noProof/>
        </w:rPr>
        <w:t>mass between tillage systems for each variety</w:t>
      </w:r>
      <w:r w:rsidRPr="00B3502D">
        <w:rPr>
          <w:rFonts w:ascii="Times New Roman" w:hAnsi="Times New Roman" w:cs="Times New Roman"/>
          <w:noProof/>
        </w:rPr>
        <w:t xml:space="preserve">, which shows that soybeans placed in the </w:t>
      </w:r>
      <w:r w:rsidR="004C0A2F">
        <w:rPr>
          <w:rFonts w:ascii="Times New Roman" w:hAnsi="Times New Roman" w:cs="Times New Roman"/>
          <w:noProof/>
        </w:rPr>
        <w:t>NT</w:t>
      </w:r>
      <w:r w:rsidRPr="00B3502D">
        <w:rPr>
          <w:rFonts w:ascii="Times New Roman" w:hAnsi="Times New Roman" w:cs="Times New Roman"/>
          <w:noProof/>
        </w:rPr>
        <w:t xml:space="preserve"> plots decomposed </w:t>
      </w:r>
      <w:r w:rsidR="00AE6D8E">
        <w:rPr>
          <w:rFonts w:ascii="Times New Roman" w:hAnsi="Times New Roman" w:cs="Times New Roman"/>
          <w:noProof/>
        </w:rPr>
        <w:t xml:space="preserve">at a faster rate </w:t>
      </w:r>
      <w:r w:rsidRPr="00B3502D">
        <w:rPr>
          <w:rFonts w:ascii="Times New Roman" w:hAnsi="Times New Roman" w:cs="Times New Roman"/>
          <w:noProof/>
        </w:rPr>
        <w:t xml:space="preserve">than soybeans placed in the </w:t>
      </w:r>
      <w:r w:rsidR="004C0A2F">
        <w:rPr>
          <w:rFonts w:ascii="Times New Roman" w:hAnsi="Times New Roman" w:cs="Times New Roman"/>
          <w:noProof/>
        </w:rPr>
        <w:t xml:space="preserve">CP </w:t>
      </w:r>
      <w:r w:rsidRPr="00B3502D">
        <w:rPr>
          <w:rFonts w:ascii="Times New Roman" w:hAnsi="Times New Roman" w:cs="Times New Roman"/>
          <w:noProof/>
        </w:rPr>
        <w:t>plots</w:t>
      </w:r>
      <w:r w:rsidR="000156D6">
        <w:rPr>
          <w:rFonts w:ascii="Times New Roman" w:hAnsi="Times New Roman" w:cs="Times New Roman"/>
          <w:noProof/>
        </w:rPr>
        <w:t>. There were no significant differences between varieties.</w:t>
      </w:r>
      <w:r w:rsidRPr="00B3502D">
        <w:rPr>
          <w:rFonts w:ascii="Times New Roman" w:hAnsi="Times New Roman" w:cs="Times New Roman"/>
          <w:noProof/>
        </w:rPr>
        <w:t xml:space="preserve"> (NT = no-till; CP = chisel plow</w:t>
      </w:r>
      <w:r w:rsidR="000156D6">
        <w:rPr>
          <w:rFonts w:ascii="Times New Roman" w:hAnsi="Times New Roman" w:cs="Times New Roman"/>
          <w:noProof/>
        </w:rPr>
        <w:t xml:space="preserve">; </w:t>
      </w:r>
      <w:r w:rsidR="000156D6" w:rsidRPr="00465630">
        <w:rPr>
          <w:rFonts w:ascii="Times New Roman" w:eastAsia="Times New Roman" w:hAnsi="Times New Roman" w:cs="Times New Roman"/>
          <w:color w:val="000000"/>
        </w:rPr>
        <w:t>V1 = Variety 1, C:N =47:1; V2 = Variety 2, C:N = 38:1</w:t>
      </w:r>
      <w:r w:rsidR="000156D6">
        <w:rPr>
          <w:rFonts w:ascii="Times New Roman" w:eastAsia="Times New Roman" w:hAnsi="Times New Roman" w:cs="Times New Roman"/>
          <w:color w:val="000000"/>
        </w:rPr>
        <w:t>;</w:t>
      </w:r>
      <w:r w:rsidR="000156D6" w:rsidRPr="00465630">
        <w:rPr>
          <w:rFonts w:ascii="Times New Roman" w:eastAsia="Times New Roman" w:hAnsi="Times New Roman" w:cs="Times New Roman"/>
          <w:color w:val="000000"/>
        </w:rPr>
        <w:t xml:space="preserve"> V3 = Variety 3, C:N = 29:1)</w:t>
      </w:r>
      <w:r w:rsidRPr="00B3502D">
        <w:rPr>
          <w:rFonts w:ascii="Times New Roman" w:hAnsi="Times New Roman" w:cs="Times New Roman"/>
          <w:noProof/>
        </w:rPr>
        <w:t>.</w:t>
      </w:r>
    </w:p>
    <w:sectPr w:rsidR="00E940B3" w:rsidRPr="00725E99" w:rsidSect="00C77F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5B2E4A"/>
    <w:multiLevelType w:val="hybridMultilevel"/>
    <w:tmpl w:val="3ECC65A8"/>
    <w:lvl w:ilvl="0" w:tplc="B8FE9016">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D620DFD"/>
    <w:multiLevelType w:val="hybridMultilevel"/>
    <w:tmpl w:val="5762CDCA"/>
    <w:lvl w:ilvl="0" w:tplc="04090001">
      <w:start w:val="17"/>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9940034"/>
    <w:multiLevelType w:val="hybridMultilevel"/>
    <w:tmpl w:val="0698345C"/>
    <w:lvl w:ilvl="0" w:tplc="F970D0BA">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4E04039"/>
    <w:multiLevelType w:val="hybridMultilevel"/>
    <w:tmpl w:val="E8C0966C"/>
    <w:lvl w:ilvl="0" w:tplc="090C7D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F95"/>
    <w:rsid w:val="00004BCB"/>
    <w:rsid w:val="00004D71"/>
    <w:rsid w:val="00005AB9"/>
    <w:rsid w:val="00012809"/>
    <w:rsid w:val="000134E2"/>
    <w:rsid w:val="000156D6"/>
    <w:rsid w:val="00027BBA"/>
    <w:rsid w:val="0003383C"/>
    <w:rsid w:val="00062A29"/>
    <w:rsid w:val="00064BAE"/>
    <w:rsid w:val="0007325D"/>
    <w:rsid w:val="000762B9"/>
    <w:rsid w:val="000812EF"/>
    <w:rsid w:val="0009162A"/>
    <w:rsid w:val="000945DE"/>
    <w:rsid w:val="000A0276"/>
    <w:rsid w:val="000A10DC"/>
    <w:rsid w:val="000A6308"/>
    <w:rsid w:val="000B2043"/>
    <w:rsid w:val="000B4D14"/>
    <w:rsid w:val="000B712B"/>
    <w:rsid w:val="000C383B"/>
    <w:rsid w:val="000D0789"/>
    <w:rsid w:val="000D1642"/>
    <w:rsid w:val="000D2BE8"/>
    <w:rsid w:val="000E431F"/>
    <w:rsid w:val="000E4527"/>
    <w:rsid w:val="000F4CDE"/>
    <w:rsid w:val="000F5B07"/>
    <w:rsid w:val="000F5B1E"/>
    <w:rsid w:val="000F65E7"/>
    <w:rsid w:val="0011228B"/>
    <w:rsid w:val="00112799"/>
    <w:rsid w:val="00121887"/>
    <w:rsid w:val="00121D48"/>
    <w:rsid w:val="00125CCB"/>
    <w:rsid w:val="00126DB2"/>
    <w:rsid w:val="001274F0"/>
    <w:rsid w:val="00131E3D"/>
    <w:rsid w:val="0014168C"/>
    <w:rsid w:val="00141F0F"/>
    <w:rsid w:val="00143A44"/>
    <w:rsid w:val="00147C34"/>
    <w:rsid w:val="00162A6A"/>
    <w:rsid w:val="0017075F"/>
    <w:rsid w:val="00174015"/>
    <w:rsid w:val="00177B94"/>
    <w:rsid w:val="00190716"/>
    <w:rsid w:val="00193485"/>
    <w:rsid w:val="00194346"/>
    <w:rsid w:val="001950EB"/>
    <w:rsid w:val="0019706B"/>
    <w:rsid w:val="001A2CEC"/>
    <w:rsid w:val="001B3D1F"/>
    <w:rsid w:val="001C1DDB"/>
    <w:rsid w:val="001C2AAC"/>
    <w:rsid w:val="001C5B52"/>
    <w:rsid w:val="001D581F"/>
    <w:rsid w:val="001D5ADF"/>
    <w:rsid w:val="001D680D"/>
    <w:rsid w:val="001E0B61"/>
    <w:rsid w:val="001E1049"/>
    <w:rsid w:val="001E4EE9"/>
    <w:rsid w:val="001F0BFA"/>
    <w:rsid w:val="001F5947"/>
    <w:rsid w:val="001F6E54"/>
    <w:rsid w:val="001F727B"/>
    <w:rsid w:val="0021187F"/>
    <w:rsid w:val="002205CA"/>
    <w:rsid w:val="00221B98"/>
    <w:rsid w:val="0022411D"/>
    <w:rsid w:val="00224C2D"/>
    <w:rsid w:val="002300B7"/>
    <w:rsid w:val="00236E56"/>
    <w:rsid w:val="00240A27"/>
    <w:rsid w:val="00243A04"/>
    <w:rsid w:val="00245A83"/>
    <w:rsid w:val="00247789"/>
    <w:rsid w:val="00247F3C"/>
    <w:rsid w:val="00250E30"/>
    <w:rsid w:val="002568AD"/>
    <w:rsid w:val="002576A3"/>
    <w:rsid w:val="00261B83"/>
    <w:rsid w:val="00261EA7"/>
    <w:rsid w:val="00262572"/>
    <w:rsid w:val="002641C0"/>
    <w:rsid w:val="002652B1"/>
    <w:rsid w:val="00266EC0"/>
    <w:rsid w:val="00293E34"/>
    <w:rsid w:val="00295EAA"/>
    <w:rsid w:val="002A0320"/>
    <w:rsid w:val="002A2436"/>
    <w:rsid w:val="002B4A1A"/>
    <w:rsid w:val="002C1587"/>
    <w:rsid w:val="002C25BB"/>
    <w:rsid w:val="002C25FB"/>
    <w:rsid w:val="002D27E3"/>
    <w:rsid w:val="002D3847"/>
    <w:rsid w:val="002D5166"/>
    <w:rsid w:val="002D7DB1"/>
    <w:rsid w:val="002E0C4F"/>
    <w:rsid w:val="002F2CFB"/>
    <w:rsid w:val="002F332C"/>
    <w:rsid w:val="002F4C91"/>
    <w:rsid w:val="002F675D"/>
    <w:rsid w:val="00311851"/>
    <w:rsid w:val="003157E1"/>
    <w:rsid w:val="003253F7"/>
    <w:rsid w:val="00333069"/>
    <w:rsid w:val="00333136"/>
    <w:rsid w:val="00333920"/>
    <w:rsid w:val="003362A0"/>
    <w:rsid w:val="00336464"/>
    <w:rsid w:val="00336D87"/>
    <w:rsid w:val="00341C09"/>
    <w:rsid w:val="0034554E"/>
    <w:rsid w:val="0035280F"/>
    <w:rsid w:val="00354B72"/>
    <w:rsid w:val="003552EF"/>
    <w:rsid w:val="00362A8F"/>
    <w:rsid w:val="003705AA"/>
    <w:rsid w:val="00373A3D"/>
    <w:rsid w:val="00381A92"/>
    <w:rsid w:val="0038518F"/>
    <w:rsid w:val="003906A6"/>
    <w:rsid w:val="003911EA"/>
    <w:rsid w:val="00395499"/>
    <w:rsid w:val="00397CFA"/>
    <w:rsid w:val="003A7B20"/>
    <w:rsid w:val="003B1DB5"/>
    <w:rsid w:val="003B4254"/>
    <w:rsid w:val="003C2D17"/>
    <w:rsid w:val="003C301F"/>
    <w:rsid w:val="003E2339"/>
    <w:rsid w:val="003E4EA4"/>
    <w:rsid w:val="003E7326"/>
    <w:rsid w:val="003F1AC6"/>
    <w:rsid w:val="003F226A"/>
    <w:rsid w:val="003F588F"/>
    <w:rsid w:val="004012A4"/>
    <w:rsid w:val="004042A3"/>
    <w:rsid w:val="0040762D"/>
    <w:rsid w:val="00410930"/>
    <w:rsid w:val="00410CCA"/>
    <w:rsid w:val="00413C0A"/>
    <w:rsid w:val="0042154E"/>
    <w:rsid w:val="00422933"/>
    <w:rsid w:val="00425219"/>
    <w:rsid w:val="004309A4"/>
    <w:rsid w:val="00431BE8"/>
    <w:rsid w:val="0043478F"/>
    <w:rsid w:val="004356AF"/>
    <w:rsid w:val="00441F23"/>
    <w:rsid w:val="00451492"/>
    <w:rsid w:val="0045358C"/>
    <w:rsid w:val="00453A8F"/>
    <w:rsid w:val="00464F52"/>
    <w:rsid w:val="00465630"/>
    <w:rsid w:val="00466EE3"/>
    <w:rsid w:val="0047499F"/>
    <w:rsid w:val="00476D3F"/>
    <w:rsid w:val="004770A2"/>
    <w:rsid w:val="00481032"/>
    <w:rsid w:val="00484F48"/>
    <w:rsid w:val="004874B5"/>
    <w:rsid w:val="004A2FC0"/>
    <w:rsid w:val="004A4B69"/>
    <w:rsid w:val="004A5627"/>
    <w:rsid w:val="004A5F46"/>
    <w:rsid w:val="004A7DA4"/>
    <w:rsid w:val="004B16AA"/>
    <w:rsid w:val="004B2B5B"/>
    <w:rsid w:val="004B3DC4"/>
    <w:rsid w:val="004B4F60"/>
    <w:rsid w:val="004B535A"/>
    <w:rsid w:val="004C0A2F"/>
    <w:rsid w:val="004C4185"/>
    <w:rsid w:val="004D0CB1"/>
    <w:rsid w:val="004D51D1"/>
    <w:rsid w:val="004E010C"/>
    <w:rsid w:val="004E38A8"/>
    <w:rsid w:val="004E493D"/>
    <w:rsid w:val="004E4D9B"/>
    <w:rsid w:val="004F01E1"/>
    <w:rsid w:val="004F40D7"/>
    <w:rsid w:val="00502FBB"/>
    <w:rsid w:val="00513330"/>
    <w:rsid w:val="00516ED3"/>
    <w:rsid w:val="00522F23"/>
    <w:rsid w:val="00526EE7"/>
    <w:rsid w:val="00530D72"/>
    <w:rsid w:val="00532535"/>
    <w:rsid w:val="00533D6B"/>
    <w:rsid w:val="0053552F"/>
    <w:rsid w:val="00545E7C"/>
    <w:rsid w:val="00545EE9"/>
    <w:rsid w:val="00545F9E"/>
    <w:rsid w:val="005512FE"/>
    <w:rsid w:val="00552248"/>
    <w:rsid w:val="0055399B"/>
    <w:rsid w:val="005601E5"/>
    <w:rsid w:val="00564E93"/>
    <w:rsid w:val="00570330"/>
    <w:rsid w:val="00573D62"/>
    <w:rsid w:val="00577D27"/>
    <w:rsid w:val="0058077F"/>
    <w:rsid w:val="005818E4"/>
    <w:rsid w:val="005828C8"/>
    <w:rsid w:val="00583A20"/>
    <w:rsid w:val="00584916"/>
    <w:rsid w:val="00584FBB"/>
    <w:rsid w:val="00590D40"/>
    <w:rsid w:val="005944A6"/>
    <w:rsid w:val="005A355C"/>
    <w:rsid w:val="005A410C"/>
    <w:rsid w:val="005A4930"/>
    <w:rsid w:val="005A6F4A"/>
    <w:rsid w:val="005B15C4"/>
    <w:rsid w:val="005B69D2"/>
    <w:rsid w:val="005C47DF"/>
    <w:rsid w:val="005D1C13"/>
    <w:rsid w:val="005D2785"/>
    <w:rsid w:val="005D507E"/>
    <w:rsid w:val="005D6A3C"/>
    <w:rsid w:val="005E083B"/>
    <w:rsid w:val="005E0EBF"/>
    <w:rsid w:val="005E1D72"/>
    <w:rsid w:val="005E2567"/>
    <w:rsid w:val="005E28CF"/>
    <w:rsid w:val="005E3163"/>
    <w:rsid w:val="005E3457"/>
    <w:rsid w:val="005F1553"/>
    <w:rsid w:val="005F3668"/>
    <w:rsid w:val="006059E5"/>
    <w:rsid w:val="00605C04"/>
    <w:rsid w:val="00607A4F"/>
    <w:rsid w:val="00611199"/>
    <w:rsid w:val="00615AE8"/>
    <w:rsid w:val="0061660C"/>
    <w:rsid w:val="0062647D"/>
    <w:rsid w:val="00636E9E"/>
    <w:rsid w:val="00640651"/>
    <w:rsid w:val="00646EC1"/>
    <w:rsid w:val="006504B8"/>
    <w:rsid w:val="0065185C"/>
    <w:rsid w:val="0065384F"/>
    <w:rsid w:val="0065407F"/>
    <w:rsid w:val="00654235"/>
    <w:rsid w:val="0066062B"/>
    <w:rsid w:val="0066100B"/>
    <w:rsid w:val="006625A3"/>
    <w:rsid w:val="006630F3"/>
    <w:rsid w:val="00663995"/>
    <w:rsid w:val="00663E4D"/>
    <w:rsid w:val="00671E10"/>
    <w:rsid w:val="006744CA"/>
    <w:rsid w:val="00675F08"/>
    <w:rsid w:val="006861E6"/>
    <w:rsid w:val="0069150F"/>
    <w:rsid w:val="00691695"/>
    <w:rsid w:val="00691BF0"/>
    <w:rsid w:val="00692E5A"/>
    <w:rsid w:val="006951C3"/>
    <w:rsid w:val="006A2916"/>
    <w:rsid w:val="006A3C5D"/>
    <w:rsid w:val="006A5EB1"/>
    <w:rsid w:val="006B0C79"/>
    <w:rsid w:val="006B1946"/>
    <w:rsid w:val="006B6240"/>
    <w:rsid w:val="006B6C49"/>
    <w:rsid w:val="006C0E32"/>
    <w:rsid w:val="006C77A1"/>
    <w:rsid w:val="006D0739"/>
    <w:rsid w:val="006D1228"/>
    <w:rsid w:val="006D1717"/>
    <w:rsid w:val="006D5367"/>
    <w:rsid w:val="006D65B8"/>
    <w:rsid w:val="006E6380"/>
    <w:rsid w:val="006E65E8"/>
    <w:rsid w:val="006E6677"/>
    <w:rsid w:val="006F1A2B"/>
    <w:rsid w:val="006F7CA8"/>
    <w:rsid w:val="0070234F"/>
    <w:rsid w:val="00715E14"/>
    <w:rsid w:val="00725E99"/>
    <w:rsid w:val="007263D7"/>
    <w:rsid w:val="0073535A"/>
    <w:rsid w:val="0074098A"/>
    <w:rsid w:val="00742745"/>
    <w:rsid w:val="00744852"/>
    <w:rsid w:val="00751F32"/>
    <w:rsid w:val="0075547D"/>
    <w:rsid w:val="00760B59"/>
    <w:rsid w:val="00761E29"/>
    <w:rsid w:val="007627B8"/>
    <w:rsid w:val="00763EF3"/>
    <w:rsid w:val="007667C5"/>
    <w:rsid w:val="0076690B"/>
    <w:rsid w:val="00771C98"/>
    <w:rsid w:val="007838A4"/>
    <w:rsid w:val="00785ED1"/>
    <w:rsid w:val="00786189"/>
    <w:rsid w:val="00792430"/>
    <w:rsid w:val="00794F24"/>
    <w:rsid w:val="007A3E10"/>
    <w:rsid w:val="007B4437"/>
    <w:rsid w:val="007B6645"/>
    <w:rsid w:val="007C3954"/>
    <w:rsid w:val="007D2B66"/>
    <w:rsid w:val="007D3561"/>
    <w:rsid w:val="007D3C72"/>
    <w:rsid w:val="007D5CBB"/>
    <w:rsid w:val="007D7461"/>
    <w:rsid w:val="007E7440"/>
    <w:rsid w:val="007E7B45"/>
    <w:rsid w:val="007F0DB7"/>
    <w:rsid w:val="007F7B2D"/>
    <w:rsid w:val="008037B7"/>
    <w:rsid w:val="00807BB2"/>
    <w:rsid w:val="00810242"/>
    <w:rsid w:val="008164E4"/>
    <w:rsid w:val="00816796"/>
    <w:rsid w:val="00821BDC"/>
    <w:rsid w:val="008227E8"/>
    <w:rsid w:val="00836724"/>
    <w:rsid w:val="008367C2"/>
    <w:rsid w:val="008371F2"/>
    <w:rsid w:val="00837A47"/>
    <w:rsid w:val="00841726"/>
    <w:rsid w:val="00864EA0"/>
    <w:rsid w:val="00864FC1"/>
    <w:rsid w:val="008732D0"/>
    <w:rsid w:val="008734B6"/>
    <w:rsid w:val="00877338"/>
    <w:rsid w:val="00887613"/>
    <w:rsid w:val="008937B3"/>
    <w:rsid w:val="008A313B"/>
    <w:rsid w:val="008A3276"/>
    <w:rsid w:val="008A7EAA"/>
    <w:rsid w:val="008B4ACF"/>
    <w:rsid w:val="008B57B1"/>
    <w:rsid w:val="008C0E8D"/>
    <w:rsid w:val="008C0F95"/>
    <w:rsid w:val="008C332C"/>
    <w:rsid w:val="008C6A7A"/>
    <w:rsid w:val="008D45AB"/>
    <w:rsid w:val="008D6D22"/>
    <w:rsid w:val="008D7801"/>
    <w:rsid w:val="008E1D73"/>
    <w:rsid w:val="008E2290"/>
    <w:rsid w:val="008E4876"/>
    <w:rsid w:val="008F1133"/>
    <w:rsid w:val="008F28F0"/>
    <w:rsid w:val="008F53EA"/>
    <w:rsid w:val="00900A12"/>
    <w:rsid w:val="00903DA3"/>
    <w:rsid w:val="009061FD"/>
    <w:rsid w:val="00906360"/>
    <w:rsid w:val="0091130B"/>
    <w:rsid w:val="009215E6"/>
    <w:rsid w:val="00921A20"/>
    <w:rsid w:val="00924C46"/>
    <w:rsid w:val="009255E4"/>
    <w:rsid w:val="00926437"/>
    <w:rsid w:val="00926E6E"/>
    <w:rsid w:val="00950A55"/>
    <w:rsid w:val="00955027"/>
    <w:rsid w:val="009576DA"/>
    <w:rsid w:val="00961F21"/>
    <w:rsid w:val="00962E7F"/>
    <w:rsid w:val="00963C91"/>
    <w:rsid w:val="00965CB9"/>
    <w:rsid w:val="00970016"/>
    <w:rsid w:val="00972C5F"/>
    <w:rsid w:val="00973E77"/>
    <w:rsid w:val="00977784"/>
    <w:rsid w:val="009818EE"/>
    <w:rsid w:val="009926AA"/>
    <w:rsid w:val="00995703"/>
    <w:rsid w:val="009B6969"/>
    <w:rsid w:val="009C5350"/>
    <w:rsid w:val="009C54EE"/>
    <w:rsid w:val="009C5D7A"/>
    <w:rsid w:val="009D1DA6"/>
    <w:rsid w:val="009D7068"/>
    <w:rsid w:val="009E5ED5"/>
    <w:rsid w:val="009E645B"/>
    <w:rsid w:val="009F3C82"/>
    <w:rsid w:val="009F4E48"/>
    <w:rsid w:val="009F7B7F"/>
    <w:rsid w:val="00A0061B"/>
    <w:rsid w:val="00A0155D"/>
    <w:rsid w:val="00A0337B"/>
    <w:rsid w:val="00A05E31"/>
    <w:rsid w:val="00A1033C"/>
    <w:rsid w:val="00A1440F"/>
    <w:rsid w:val="00A15240"/>
    <w:rsid w:val="00A24BED"/>
    <w:rsid w:val="00A2723F"/>
    <w:rsid w:val="00A278B9"/>
    <w:rsid w:val="00A46590"/>
    <w:rsid w:val="00A47076"/>
    <w:rsid w:val="00A47763"/>
    <w:rsid w:val="00A47B3B"/>
    <w:rsid w:val="00A66FD0"/>
    <w:rsid w:val="00A72ED8"/>
    <w:rsid w:val="00A7417D"/>
    <w:rsid w:val="00A74E20"/>
    <w:rsid w:val="00A81219"/>
    <w:rsid w:val="00A81A31"/>
    <w:rsid w:val="00A85FE7"/>
    <w:rsid w:val="00A91C31"/>
    <w:rsid w:val="00A96F8E"/>
    <w:rsid w:val="00AA0D60"/>
    <w:rsid w:val="00AA42D4"/>
    <w:rsid w:val="00AB5B50"/>
    <w:rsid w:val="00AB70CD"/>
    <w:rsid w:val="00AC478F"/>
    <w:rsid w:val="00AC7AC1"/>
    <w:rsid w:val="00AD0AFB"/>
    <w:rsid w:val="00AD1912"/>
    <w:rsid w:val="00AD264A"/>
    <w:rsid w:val="00AD576A"/>
    <w:rsid w:val="00AD76B3"/>
    <w:rsid w:val="00AD7DC0"/>
    <w:rsid w:val="00AE02CD"/>
    <w:rsid w:val="00AE6D8E"/>
    <w:rsid w:val="00AF01AF"/>
    <w:rsid w:val="00B0241D"/>
    <w:rsid w:val="00B148A4"/>
    <w:rsid w:val="00B16C99"/>
    <w:rsid w:val="00B24661"/>
    <w:rsid w:val="00B2599A"/>
    <w:rsid w:val="00B26A86"/>
    <w:rsid w:val="00B26C7E"/>
    <w:rsid w:val="00B3199E"/>
    <w:rsid w:val="00B3502D"/>
    <w:rsid w:val="00B42DB4"/>
    <w:rsid w:val="00B45E06"/>
    <w:rsid w:val="00B5616C"/>
    <w:rsid w:val="00B57C4B"/>
    <w:rsid w:val="00B60FCA"/>
    <w:rsid w:val="00B60FD2"/>
    <w:rsid w:val="00B66A26"/>
    <w:rsid w:val="00B724F0"/>
    <w:rsid w:val="00B74994"/>
    <w:rsid w:val="00B76715"/>
    <w:rsid w:val="00B83B17"/>
    <w:rsid w:val="00B8655B"/>
    <w:rsid w:val="00B87238"/>
    <w:rsid w:val="00B924E1"/>
    <w:rsid w:val="00BA0717"/>
    <w:rsid w:val="00BA1D1E"/>
    <w:rsid w:val="00BA3783"/>
    <w:rsid w:val="00BB183A"/>
    <w:rsid w:val="00BB37F3"/>
    <w:rsid w:val="00BB4C7A"/>
    <w:rsid w:val="00BB6096"/>
    <w:rsid w:val="00BB6D01"/>
    <w:rsid w:val="00BC3EB3"/>
    <w:rsid w:val="00BC6143"/>
    <w:rsid w:val="00BC7A69"/>
    <w:rsid w:val="00BD0129"/>
    <w:rsid w:val="00BD45CE"/>
    <w:rsid w:val="00BD5DE5"/>
    <w:rsid w:val="00BE5223"/>
    <w:rsid w:val="00BF141B"/>
    <w:rsid w:val="00BF28D4"/>
    <w:rsid w:val="00BF49E6"/>
    <w:rsid w:val="00BF5B0A"/>
    <w:rsid w:val="00BF5E18"/>
    <w:rsid w:val="00BF797B"/>
    <w:rsid w:val="00C012C6"/>
    <w:rsid w:val="00C04A0B"/>
    <w:rsid w:val="00C04DA0"/>
    <w:rsid w:val="00C073B3"/>
    <w:rsid w:val="00C11F9C"/>
    <w:rsid w:val="00C13F34"/>
    <w:rsid w:val="00C15F37"/>
    <w:rsid w:val="00C203C4"/>
    <w:rsid w:val="00C26941"/>
    <w:rsid w:val="00C334D2"/>
    <w:rsid w:val="00C40594"/>
    <w:rsid w:val="00C51817"/>
    <w:rsid w:val="00C548B3"/>
    <w:rsid w:val="00C5519A"/>
    <w:rsid w:val="00C60048"/>
    <w:rsid w:val="00C63E27"/>
    <w:rsid w:val="00C64C09"/>
    <w:rsid w:val="00C6723A"/>
    <w:rsid w:val="00C730B4"/>
    <w:rsid w:val="00C766C9"/>
    <w:rsid w:val="00C77FE2"/>
    <w:rsid w:val="00C804B5"/>
    <w:rsid w:val="00C809C6"/>
    <w:rsid w:val="00C90C16"/>
    <w:rsid w:val="00C923BE"/>
    <w:rsid w:val="00C9263F"/>
    <w:rsid w:val="00C93040"/>
    <w:rsid w:val="00C96792"/>
    <w:rsid w:val="00CA18BB"/>
    <w:rsid w:val="00CA4AA9"/>
    <w:rsid w:val="00CA7321"/>
    <w:rsid w:val="00CB0D97"/>
    <w:rsid w:val="00CB1278"/>
    <w:rsid w:val="00CB1B73"/>
    <w:rsid w:val="00CB4F82"/>
    <w:rsid w:val="00CB5113"/>
    <w:rsid w:val="00CB68B2"/>
    <w:rsid w:val="00CB6E7C"/>
    <w:rsid w:val="00CC7A6F"/>
    <w:rsid w:val="00CE016C"/>
    <w:rsid w:val="00CE4DA1"/>
    <w:rsid w:val="00CE6F0A"/>
    <w:rsid w:val="00CF310A"/>
    <w:rsid w:val="00D0367B"/>
    <w:rsid w:val="00D04A72"/>
    <w:rsid w:val="00D0675C"/>
    <w:rsid w:val="00D07C29"/>
    <w:rsid w:val="00D10BF7"/>
    <w:rsid w:val="00D116E0"/>
    <w:rsid w:val="00D15719"/>
    <w:rsid w:val="00D1589C"/>
    <w:rsid w:val="00D16828"/>
    <w:rsid w:val="00D240E9"/>
    <w:rsid w:val="00D251DD"/>
    <w:rsid w:val="00D30628"/>
    <w:rsid w:val="00D331BB"/>
    <w:rsid w:val="00D35279"/>
    <w:rsid w:val="00D36F5C"/>
    <w:rsid w:val="00D479BA"/>
    <w:rsid w:val="00D5576D"/>
    <w:rsid w:val="00D55DEB"/>
    <w:rsid w:val="00D572A2"/>
    <w:rsid w:val="00D6332D"/>
    <w:rsid w:val="00D70256"/>
    <w:rsid w:val="00D82A3A"/>
    <w:rsid w:val="00D856A4"/>
    <w:rsid w:val="00D9080F"/>
    <w:rsid w:val="00D95110"/>
    <w:rsid w:val="00D95D57"/>
    <w:rsid w:val="00D9690C"/>
    <w:rsid w:val="00D96E1F"/>
    <w:rsid w:val="00DA6438"/>
    <w:rsid w:val="00DB2088"/>
    <w:rsid w:val="00DB222A"/>
    <w:rsid w:val="00DB5A04"/>
    <w:rsid w:val="00DE12AF"/>
    <w:rsid w:val="00DE1550"/>
    <w:rsid w:val="00DE1864"/>
    <w:rsid w:val="00DE2039"/>
    <w:rsid w:val="00DE239F"/>
    <w:rsid w:val="00DE6D7F"/>
    <w:rsid w:val="00DF0F29"/>
    <w:rsid w:val="00DF69F0"/>
    <w:rsid w:val="00E027AD"/>
    <w:rsid w:val="00E05818"/>
    <w:rsid w:val="00E05835"/>
    <w:rsid w:val="00E064C5"/>
    <w:rsid w:val="00E1042C"/>
    <w:rsid w:val="00E2220D"/>
    <w:rsid w:val="00E309E8"/>
    <w:rsid w:val="00E30EF0"/>
    <w:rsid w:val="00E34724"/>
    <w:rsid w:val="00E35C00"/>
    <w:rsid w:val="00E37EC0"/>
    <w:rsid w:val="00E4289B"/>
    <w:rsid w:val="00E4508D"/>
    <w:rsid w:val="00E507D2"/>
    <w:rsid w:val="00E5296E"/>
    <w:rsid w:val="00E73770"/>
    <w:rsid w:val="00E82843"/>
    <w:rsid w:val="00E82AB3"/>
    <w:rsid w:val="00E86EFD"/>
    <w:rsid w:val="00E87184"/>
    <w:rsid w:val="00E8757E"/>
    <w:rsid w:val="00E906E9"/>
    <w:rsid w:val="00E90B31"/>
    <w:rsid w:val="00E90BA3"/>
    <w:rsid w:val="00E91079"/>
    <w:rsid w:val="00E940B3"/>
    <w:rsid w:val="00E971AF"/>
    <w:rsid w:val="00EA0976"/>
    <w:rsid w:val="00EA1766"/>
    <w:rsid w:val="00EB1E1D"/>
    <w:rsid w:val="00EC5D1C"/>
    <w:rsid w:val="00EC7B24"/>
    <w:rsid w:val="00ED5A5F"/>
    <w:rsid w:val="00ED7AD4"/>
    <w:rsid w:val="00EE18F7"/>
    <w:rsid w:val="00EE62C1"/>
    <w:rsid w:val="00EF0089"/>
    <w:rsid w:val="00EF1DFB"/>
    <w:rsid w:val="00EF4D13"/>
    <w:rsid w:val="00EF7F34"/>
    <w:rsid w:val="00F02B6C"/>
    <w:rsid w:val="00F02D24"/>
    <w:rsid w:val="00F04CA1"/>
    <w:rsid w:val="00F1079F"/>
    <w:rsid w:val="00F10B35"/>
    <w:rsid w:val="00F20C6B"/>
    <w:rsid w:val="00F21727"/>
    <w:rsid w:val="00F27834"/>
    <w:rsid w:val="00F36332"/>
    <w:rsid w:val="00F37784"/>
    <w:rsid w:val="00F37BA3"/>
    <w:rsid w:val="00F43F37"/>
    <w:rsid w:val="00F4576A"/>
    <w:rsid w:val="00F45A16"/>
    <w:rsid w:val="00F469CD"/>
    <w:rsid w:val="00F60C94"/>
    <w:rsid w:val="00F66326"/>
    <w:rsid w:val="00F6798D"/>
    <w:rsid w:val="00F72DF8"/>
    <w:rsid w:val="00F76512"/>
    <w:rsid w:val="00F80565"/>
    <w:rsid w:val="00F84209"/>
    <w:rsid w:val="00F8792A"/>
    <w:rsid w:val="00FA0E6F"/>
    <w:rsid w:val="00FB4152"/>
    <w:rsid w:val="00FB5C8A"/>
    <w:rsid w:val="00FC6DAF"/>
    <w:rsid w:val="00FD08A3"/>
    <w:rsid w:val="00FD51AA"/>
    <w:rsid w:val="00FE4BB0"/>
    <w:rsid w:val="00FE4C33"/>
    <w:rsid w:val="00FE7493"/>
    <w:rsid w:val="00FF3B73"/>
    <w:rsid w:val="00FF4664"/>
    <w:rsid w:val="00FF6442"/>
    <w:rsid w:val="00FF70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13F5C0"/>
  <w15:chartTrackingRefBased/>
  <w15:docId w15:val="{F687F77A-1E6C-4598-ADC8-77D85E049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71E1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7C3954"/>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7C3954"/>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45"/>
    <w:rsid w:val="007C3954"/>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CommentReference">
    <w:name w:val="annotation reference"/>
    <w:basedOn w:val="DefaultParagraphFont"/>
    <w:uiPriority w:val="99"/>
    <w:semiHidden/>
    <w:unhideWhenUsed/>
    <w:rsid w:val="004356AF"/>
    <w:rPr>
      <w:sz w:val="16"/>
      <w:szCs w:val="16"/>
    </w:rPr>
  </w:style>
  <w:style w:type="paragraph" w:styleId="CommentText">
    <w:name w:val="annotation text"/>
    <w:basedOn w:val="Normal"/>
    <w:link w:val="CommentTextChar"/>
    <w:uiPriority w:val="99"/>
    <w:semiHidden/>
    <w:unhideWhenUsed/>
    <w:rsid w:val="004356AF"/>
    <w:pPr>
      <w:spacing w:line="240" w:lineRule="auto"/>
    </w:pPr>
    <w:rPr>
      <w:sz w:val="20"/>
      <w:szCs w:val="20"/>
    </w:rPr>
  </w:style>
  <w:style w:type="character" w:customStyle="1" w:styleId="CommentTextChar">
    <w:name w:val="Comment Text Char"/>
    <w:basedOn w:val="DefaultParagraphFont"/>
    <w:link w:val="CommentText"/>
    <w:uiPriority w:val="99"/>
    <w:semiHidden/>
    <w:rsid w:val="004356AF"/>
    <w:rPr>
      <w:sz w:val="20"/>
      <w:szCs w:val="20"/>
    </w:rPr>
  </w:style>
  <w:style w:type="paragraph" w:styleId="CommentSubject">
    <w:name w:val="annotation subject"/>
    <w:basedOn w:val="CommentText"/>
    <w:next w:val="CommentText"/>
    <w:link w:val="CommentSubjectChar"/>
    <w:uiPriority w:val="99"/>
    <w:semiHidden/>
    <w:unhideWhenUsed/>
    <w:rsid w:val="004356AF"/>
    <w:rPr>
      <w:b/>
      <w:bCs/>
    </w:rPr>
  </w:style>
  <w:style w:type="character" w:customStyle="1" w:styleId="CommentSubjectChar">
    <w:name w:val="Comment Subject Char"/>
    <w:basedOn w:val="CommentTextChar"/>
    <w:link w:val="CommentSubject"/>
    <w:uiPriority w:val="99"/>
    <w:semiHidden/>
    <w:rsid w:val="004356AF"/>
    <w:rPr>
      <w:b/>
      <w:bCs/>
      <w:sz w:val="20"/>
      <w:szCs w:val="20"/>
    </w:rPr>
  </w:style>
  <w:style w:type="paragraph" w:styleId="BalloonText">
    <w:name w:val="Balloon Text"/>
    <w:basedOn w:val="Normal"/>
    <w:link w:val="BalloonTextChar"/>
    <w:uiPriority w:val="99"/>
    <w:semiHidden/>
    <w:unhideWhenUsed/>
    <w:rsid w:val="004356AF"/>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56AF"/>
    <w:rPr>
      <w:rFonts w:ascii="Segoe UI" w:hAnsi="Segoe UI" w:cs="Segoe UI"/>
      <w:sz w:val="18"/>
      <w:szCs w:val="18"/>
    </w:rPr>
  </w:style>
  <w:style w:type="table" w:styleId="TableGridLight">
    <w:name w:val="Grid Table Light"/>
    <w:basedOn w:val="TableNormal"/>
    <w:uiPriority w:val="40"/>
    <w:rsid w:val="00F1079F"/>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Paragraph">
    <w:name w:val="List Paragraph"/>
    <w:basedOn w:val="Normal"/>
    <w:uiPriority w:val="34"/>
    <w:qFormat/>
    <w:rsid w:val="00584FBB"/>
    <w:pPr>
      <w:spacing w:after="160"/>
      <w:ind w:left="720"/>
      <w:contextualSpacing/>
    </w:pPr>
    <w:rPr>
      <w:rFonts w:ascii="Times New Roman" w:hAnsi="Times New Roman"/>
    </w:rPr>
  </w:style>
  <w:style w:type="character" w:styleId="Hyperlink">
    <w:name w:val="Hyperlink"/>
    <w:basedOn w:val="DefaultParagraphFont"/>
    <w:uiPriority w:val="99"/>
    <w:unhideWhenUsed/>
    <w:rsid w:val="004E010C"/>
    <w:rPr>
      <w:color w:val="0563C1" w:themeColor="hyperlink"/>
      <w:u w:val="single"/>
    </w:rPr>
  </w:style>
  <w:style w:type="character" w:styleId="UnresolvedMention">
    <w:name w:val="Unresolved Mention"/>
    <w:basedOn w:val="DefaultParagraphFont"/>
    <w:uiPriority w:val="99"/>
    <w:semiHidden/>
    <w:unhideWhenUsed/>
    <w:rsid w:val="004E01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8718997">
      <w:bodyDiv w:val="1"/>
      <w:marLeft w:val="0"/>
      <w:marRight w:val="0"/>
      <w:marTop w:val="0"/>
      <w:marBottom w:val="0"/>
      <w:divBdr>
        <w:top w:val="none" w:sz="0" w:space="0" w:color="auto"/>
        <w:left w:val="none" w:sz="0" w:space="0" w:color="auto"/>
        <w:bottom w:val="none" w:sz="0" w:space="0" w:color="auto"/>
        <w:right w:val="none" w:sz="0" w:space="0" w:color="auto"/>
      </w:divBdr>
    </w:div>
    <w:div w:id="497237156">
      <w:bodyDiv w:val="1"/>
      <w:marLeft w:val="0"/>
      <w:marRight w:val="0"/>
      <w:marTop w:val="0"/>
      <w:marBottom w:val="0"/>
      <w:divBdr>
        <w:top w:val="none" w:sz="0" w:space="0" w:color="auto"/>
        <w:left w:val="none" w:sz="0" w:space="0" w:color="auto"/>
        <w:bottom w:val="none" w:sz="0" w:space="0" w:color="auto"/>
        <w:right w:val="none" w:sz="0" w:space="0" w:color="auto"/>
      </w:divBdr>
    </w:div>
    <w:div w:id="717708298">
      <w:bodyDiv w:val="1"/>
      <w:marLeft w:val="0"/>
      <w:marRight w:val="0"/>
      <w:marTop w:val="0"/>
      <w:marBottom w:val="0"/>
      <w:divBdr>
        <w:top w:val="none" w:sz="0" w:space="0" w:color="auto"/>
        <w:left w:val="none" w:sz="0" w:space="0" w:color="auto"/>
        <w:bottom w:val="none" w:sz="0" w:space="0" w:color="auto"/>
        <w:right w:val="none" w:sz="0" w:space="0" w:color="auto"/>
      </w:divBdr>
    </w:div>
    <w:div w:id="784347450">
      <w:bodyDiv w:val="1"/>
      <w:marLeft w:val="0"/>
      <w:marRight w:val="0"/>
      <w:marTop w:val="0"/>
      <w:marBottom w:val="0"/>
      <w:divBdr>
        <w:top w:val="none" w:sz="0" w:space="0" w:color="auto"/>
        <w:left w:val="none" w:sz="0" w:space="0" w:color="auto"/>
        <w:bottom w:val="none" w:sz="0" w:space="0" w:color="auto"/>
        <w:right w:val="none" w:sz="0" w:space="0" w:color="auto"/>
      </w:divBdr>
    </w:div>
    <w:div w:id="794059276">
      <w:bodyDiv w:val="1"/>
      <w:marLeft w:val="0"/>
      <w:marRight w:val="0"/>
      <w:marTop w:val="0"/>
      <w:marBottom w:val="0"/>
      <w:divBdr>
        <w:top w:val="none" w:sz="0" w:space="0" w:color="auto"/>
        <w:left w:val="none" w:sz="0" w:space="0" w:color="auto"/>
        <w:bottom w:val="none" w:sz="0" w:space="0" w:color="auto"/>
        <w:right w:val="none" w:sz="0" w:space="0" w:color="auto"/>
      </w:divBdr>
    </w:div>
    <w:div w:id="976295533">
      <w:bodyDiv w:val="1"/>
      <w:marLeft w:val="0"/>
      <w:marRight w:val="0"/>
      <w:marTop w:val="0"/>
      <w:marBottom w:val="0"/>
      <w:divBdr>
        <w:top w:val="none" w:sz="0" w:space="0" w:color="auto"/>
        <w:left w:val="none" w:sz="0" w:space="0" w:color="auto"/>
        <w:bottom w:val="none" w:sz="0" w:space="0" w:color="auto"/>
        <w:right w:val="none" w:sz="0" w:space="0" w:color="auto"/>
      </w:divBdr>
    </w:div>
    <w:div w:id="989945211">
      <w:bodyDiv w:val="1"/>
      <w:marLeft w:val="0"/>
      <w:marRight w:val="0"/>
      <w:marTop w:val="0"/>
      <w:marBottom w:val="0"/>
      <w:divBdr>
        <w:top w:val="none" w:sz="0" w:space="0" w:color="auto"/>
        <w:left w:val="none" w:sz="0" w:space="0" w:color="auto"/>
        <w:bottom w:val="none" w:sz="0" w:space="0" w:color="auto"/>
        <w:right w:val="none" w:sz="0" w:space="0" w:color="auto"/>
      </w:divBdr>
    </w:div>
    <w:div w:id="1014890539">
      <w:bodyDiv w:val="1"/>
      <w:marLeft w:val="0"/>
      <w:marRight w:val="0"/>
      <w:marTop w:val="0"/>
      <w:marBottom w:val="0"/>
      <w:divBdr>
        <w:top w:val="none" w:sz="0" w:space="0" w:color="auto"/>
        <w:left w:val="none" w:sz="0" w:space="0" w:color="auto"/>
        <w:bottom w:val="none" w:sz="0" w:space="0" w:color="auto"/>
        <w:right w:val="none" w:sz="0" w:space="0" w:color="auto"/>
      </w:divBdr>
    </w:div>
    <w:div w:id="1026903512">
      <w:bodyDiv w:val="1"/>
      <w:marLeft w:val="0"/>
      <w:marRight w:val="0"/>
      <w:marTop w:val="0"/>
      <w:marBottom w:val="0"/>
      <w:divBdr>
        <w:top w:val="none" w:sz="0" w:space="0" w:color="auto"/>
        <w:left w:val="none" w:sz="0" w:space="0" w:color="auto"/>
        <w:bottom w:val="none" w:sz="0" w:space="0" w:color="auto"/>
        <w:right w:val="none" w:sz="0" w:space="0" w:color="auto"/>
      </w:divBdr>
    </w:div>
    <w:div w:id="1104762188">
      <w:bodyDiv w:val="1"/>
      <w:marLeft w:val="0"/>
      <w:marRight w:val="0"/>
      <w:marTop w:val="0"/>
      <w:marBottom w:val="0"/>
      <w:divBdr>
        <w:top w:val="none" w:sz="0" w:space="0" w:color="auto"/>
        <w:left w:val="none" w:sz="0" w:space="0" w:color="auto"/>
        <w:bottom w:val="none" w:sz="0" w:space="0" w:color="auto"/>
        <w:right w:val="none" w:sz="0" w:space="0" w:color="auto"/>
      </w:divBdr>
    </w:div>
    <w:div w:id="1593706696">
      <w:bodyDiv w:val="1"/>
      <w:marLeft w:val="0"/>
      <w:marRight w:val="0"/>
      <w:marTop w:val="0"/>
      <w:marBottom w:val="0"/>
      <w:divBdr>
        <w:top w:val="none" w:sz="0" w:space="0" w:color="auto"/>
        <w:left w:val="none" w:sz="0" w:space="0" w:color="auto"/>
        <w:bottom w:val="none" w:sz="0" w:space="0" w:color="auto"/>
        <w:right w:val="none" w:sz="0" w:space="0" w:color="auto"/>
      </w:divBdr>
    </w:div>
    <w:div w:id="1611470042">
      <w:bodyDiv w:val="1"/>
      <w:marLeft w:val="0"/>
      <w:marRight w:val="0"/>
      <w:marTop w:val="0"/>
      <w:marBottom w:val="0"/>
      <w:divBdr>
        <w:top w:val="none" w:sz="0" w:space="0" w:color="auto"/>
        <w:left w:val="none" w:sz="0" w:space="0" w:color="auto"/>
        <w:bottom w:val="none" w:sz="0" w:space="0" w:color="auto"/>
        <w:right w:val="none" w:sz="0" w:space="0" w:color="auto"/>
      </w:divBdr>
    </w:div>
    <w:div w:id="1886717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ink/ink2.xml"/><Relationship Id="rId13" Type="http://schemas.openxmlformats.org/officeDocument/2006/relationships/hyperlink" Target="https://www.soybeanresearchdata.com/download.aspx?file=Progress5File&amp;name=53031_2019-ISA__Project_Progress_Report.pdf" TargetMode="External"/><Relationship Id="rId18" Type="http://schemas.openxmlformats.org/officeDocument/2006/relationships/chart" Target="charts/chart4.xml"/><Relationship Id="rId26" Type="http://schemas.openxmlformats.org/officeDocument/2006/relationships/chart" Target="charts/chart11.xml"/><Relationship Id="rId3" Type="http://schemas.openxmlformats.org/officeDocument/2006/relationships/styles" Target="styles.xml"/><Relationship Id="rId21" Type="http://schemas.openxmlformats.org/officeDocument/2006/relationships/image" Target="media/image2.emf"/><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2.png"/><Relationship Id="rId17" Type="http://schemas.openxmlformats.org/officeDocument/2006/relationships/chart" Target="charts/chart3.xml"/><Relationship Id="rId25" Type="http://schemas.openxmlformats.org/officeDocument/2006/relationships/chart" Target="charts/chart10.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chart" Target="charts/chart6.xml"/><Relationship Id="rId29" Type="http://schemas.openxmlformats.org/officeDocument/2006/relationships/chart" Target="charts/chart14.xml"/><Relationship Id="rId1" Type="http://schemas.openxmlformats.org/officeDocument/2006/relationships/customXml" Target="../customXml/item1.xml"/><Relationship Id="rId6" Type="http://schemas.openxmlformats.org/officeDocument/2006/relationships/customXml" Target="ink/ink1.xml"/><Relationship Id="rId11" Type="http://schemas.openxmlformats.org/officeDocument/2006/relationships/customXml" Target="ink/ink3.xml"/><Relationship Id="rId24" Type="http://schemas.openxmlformats.org/officeDocument/2006/relationships/chart" Target="charts/chart9.xml"/><Relationship Id="rId32"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chart" Target="charts/chart8.xml"/><Relationship Id="rId28" Type="http://schemas.openxmlformats.org/officeDocument/2006/relationships/chart" Target="charts/chart13.xml"/><Relationship Id="rId10" Type="http://schemas.openxmlformats.org/officeDocument/2006/relationships/image" Target="media/image1.jpeg"/><Relationship Id="rId19" Type="http://schemas.openxmlformats.org/officeDocument/2006/relationships/chart" Target="charts/chart5.xml"/><Relationship Id="rId31" Type="http://schemas.openxmlformats.org/officeDocument/2006/relationships/hyperlink" Target="https://www.soybeanresearchdata.com/download.aspx?file=Progress5File&amp;name=53031_2019-ISA__Project_Progress_Report.pdf" TargetMode="External"/><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hyperlink" Target="https://www.soybeanresearchdata.com/download.aspx?file=Progress5File&amp;name=53031_2019-ISA__Project_Progress_Report.pdf" TargetMode="External"/><Relationship Id="rId22" Type="http://schemas.openxmlformats.org/officeDocument/2006/relationships/chart" Target="charts/chart7.xml"/><Relationship Id="rId27" Type="http://schemas.openxmlformats.org/officeDocument/2006/relationships/chart" Target="charts/chart12.xml"/><Relationship Id="rId30" Type="http://schemas.openxmlformats.org/officeDocument/2006/relationships/chart" Target="charts/chart15.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amcle\AppData\Local\Box\Box%20Edit\Documents\Xz2ollYLUU28Hv4ObRipeg==\Master%20Yield.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amcle\AppData\Local\Box\Box%20Edit\Documents\3yQ4MZTmSEym0rPp207iOA==\Master%20File_SAS.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amcle\AppData\Local\Box\Box%20Edit\Documents\3yQ4MZTmSEym0rPp207iOA==\Master%20File_SAS.xlsx" TargetMode="External"/><Relationship Id="rId2" Type="http://schemas.microsoft.com/office/2011/relationships/chartColorStyle" Target="colors15.xml"/><Relationship Id="rId1" Type="http://schemas.microsoft.com/office/2011/relationships/chartStyle" Target="style15.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amcle\AppData\Local\Box\Box%20Edit\Documents\Xz2ollYLUU28Hv4ObRipeg==\Master%20Yield.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amcle\AppData\Local\Box\Box%20Edit\Documents\djGK7VR+d0qkwJ5S9AVVsQ==\Master%20File.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amcle\AppData\Local\Box\Box%20Edit\Documents\djGK7VR+d0qkwJ5S9AVVsQ==\Master%20File.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amcle\AppData\Local\Box\Box%20Edit\Documents\9nsKpZjplkCGhC9TpWIS7Q==\Economics.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amcle\AppData\Local\Box\Box%20Edit\Documents\9nsKpZjplkCGhC9TpWIS7Q==\Economics.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amcle\AppData\Local\Box\Box%20Edit\Documents\3yQ4MZTmSEym0rPp207iOA==\Master%20File_SAS.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amcle\AppData\Local\Box\Box%20Edit\Documents\3yQ4MZTmSEym0rPp207iOA==\Master%20File_SAS.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amcle\AppData\Local\Box\Box%20Edit\Documents\3yQ4MZTmSEym0rPp207iOA==\Master%20File_SAS.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[Master Yield.xlsx]English Graphs!PivotTable1</c:name>
    <c:fmtId val="-1"/>
  </c:pivotSource>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2018 Soybeans following Corn</a:t>
            </a:r>
          </a:p>
        </c:rich>
      </c:tx>
      <c:overlay val="1"/>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ivotFmts>
      <c:pivotFmt>
        <c:idx val="0"/>
        <c:spPr>
          <a:solidFill>
            <a:schemeClr val="bg1">
              <a:lumMod val="65000"/>
            </a:schemeClr>
          </a:solidFill>
          <a:ln>
            <a:solidFill>
              <a:sysClr val="windowText" lastClr="000000"/>
            </a:solidFill>
          </a:ln>
          <a:effectLst/>
        </c:spPr>
        <c:marker>
          <c:symbol val="none"/>
        </c:marker>
        <c:dLbl>
          <c:idx val="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bg1"/>
          </a:solidFill>
          <a:ln>
            <a:solidFill>
              <a:sysClr val="windowText" lastClr="000000"/>
            </a:solidFill>
          </a:ln>
          <a:effectLst/>
        </c:spPr>
        <c:marker>
          <c:symbol val="none"/>
        </c:marker>
        <c:dLbl>
          <c:idx val="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bg1">
              <a:lumMod val="65000"/>
            </a:schemeClr>
          </a:solidFill>
          <a:ln>
            <a:solidFill>
              <a:sysClr val="windowText" lastClr="000000"/>
            </a:solidFill>
          </a:ln>
          <a:effectLst/>
        </c:spPr>
        <c:dLbl>
          <c:idx val="0"/>
          <c:tx>
            <c:rich>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r>
                  <a:rPr lang="en-US"/>
                  <a:t>Aa</a:t>
                </a:r>
              </a:p>
            </c:rich>
          </c:tx>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3"/>
        <c:spPr>
          <a:solidFill>
            <a:schemeClr val="bg1"/>
          </a:solidFill>
          <a:ln>
            <a:solidFill>
              <a:sysClr val="windowText" lastClr="000000"/>
            </a:solidFill>
          </a:ln>
          <a:effectLst/>
        </c:spPr>
        <c:dLbl>
          <c:idx val="0"/>
          <c:tx>
            <c:rich>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r>
                  <a:rPr lang="en-US"/>
                  <a:t>Aa</a:t>
                </a:r>
              </a:p>
            </c:rich>
          </c:tx>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4"/>
        <c:spPr>
          <a:solidFill>
            <a:schemeClr val="bg1">
              <a:lumMod val="65000"/>
            </a:schemeClr>
          </a:solidFill>
          <a:ln>
            <a:solidFill>
              <a:sysClr val="windowText" lastClr="000000"/>
            </a:solidFill>
          </a:ln>
          <a:effectLst/>
        </c:spPr>
        <c:dLbl>
          <c:idx val="0"/>
          <c:tx>
            <c:rich>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r>
                  <a:rPr lang="en-US"/>
                  <a:t>Aa</a:t>
                </a:r>
              </a:p>
            </c:rich>
          </c:tx>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15:layout>
                <c:manualLayout>
                  <c:w val="6.1673282808478981E-2"/>
                  <c:h val="0.10184168184489692"/>
                </c:manualLayout>
              </c15:layout>
            </c:ext>
          </c:extLst>
        </c:dLbl>
      </c:pivotFmt>
      <c:pivotFmt>
        <c:idx val="5"/>
        <c:spPr>
          <a:solidFill>
            <a:schemeClr val="bg1"/>
          </a:solidFill>
          <a:ln>
            <a:solidFill>
              <a:sysClr val="windowText" lastClr="000000"/>
            </a:solidFill>
          </a:ln>
          <a:effectLst/>
        </c:spPr>
        <c:dLbl>
          <c:idx val="0"/>
          <c:tx>
            <c:rich>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r>
                  <a:rPr lang="en-US"/>
                  <a:t>Aa</a:t>
                </a:r>
              </a:p>
            </c:rich>
          </c:tx>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15:layout>
                <c:manualLayout>
                  <c:w val="7.5554503500850453E-2"/>
                  <c:h val="8.7944508778157307E-2"/>
                </c:manualLayout>
              </c15:layout>
            </c:ext>
          </c:extLst>
        </c:dLbl>
      </c:pivotFmt>
      <c:pivotFmt>
        <c:idx val="6"/>
        <c:spPr>
          <a:solidFill>
            <a:schemeClr val="accent1"/>
          </a:solidFill>
          <a:ln w="28575" cap="rnd">
            <a:solidFill>
              <a:schemeClr val="tx1"/>
            </a:solidFill>
            <a:prstDash val="dash"/>
            <a:round/>
          </a:ln>
          <a:effectLst/>
        </c:spPr>
        <c:marker>
          <c:symbol val="none"/>
        </c:marker>
        <c:dLbl>
          <c:idx val="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bg1">
              <a:lumMod val="65000"/>
            </a:schemeClr>
          </a:solidFill>
          <a:ln>
            <a:solidFill>
              <a:sysClr val="windowText" lastClr="000000"/>
            </a:solidFill>
          </a:ln>
          <a:effectLst/>
        </c:spPr>
        <c:marker>
          <c:symbol val="none"/>
        </c:marker>
        <c:dLbl>
          <c:idx val="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8"/>
        <c:spPr>
          <a:solidFill>
            <a:schemeClr val="bg1">
              <a:lumMod val="65000"/>
            </a:schemeClr>
          </a:solidFill>
          <a:ln>
            <a:solidFill>
              <a:sysClr val="windowText" lastClr="000000"/>
            </a:solidFill>
          </a:ln>
          <a:effectLst/>
        </c:spPr>
        <c:dLbl>
          <c:idx val="0"/>
          <c:tx>
            <c:rich>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r>
                  <a:rPr lang="en-US"/>
                  <a:t>Aa</a:t>
                </a:r>
              </a:p>
            </c:rich>
          </c:tx>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9"/>
        <c:spPr>
          <a:solidFill>
            <a:schemeClr val="bg1">
              <a:lumMod val="65000"/>
            </a:schemeClr>
          </a:solidFill>
          <a:ln>
            <a:solidFill>
              <a:sysClr val="windowText" lastClr="000000"/>
            </a:solidFill>
          </a:ln>
          <a:effectLst/>
        </c:spPr>
        <c:dLbl>
          <c:idx val="0"/>
          <c:tx>
            <c:rich>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r>
                  <a:rPr lang="en-US"/>
                  <a:t>Aa</a:t>
                </a:r>
              </a:p>
            </c:rich>
          </c:tx>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15:layout>
                <c:manualLayout>
                  <c:w val="6.1673282808478981E-2"/>
                  <c:h val="0.10184168184489692"/>
                </c:manualLayout>
              </c15:layout>
            </c:ext>
          </c:extLst>
        </c:dLbl>
      </c:pivotFmt>
      <c:pivotFmt>
        <c:idx val="10"/>
        <c:spPr>
          <a:solidFill>
            <a:schemeClr val="bg1"/>
          </a:solidFill>
          <a:ln>
            <a:solidFill>
              <a:sysClr val="windowText" lastClr="000000"/>
            </a:solidFill>
          </a:ln>
          <a:effectLst/>
        </c:spPr>
        <c:marker>
          <c:symbol val="none"/>
        </c:marker>
        <c:dLbl>
          <c:idx val="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1"/>
        <c:spPr>
          <a:solidFill>
            <a:schemeClr val="bg1"/>
          </a:solidFill>
          <a:ln>
            <a:solidFill>
              <a:sysClr val="windowText" lastClr="000000"/>
            </a:solidFill>
          </a:ln>
          <a:effectLst/>
        </c:spPr>
        <c:dLbl>
          <c:idx val="0"/>
          <c:tx>
            <c:rich>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r>
                  <a:rPr lang="en-US"/>
                  <a:t>Aa</a:t>
                </a:r>
              </a:p>
            </c:rich>
          </c:tx>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2"/>
        <c:spPr>
          <a:solidFill>
            <a:schemeClr val="bg1"/>
          </a:solidFill>
          <a:ln>
            <a:solidFill>
              <a:sysClr val="windowText" lastClr="000000"/>
            </a:solidFill>
          </a:ln>
          <a:effectLst/>
        </c:spPr>
        <c:dLbl>
          <c:idx val="0"/>
          <c:tx>
            <c:rich>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r>
                  <a:rPr lang="en-US"/>
                  <a:t>Aa</a:t>
                </a:r>
              </a:p>
            </c:rich>
          </c:tx>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15:layout>
                <c:manualLayout>
                  <c:w val="7.5554503500850453E-2"/>
                  <c:h val="8.7944508778157307E-2"/>
                </c:manualLayout>
              </c15:layout>
            </c:ext>
          </c:extLst>
        </c:dLbl>
      </c:pivotFmt>
      <c:pivotFmt>
        <c:idx val="13"/>
        <c:spPr>
          <a:solidFill>
            <a:schemeClr val="accent1"/>
          </a:solidFill>
          <a:ln w="28575" cap="rnd">
            <a:solidFill>
              <a:schemeClr val="tx1"/>
            </a:solidFill>
            <a:prstDash val="dash"/>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
        <c:spPr>
          <a:solidFill>
            <a:schemeClr val="bg1">
              <a:lumMod val="65000"/>
            </a:schemeClr>
          </a:solidFill>
          <a:ln>
            <a:solidFill>
              <a:sysClr val="windowText" lastClr="000000"/>
            </a:solidFill>
          </a:ln>
          <a:effectLst/>
        </c:spPr>
        <c:marker>
          <c:symbol val="none"/>
        </c:marker>
        <c:dLbl>
          <c:idx val="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5"/>
        <c:spPr>
          <a:solidFill>
            <a:schemeClr val="bg1">
              <a:lumMod val="65000"/>
            </a:schemeClr>
          </a:solidFill>
          <a:ln>
            <a:solidFill>
              <a:sysClr val="windowText" lastClr="000000"/>
            </a:solidFill>
          </a:ln>
          <a:effectLst/>
        </c:spPr>
        <c:dLbl>
          <c:idx val="0"/>
          <c:tx>
            <c:rich>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r>
                  <a:rPr lang="en-US"/>
                  <a:t>Aa</a:t>
                </a:r>
              </a:p>
            </c:rich>
          </c:tx>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6"/>
        <c:spPr>
          <a:solidFill>
            <a:schemeClr val="bg1">
              <a:lumMod val="65000"/>
            </a:schemeClr>
          </a:solidFill>
          <a:ln>
            <a:solidFill>
              <a:sysClr val="windowText" lastClr="000000"/>
            </a:solidFill>
          </a:ln>
          <a:effectLst/>
        </c:spPr>
        <c:dLbl>
          <c:idx val="0"/>
          <c:tx>
            <c:rich>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r>
                  <a:rPr lang="en-US"/>
                  <a:t>Aa</a:t>
                </a:r>
              </a:p>
            </c:rich>
          </c:tx>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15:layout>
                <c:manualLayout>
                  <c:w val="6.1673282808478981E-2"/>
                  <c:h val="0.10184168184489692"/>
                </c:manualLayout>
              </c15:layout>
            </c:ext>
          </c:extLst>
        </c:dLbl>
      </c:pivotFmt>
      <c:pivotFmt>
        <c:idx val="17"/>
        <c:spPr>
          <a:solidFill>
            <a:schemeClr val="bg1"/>
          </a:solidFill>
          <a:ln>
            <a:solidFill>
              <a:sysClr val="windowText" lastClr="000000"/>
            </a:solidFill>
          </a:ln>
          <a:effectLst/>
        </c:spPr>
        <c:marker>
          <c:symbol val="none"/>
        </c:marker>
        <c:dLbl>
          <c:idx val="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8"/>
        <c:spPr>
          <a:solidFill>
            <a:schemeClr val="bg1"/>
          </a:solidFill>
          <a:ln>
            <a:solidFill>
              <a:sysClr val="windowText" lastClr="000000"/>
            </a:solidFill>
          </a:ln>
          <a:effectLst/>
        </c:spPr>
        <c:dLbl>
          <c:idx val="0"/>
          <c:tx>
            <c:rich>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r>
                  <a:rPr lang="en-US"/>
                  <a:t>Aa</a:t>
                </a:r>
              </a:p>
            </c:rich>
          </c:tx>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9"/>
        <c:spPr>
          <a:solidFill>
            <a:schemeClr val="bg1"/>
          </a:solidFill>
          <a:ln>
            <a:solidFill>
              <a:sysClr val="windowText" lastClr="000000"/>
            </a:solidFill>
          </a:ln>
          <a:effectLst/>
        </c:spPr>
        <c:dLbl>
          <c:idx val="0"/>
          <c:tx>
            <c:rich>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r>
                  <a:rPr lang="en-US"/>
                  <a:t>Aa</a:t>
                </a:r>
              </a:p>
            </c:rich>
          </c:tx>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15:layout>
                <c:manualLayout>
                  <c:w val="7.5554503500850453E-2"/>
                  <c:h val="8.7944508778157307E-2"/>
                </c:manualLayout>
              </c15:layout>
            </c:ext>
          </c:extLst>
        </c:dLbl>
      </c:pivotFmt>
      <c:pivotFmt>
        <c:idx val="20"/>
        <c:spPr>
          <a:solidFill>
            <a:schemeClr val="accent1"/>
          </a:solidFill>
          <a:ln w="28575" cap="rnd">
            <a:solidFill>
              <a:schemeClr val="tx1"/>
            </a:solidFill>
            <a:prstDash val="dash"/>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'English Graphs'!$B$24:$B$25</c:f>
              <c:strCache>
                <c:ptCount val="1"/>
                <c:pt idx="0">
                  <c:v>CC</c:v>
                </c:pt>
              </c:strCache>
            </c:strRef>
          </c:tx>
          <c:spPr>
            <a:solidFill>
              <a:schemeClr val="bg1">
                <a:lumMod val="65000"/>
              </a:schemeClr>
            </a:solidFill>
            <a:ln>
              <a:solidFill>
                <a:sysClr val="windowText" lastClr="000000"/>
              </a:solidFill>
            </a:ln>
            <a:effectLst/>
          </c:spPr>
          <c:invertIfNegative val="0"/>
          <c:dPt>
            <c:idx val="0"/>
            <c:invertIfNegative val="0"/>
            <c:bubble3D val="0"/>
            <c:extLst>
              <c:ext xmlns:c16="http://schemas.microsoft.com/office/drawing/2014/chart" uri="{C3380CC4-5D6E-409C-BE32-E72D297353CC}">
                <c16:uniqueId val="{00000000-BC17-4109-91CB-5C5090643556}"/>
              </c:ext>
            </c:extLst>
          </c:dPt>
          <c:dPt>
            <c:idx val="1"/>
            <c:invertIfNegative val="0"/>
            <c:bubble3D val="0"/>
            <c:extLst>
              <c:ext xmlns:c16="http://schemas.microsoft.com/office/drawing/2014/chart" uri="{C3380CC4-5D6E-409C-BE32-E72D297353CC}">
                <c16:uniqueId val="{00000001-BC17-4109-91CB-5C5090643556}"/>
              </c:ext>
            </c:extLst>
          </c:dPt>
          <c:dLbls>
            <c:dLbl>
              <c:idx val="0"/>
              <c:tx>
                <c:rich>
                  <a:bodyPr/>
                  <a:lstStyle/>
                  <a:p>
                    <a:r>
                      <a:rPr lang="en-US"/>
                      <a:t>Aa</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C17-4109-91CB-5C5090643556}"/>
                </c:ext>
              </c:extLst>
            </c:dLbl>
            <c:dLbl>
              <c:idx val="1"/>
              <c:tx>
                <c:rich>
                  <a:bodyPr/>
                  <a:lstStyle/>
                  <a:p>
                    <a:r>
                      <a:rPr lang="en-US"/>
                      <a:t>Aa</a:t>
                    </a:r>
                  </a:p>
                </c:rich>
              </c:tx>
              <c:dLblPos val="outEnd"/>
              <c:showLegendKey val="0"/>
              <c:showVal val="1"/>
              <c:showCatName val="0"/>
              <c:showSerName val="0"/>
              <c:showPercent val="0"/>
              <c:showBubbleSize val="0"/>
              <c:extLst>
                <c:ext xmlns:c15="http://schemas.microsoft.com/office/drawing/2012/chart" uri="{CE6537A1-D6FC-4f65-9D91-7224C49458BB}">
                  <c15:layout>
                    <c:manualLayout>
                      <c:w val="6.1673282808478981E-2"/>
                      <c:h val="0.10184168184489692"/>
                    </c:manualLayout>
                  </c15:layout>
                </c:ext>
                <c:ext xmlns:c16="http://schemas.microsoft.com/office/drawing/2014/chart" uri="{C3380CC4-5D6E-409C-BE32-E72D297353CC}">
                  <c16:uniqueId val="{00000001-BC17-4109-91CB-5C5090643556}"/>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'English Graphs'!$C$30:$C$31</c:f>
                <c:numCache>
                  <c:formatCode>General</c:formatCode>
                  <c:ptCount val="2"/>
                  <c:pt idx="0">
                    <c:v>2.0552693729636409</c:v>
                  </c:pt>
                  <c:pt idx="1">
                    <c:v>3.3167181133550363</c:v>
                  </c:pt>
                </c:numCache>
              </c:numRef>
            </c:plus>
            <c:minus>
              <c:numRef>
                <c:f>'English Graphs'!$C$30:$C$31</c:f>
                <c:numCache>
                  <c:formatCode>General</c:formatCode>
                  <c:ptCount val="2"/>
                  <c:pt idx="0">
                    <c:v>2.0552693729636409</c:v>
                  </c:pt>
                  <c:pt idx="1">
                    <c:v>3.3167181133550363</c:v>
                  </c:pt>
                </c:numCache>
              </c:numRef>
            </c:minus>
            <c:spPr>
              <a:noFill/>
              <a:ln w="9525" cap="flat" cmpd="sng" algn="ctr">
                <a:solidFill>
                  <a:schemeClr val="tx1">
                    <a:lumMod val="65000"/>
                    <a:lumOff val="35000"/>
                  </a:schemeClr>
                </a:solidFill>
                <a:round/>
              </a:ln>
              <a:effectLst/>
            </c:spPr>
          </c:errBars>
          <c:cat>
            <c:strRef>
              <c:f>'English Graphs'!$C$30:$C$31</c:f>
              <c:strCache>
                <c:ptCount val="2"/>
                <c:pt idx="0">
                  <c:v>CP</c:v>
                </c:pt>
                <c:pt idx="1">
                  <c:v>NT</c:v>
                </c:pt>
              </c:strCache>
            </c:strRef>
          </c:cat>
          <c:val>
            <c:numRef>
              <c:f>'English Graphs'!$C$30:$C$31</c:f>
              <c:numCache>
                <c:formatCode>General</c:formatCode>
                <c:ptCount val="2"/>
                <c:pt idx="0">
                  <c:v>45.624068996168582</c:v>
                </c:pt>
                <c:pt idx="1">
                  <c:v>42.264734406130266</c:v>
                </c:pt>
              </c:numCache>
            </c:numRef>
          </c:val>
          <c:extLst>
            <c:ext xmlns:c16="http://schemas.microsoft.com/office/drawing/2014/chart" uri="{C3380CC4-5D6E-409C-BE32-E72D297353CC}">
              <c16:uniqueId val="{00000002-BC17-4109-91CB-5C5090643556}"/>
            </c:ext>
          </c:extLst>
        </c:ser>
        <c:ser>
          <c:idx val="1"/>
          <c:order val="1"/>
          <c:tx>
            <c:strRef>
              <c:f>'English Graphs'!$C$24:$C$25</c:f>
              <c:strCache>
                <c:ptCount val="1"/>
                <c:pt idx="0">
                  <c:v>NC</c:v>
                </c:pt>
              </c:strCache>
            </c:strRef>
          </c:tx>
          <c:spPr>
            <a:solidFill>
              <a:schemeClr val="bg1">
                <a:lumMod val="85000"/>
              </a:schemeClr>
            </a:solidFill>
            <a:ln>
              <a:solidFill>
                <a:sysClr val="windowText" lastClr="000000"/>
              </a:solidFill>
            </a:ln>
            <a:effectLst/>
          </c:spPr>
          <c:invertIfNegative val="0"/>
          <c:dPt>
            <c:idx val="0"/>
            <c:invertIfNegative val="0"/>
            <c:bubble3D val="0"/>
            <c:spPr>
              <a:solidFill>
                <a:schemeClr val="bg1">
                  <a:lumMod val="85000"/>
                </a:schemeClr>
              </a:solidFill>
              <a:ln>
                <a:solidFill>
                  <a:sysClr val="windowText" lastClr="000000"/>
                </a:solidFill>
              </a:ln>
              <a:effectLst/>
            </c:spPr>
            <c:extLst>
              <c:ext xmlns:c16="http://schemas.microsoft.com/office/drawing/2014/chart" uri="{C3380CC4-5D6E-409C-BE32-E72D297353CC}">
                <c16:uniqueId val="{00000004-BC17-4109-91CB-5C5090643556}"/>
              </c:ext>
            </c:extLst>
          </c:dPt>
          <c:dPt>
            <c:idx val="1"/>
            <c:invertIfNegative val="0"/>
            <c:bubble3D val="0"/>
            <c:spPr>
              <a:solidFill>
                <a:schemeClr val="bg1">
                  <a:lumMod val="85000"/>
                </a:schemeClr>
              </a:solidFill>
              <a:ln>
                <a:solidFill>
                  <a:sysClr val="windowText" lastClr="000000"/>
                </a:solidFill>
              </a:ln>
              <a:effectLst/>
            </c:spPr>
            <c:extLst>
              <c:ext xmlns:c16="http://schemas.microsoft.com/office/drawing/2014/chart" uri="{C3380CC4-5D6E-409C-BE32-E72D297353CC}">
                <c16:uniqueId val="{00000006-BC17-4109-91CB-5C5090643556}"/>
              </c:ext>
            </c:extLst>
          </c:dPt>
          <c:dLbls>
            <c:dLbl>
              <c:idx val="0"/>
              <c:tx>
                <c:rich>
                  <a:bodyPr/>
                  <a:lstStyle/>
                  <a:p>
                    <a:r>
                      <a:rPr lang="en-US"/>
                      <a:t>Aa</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C17-4109-91CB-5C5090643556}"/>
                </c:ext>
              </c:extLst>
            </c:dLbl>
            <c:dLbl>
              <c:idx val="1"/>
              <c:tx>
                <c:rich>
                  <a:bodyPr/>
                  <a:lstStyle/>
                  <a:p>
                    <a:r>
                      <a:rPr lang="en-US"/>
                      <a:t>Ab</a:t>
                    </a:r>
                  </a:p>
                </c:rich>
              </c:tx>
              <c:dLblPos val="outEnd"/>
              <c:showLegendKey val="0"/>
              <c:showVal val="1"/>
              <c:showCatName val="0"/>
              <c:showSerName val="0"/>
              <c:showPercent val="0"/>
              <c:showBubbleSize val="0"/>
              <c:extLst>
                <c:ext xmlns:c15="http://schemas.microsoft.com/office/drawing/2012/chart" uri="{CE6537A1-D6FC-4f65-9D91-7224C49458BB}">
                  <c15:layout>
                    <c:manualLayout>
                      <c:w val="7.5554503500850453E-2"/>
                      <c:h val="8.7944508778157307E-2"/>
                    </c:manualLayout>
                  </c15:layout>
                </c:ext>
                <c:ext xmlns:c16="http://schemas.microsoft.com/office/drawing/2014/chart" uri="{C3380CC4-5D6E-409C-BE32-E72D297353CC}">
                  <c16:uniqueId val="{00000006-BC17-4109-91CB-5C5090643556}"/>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'English Graphs'!$E$30:$E$31</c:f>
                <c:numCache>
                  <c:formatCode>General</c:formatCode>
                  <c:ptCount val="2"/>
                  <c:pt idx="0">
                    <c:v>1.3344838755083059</c:v>
                  </c:pt>
                  <c:pt idx="1">
                    <c:v>2.5543722498098056</c:v>
                  </c:pt>
                </c:numCache>
              </c:numRef>
            </c:plus>
            <c:minus>
              <c:numRef>
                <c:f>'English Graphs'!$E$30:$E$31</c:f>
                <c:numCache>
                  <c:formatCode>General</c:formatCode>
                  <c:ptCount val="2"/>
                  <c:pt idx="0">
                    <c:v>1.3344838755083059</c:v>
                  </c:pt>
                  <c:pt idx="1">
                    <c:v>2.5543722498098056</c:v>
                  </c:pt>
                </c:numCache>
              </c:numRef>
            </c:minus>
            <c:spPr>
              <a:noFill/>
              <a:ln w="9525" cap="flat" cmpd="sng" algn="ctr">
                <a:solidFill>
                  <a:schemeClr val="tx1">
                    <a:lumMod val="65000"/>
                    <a:lumOff val="35000"/>
                  </a:schemeClr>
                </a:solidFill>
                <a:round/>
              </a:ln>
              <a:effectLst/>
            </c:spPr>
          </c:errBars>
          <c:cat>
            <c:strRef>
              <c:f>'English Graphs'!$C$30:$C$31</c:f>
              <c:strCache>
                <c:ptCount val="2"/>
                <c:pt idx="0">
                  <c:v>CP</c:v>
                </c:pt>
                <c:pt idx="1">
                  <c:v>NT</c:v>
                </c:pt>
              </c:strCache>
            </c:strRef>
          </c:cat>
          <c:val>
            <c:numRef>
              <c:f>'English Graphs'!$C$30:$C$31</c:f>
              <c:numCache>
                <c:formatCode>General</c:formatCode>
                <c:ptCount val="2"/>
                <c:pt idx="0">
                  <c:v>47.275807080459764</c:v>
                </c:pt>
                <c:pt idx="1">
                  <c:v>41.548471892720301</c:v>
                </c:pt>
              </c:numCache>
            </c:numRef>
          </c:val>
          <c:extLst>
            <c:ext xmlns:c16="http://schemas.microsoft.com/office/drawing/2014/chart" uri="{C3380CC4-5D6E-409C-BE32-E72D297353CC}">
              <c16:uniqueId val="{00000007-BC17-4109-91CB-5C5090643556}"/>
            </c:ext>
          </c:extLst>
        </c:ser>
        <c:dLbls>
          <c:dLblPos val="outEnd"/>
          <c:showLegendKey val="0"/>
          <c:showVal val="1"/>
          <c:showCatName val="0"/>
          <c:showSerName val="0"/>
          <c:showPercent val="0"/>
          <c:showBubbleSize val="0"/>
        </c:dLbls>
        <c:gapWidth val="219"/>
        <c:axId val="621232760"/>
        <c:axId val="621233080"/>
      </c:barChart>
      <c:lineChart>
        <c:grouping val="standard"/>
        <c:varyColors val="0"/>
        <c:ser>
          <c:idx val="2"/>
          <c:order val="2"/>
          <c:tx>
            <c:strRef>
              <c:f>'English Graphs'!$D$24:$D$25</c:f>
              <c:strCache>
                <c:ptCount val="1"/>
                <c:pt idx="0">
                  <c:v>County Avg</c:v>
                </c:pt>
              </c:strCache>
            </c:strRef>
          </c:tx>
          <c:spPr>
            <a:ln w="28575" cap="rnd">
              <a:solidFill>
                <a:schemeClr val="tx1"/>
              </a:solidFill>
              <a:prstDash val="dash"/>
              <a:round/>
            </a:ln>
            <a:effectLst/>
          </c:spPr>
          <c:marker>
            <c:symbol val="none"/>
          </c:marker>
          <c:cat>
            <c:strRef>
              <c:f>'English Graphs'!$C$30:$C$31</c:f>
              <c:strCache>
                <c:ptCount val="2"/>
                <c:pt idx="0">
                  <c:v>CP</c:v>
                </c:pt>
                <c:pt idx="1">
                  <c:v>NT</c:v>
                </c:pt>
              </c:strCache>
            </c:strRef>
          </c:cat>
          <c:val>
            <c:numRef>
              <c:f>'English Graphs'!$C$30:$C$31</c:f>
              <c:numCache>
                <c:formatCode>General</c:formatCode>
                <c:ptCount val="2"/>
                <c:pt idx="0">
                  <c:v>53.2</c:v>
                </c:pt>
                <c:pt idx="1">
                  <c:v>53.2</c:v>
                </c:pt>
              </c:numCache>
            </c:numRef>
          </c:val>
          <c:smooth val="0"/>
          <c:extLst>
            <c:ext xmlns:c16="http://schemas.microsoft.com/office/drawing/2014/chart" uri="{C3380CC4-5D6E-409C-BE32-E72D297353CC}">
              <c16:uniqueId val="{00000008-BC17-4109-91CB-5C5090643556}"/>
            </c:ext>
          </c:extLst>
        </c:ser>
        <c:dLbls>
          <c:showLegendKey val="0"/>
          <c:showVal val="0"/>
          <c:showCatName val="0"/>
          <c:showSerName val="0"/>
          <c:showPercent val="0"/>
          <c:showBubbleSize val="0"/>
        </c:dLbls>
        <c:marker val="1"/>
        <c:smooth val="0"/>
        <c:axId val="621232760"/>
        <c:axId val="621233080"/>
      </c:lineChart>
      <c:catAx>
        <c:axId val="62123276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Tillage</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21233080"/>
        <c:crosses val="autoZero"/>
        <c:auto val="1"/>
        <c:lblAlgn val="ctr"/>
        <c:lblOffset val="100"/>
        <c:noMultiLvlLbl val="0"/>
      </c:catAx>
      <c:valAx>
        <c:axId val="621233080"/>
        <c:scaling>
          <c:orientation val="minMax"/>
          <c:max val="7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Yield (bu*ac</a:t>
                </a:r>
                <a:r>
                  <a:rPr lang="en-US" baseline="30000"/>
                  <a:t>-1</a:t>
                </a:r>
                <a:r>
                  <a:rPr lang="en-US"/>
                  <a: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in"/>
        <c:minorTickMark val="none"/>
        <c:tickLblPos val="nextTo"/>
        <c:spPr>
          <a:noFill/>
          <a:ln>
            <a:solidFill>
              <a:schemeClr val="bg1">
                <a:lumMod val="85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21232760"/>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pivotOptions>
    </c:ext>
    <c:ext xmlns:c16="http://schemas.microsoft.com/office/drawing/2014/chart" uri="{E28EC0CA-F0BB-4C9C-879D-F8772B89E7AC}">
      <c16:pivotOptions16>
        <c16:showExpandCollapseFieldButtons val="1"/>
      </c16:pivotOptions16>
    </c:ext>
  </c:extLst>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[Master File_SAS.xlsx]SoyOnly!PivotTable25</c:name>
    <c:fmtId val="-1"/>
  </c:pivotSource>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Soil Bulk Density 6-12"</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ivotFmts>
      <c:pivotFmt>
        <c:idx val="0"/>
        <c:spPr>
          <a:solidFill>
            <a:schemeClr val="bg1">
              <a:lumMod val="65000"/>
            </a:schemeClr>
          </a:solidFill>
          <a:ln>
            <a:solidFill>
              <a:sysClr val="windowText" lastClr="000000"/>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bg1">
              <a:lumMod val="85000"/>
            </a:schemeClr>
          </a:solidFill>
          <a:ln>
            <a:solidFill>
              <a:sysClr val="windowText" lastClr="000000"/>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bg1">
              <a:lumMod val="85000"/>
            </a:schemeClr>
          </a:solidFill>
          <a:ln>
            <a:solidFill>
              <a:sysClr val="windowText" lastClr="000000"/>
            </a:solidFill>
          </a:ln>
          <a:effectLst/>
        </c:spP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bg1">
              <a:lumMod val="6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4"/>
        <c:spPr>
          <a:solidFill>
            <a:schemeClr val="bg1">
              <a:lumMod val="8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5"/>
        <c:spPr>
          <a:solidFill>
            <a:schemeClr val="bg1">
              <a:lumMod val="6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6"/>
        <c:spPr>
          <a:solidFill>
            <a:schemeClr val="bg1">
              <a:lumMod val="8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7"/>
        <c:spPr>
          <a:solidFill>
            <a:schemeClr val="bg1">
              <a:lumMod val="8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8"/>
        <c:spPr>
          <a:solidFill>
            <a:schemeClr val="bg1">
              <a:lumMod val="6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9"/>
        <c:spPr>
          <a:solidFill>
            <a:schemeClr val="bg1">
              <a:lumMod val="6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Bb</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0"/>
        <c:spPr>
          <a:solidFill>
            <a:schemeClr val="bg1">
              <a:lumMod val="8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1"/>
        <c:spPr>
          <a:solidFill>
            <a:schemeClr val="bg1">
              <a:lumMod val="8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2"/>
        <c:spPr>
          <a:solidFill>
            <a:schemeClr val="bg1">
              <a:lumMod val="6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3"/>
        <c:spPr>
          <a:solidFill>
            <a:schemeClr val="bg1">
              <a:lumMod val="8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4"/>
        <c:spPr>
          <a:solidFill>
            <a:schemeClr val="bg1">
              <a:lumMod val="6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5"/>
        <c:spPr>
          <a:solidFill>
            <a:schemeClr val="bg1">
              <a:lumMod val="65000"/>
            </a:schemeClr>
          </a:solidFill>
          <a:ln>
            <a:solidFill>
              <a:sysClr val="windowText" lastClr="000000"/>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6"/>
        <c:spPr>
          <a:solidFill>
            <a:schemeClr val="bg1">
              <a:lumMod val="6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7"/>
        <c:spPr>
          <a:solidFill>
            <a:schemeClr val="bg1">
              <a:lumMod val="6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8"/>
        <c:spPr>
          <a:solidFill>
            <a:schemeClr val="bg1">
              <a:lumMod val="6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9"/>
        <c:spPr>
          <a:solidFill>
            <a:schemeClr val="bg1">
              <a:lumMod val="6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0"/>
        <c:spPr>
          <a:solidFill>
            <a:schemeClr val="bg1">
              <a:lumMod val="6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1"/>
        <c:spPr>
          <a:solidFill>
            <a:schemeClr val="bg1">
              <a:lumMod val="6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Bb</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2"/>
        <c:spPr>
          <a:solidFill>
            <a:schemeClr val="bg1">
              <a:lumMod val="85000"/>
            </a:schemeClr>
          </a:solidFill>
          <a:ln>
            <a:solidFill>
              <a:sysClr val="windowText" lastClr="000000"/>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3"/>
        <c:spPr>
          <a:solidFill>
            <a:schemeClr val="bg1">
              <a:lumMod val="85000"/>
            </a:schemeClr>
          </a:solidFill>
          <a:ln>
            <a:solidFill>
              <a:sysClr val="windowText" lastClr="000000"/>
            </a:solidFill>
          </a:ln>
          <a:effectLst/>
        </c:spP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4"/>
        <c:spPr>
          <a:solidFill>
            <a:schemeClr val="bg1">
              <a:lumMod val="8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5"/>
        <c:spPr>
          <a:solidFill>
            <a:schemeClr val="bg1">
              <a:lumMod val="8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6"/>
        <c:spPr>
          <a:solidFill>
            <a:schemeClr val="bg1">
              <a:lumMod val="8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7"/>
        <c:spPr>
          <a:solidFill>
            <a:schemeClr val="bg1">
              <a:lumMod val="8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8"/>
        <c:spPr>
          <a:solidFill>
            <a:schemeClr val="bg1">
              <a:lumMod val="8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9"/>
        <c:spPr>
          <a:solidFill>
            <a:schemeClr val="bg1">
              <a:lumMod val="8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30"/>
        <c:spPr>
          <a:solidFill>
            <a:schemeClr val="bg1">
              <a:lumMod val="65000"/>
            </a:schemeClr>
          </a:solidFill>
          <a:ln>
            <a:solidFill>
              <a:sysClr val="windowText" lastClr="000000"/>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31"/>
        <c:spPr>
          <a:solidFill>
            <a:schemeClr val="bg1">
              <a:lumMod val="6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32"/>
        <c:spPr>
          <a:solidFill>
            <a:schemeClr val="bg1">
              <a:lumMod val="6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33"/>
        <c:spPr>
          <a:solidFill>
            <a:schemeClr val="bg1">
              <a:lumMod val="6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34"/>
        <c:spPr>
          <a:solidFill>
            <a:schemeClr val="bg1">
              <a:lumMod val="6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35"/>
        <c:spPr>
          <a:solidFill>
            <a:schemeClr val="bg1">
              <a:lumMod val="6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36"/>
        <c:spPr>
          <a:solidFill>
            <a:schemeClr val="bg1">
              <a:lumMod val="6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Bb</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37"/>
        <c:spPr>
          <a:solidFill>
            <a:schemeClr val="bg1">
              <a:lumMod val="85000"/>
            </a:schemeClr>
          </a:solidFill>
          <a:ln>
            <a:solidFill>
              <a:sysClr val="windowText" lastClr="000000"/>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38"/>
        <c:spPr>
          <a:solidFill>
            <a:schemeClr val="bg1">
              <a:lumMod val="85000"/>
            </a:schemeClr>
          </a:solidFill>
          <a:ln>
            <a:solidFill>
              <a:sysClr val="windowText" lastClr="000000"/>
            </a:solidFill>
          </a:ln>
          <a:effectLst/>
        </c:spP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9"/>
        <c:spPr>
          <a:solidFill>
            <a:schemeClr val="bg1">
              <a:lumMod val="8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40"/>
        <c:spPr>
          <a:solidFill>
            <a:schemeClr val="bg1">
              <a:lumMod val="8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41"/>
        <c:spPr>
          <a:solidFill>
            <a:schemeClr val="bg1">
              <a:lumMod val="8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42"/>
        <c:spPr>
          <a:solidFill>
            <a:schemeClr val="bg1">
              <a:lumMod val="8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43"/>
        <c:spPr>
          <a:solidFill>
            <a:schemeClr val="bg1">
              <a:lumMod val="8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44"/>
        <c:spPr>
          <a:solidFill>
            <a:schemeClr val="bg1">
              <a:lumMod val="8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SoyOnly!$AM$25:$AM$26</c:f>
              <c:strCache>
                <c:ptCount val="1"/>
                <c:pt idx="0">
                  <c:v>CC</c:v>
                </c:pt>
              </c:strCache>
            </c:strRef>
          </c:tx>
          <c:spPr>
            <a:solidFill>
              <a:schemeClr val="bg1">
                <a:lumMod val="65000"/>
              </a:schemeClr>
            </a:solidFill>
            <a:ln>
              <a:solidFill>
                <a:sysClr val="windowText" lastClr="000000"/>
              </a:solidFill>
            </a:ln>
            <a:effectLst/>
          </c:spPr>
          <c:invertIfNegative val="0"/>
          <c:dLbls>
            <c:dLbl>
              <c:idx val="1"/>
              <c:tx>
                <c:rich>
                  <a:bodyPr/>
                  <a:lstStyle/>
                  <a:p>
                    <a:r>
                      <a:rPr lang="en-US"/>
                      <a:t>Aa</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483-484C-AE40-59E0126BC3F2}"/>
                </c:ext>
              </c:extLst>
            </c:dLbl>
            <c:dLbl>
              <c:idx val="2"/>
              <c:tx>
                <c:rich>
                  <a:bodyPr/>
                  <a:lstStyle/>
                  <a:p>
                    <a:r>
                      <a:rPr lang="en-US"/>
                      <a:t>Aa</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483-484C-AE40-59E0126BC3F2}"/>
                </c:ext>
              </c:extLst>
            </c:dLbl>
            <c:dLbl>
              <c:idx val="3"/>
              <c:tx>
                <c:rich>
                  <a:bodyPr/>
                  <a:lstStyle/>
                  <a:p>
                    <a:r>
                      <a:rPr lang="en-US"/>
                      <a:t>Aa</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483-484C-AE40-59E0126BC3F2}"/>
                </c:ext>
              </c:extLst>
            </c:dLbl>
            <c:dLbl>
              <c:idx val="4"/>
              <c:tx>
                <c:rich>
                  <a:bodyPr/>
                  <a:lstStyle/>
                  <a:p>
                    <a:r>
                      <a:rPr lang="en-US"/>
                      <a:t>Aa</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483-484C-AE40-59E0126BC3F2}"/>
                </c:ext>
              </c:extLst>
            </c:dLbl>
            <c:dLbl>
              <c:idx val="5"/>
              <c:tx>
                <c:rich>
                  <a:bodyPr/>
                  <a:lstStyle/>
                  <a:p>
                    <a:r>
                      <a:rPr lang="en-US"/>
                      <a:t>Aa</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483-484C-AE40-59E0126BC3F2}"/>
                </c:ext>
              </c:extLst>
            </c:dLbl>
            <c:dLbl>
              <c:idx val="6"/>
              <c:tx>
                <c:rich>
                  <a:bodyPr/>
                  <a:lstStyle/>
                  <a:p>
                    <a:r>
                      <a:rPr lang="en-US"/>
                      <a:t>Bb</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483-484C-AE40-59E0126BC3F2}"/>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SoyOnly!$AT$27:$AT$33</c:f>
                <c:numCache>
                  <c:formatCode>General</c:formatCode>
                  <c:ptCount val="7"/>
                  <c:pt idx="1">
                    <c:v>2.8592457104685616E-2</c:v>
                  </c:pt>
                  <c:pt idx="2">
                    <c:v>4.1585314982583998E-2</c:v>
                  </c:pt>
                  <c:pt idx="3">
                    <c:v>4.6534865718013352E-2</c:v>
                  </c:pt>
                  <c:pt idx="4">
                    <c:v>3.2945601415940891E-2</c:v>
                  </c:pt>
                  <c:pt idx="5">
                    <c:v>2.2445110336595984E-2</c:v>
                  </c:pt>
                  <c:pt idx="6">
                    <c:v>3.3998544898488421E-2</c:v>
                  </c:pt>
                </c:numCache>
              </c:numRef>
            </c:plus>
            <c:minus>
              <c:numRef>
                <c:f>SoyOnly!$AT$27:$AT$33</c:f>
                <c:numCache>
                  <c:formatCode>General</c:formatCode>
                  <c:ptCount val="7"/>
                  <c:pt idx="1">
                    <c:v>2.8592457104685616E-2</c:v>
                  </c:pt>
                  <c:pt idx="2">
                    <c:v>4.1585314982583998E-2</c:v>
                  </c:pt>
                  <c:pt idx="3">
                    <c:v>4.6534865718013352E-2</c:v>
                  </c:pt>
                  <c:pt idx="4">
                    <c:v>3.2945601415940891E-2</c:v>
                  </c:pt>
                  <c:pt idx="5">
                    <c:v>2.2445110336595984E-2</c:v>
                  </c:pt>
                  <c:pt idx="6">
                    <c:v>3.3998544898488421E-2</c:v>
                  </c:pt>
                </c:numCache>
              </c:numRef>
            </c:minus>
            <c:spPr>
              <a:noFill/>
              <a:ln w="9525" cap="flat" cmpd="sng" algn="ctr">
                <a:solidFill>
                  <a:schemeClr val="tx1">
                    <a:lumMod val="65000"/>
                    <a:lumOff val="35000"/>
                  </a:schemeClr>
                </a:solidFill>
                <a:round/>
              </a:ln>
              <a:effectLst/>
            </c:spPr>
          </c:errBars>
          <c:cat>
            <c:multiLvlStrRef>
              <c:f>SoyOnly!$AT$27:$AT$33</c:f>
              <c:multiLvlStrCache>
                <c:ptCount val="7"/>
                <c:lvl>
                  <c:pt idx="0">
                    <c:v> </c:v>
                  </c:pt>
                  <c:pt idx="1">
                    <c:v>CP</c:v>
                  </c:pt>
                  <c:pt idx="2">
                    <c:v>NT</c:v>
                  </c:pt>
                  <c:pt idx="3">
                    <c:v>CP</c:v>
                  </c:pt>
                  <c:pt idx="4">
                    <c:v>NT</c:v>
                  </c:pt>
                  <c:pt idx="5">
                    <c:v>CP</c:v>
                  </c:pt>
                  <c:pt idx="6">
                    <c:v>NT</c:v>
                  </c:pt>
                </c:lvl>
                <c:lvl>
                  <c:pt idx="0">
                    <c:v>Fall</c:v>
                  </c:pt>
                  <c:pt idx="1">
                    <c:v>Spring</c:v>
                  </c:pt>
                  <c:pt idx="3">
                    <c:v>Fall</c:v>
                  </c:pt>
                  <c:pt idx="5">
                    <c:v>Spring</c:v>
                  </c:pt>
                </c:lvl>
                <c:lvl>
                  <c:pt idx="0">
                    <c:v>2017</c:v>
                  </c:pt>
                  <c:pt idx="1">
                    <c:v>2018</c:v>
                  </c:pt>
                  <c:pt idx="5">
                    <c:v>2019</c:v>
                  </c:pt>
                </c:lvl>
              </c:multiLvlStrCache>
            </c:multiLvlStrRef>
          </c:cat>
          <c:val>
            <c:numRef>
              <c:f>SoyOnly!$AT$27:$AT$33</c:f>
              <c:numCache>
                <c:formatCode>General</c:formatCode>
                <c:ptCount val="7"/>
                <c:pt idx="1">
                  <c:v>1.3257369891248338</c:v>
                </c:pt>
                <c:pt idx="2">
                  <c:v>1.3579638217666046</c:v>
                </c:pt>
                <c:pt idx="3">
                  <c:v>1.2192227375044071</c:v>
                </c:pt>
                <c:pt idx="4">
                  <c:v>1.2022238494291217</c:v>
                </c:pt>
                <c:pt idx="5">
                  <c:v>1.3383939467903343</c:v>
                </c:pt>
                <c:pt idx="6">
                  <c:v>1.0054294470208553</c:v>
                </c:pt>
              </c:numCache>
            </c:numRef>
          </c:val>
          <c:extLst>
            <c:ext xmlns:c16="http://schemas.microsoft.com/office/drawing/2014/chart" uri="{C3380CC4-5D6E-409C-BE32-E72D297353CC}">
              <c16:uniqueId val="{00000006-A483-484C-AE40-59E0126BC3F2}"/>
            </c:ext>
          </c:extLst>
        </c:ser>
        <c:ser>
          <c:idx val="1"/>
          <c:order val="1"/>
          <c:tx>
            <c:strRef>
              <c:f>SoyOnly!$AN$25:$AN$26</c:f>
              <c:strCache>
                <c:ptCount val="1"/>
                <c:pt idx="0">
                  <c:v>NC</c:v>
                </c:pt>
              </c:strCache>
            </c:strRef>
          </c:tx>
          <c:spPr>
            <a:solidFill>
              <a:schemeClr val="bg1">
                <a:lumMod val="85000"/>
              </a:schemeClr>
            </a:solidFill>
            <a:ln>
              <a:solidFill>
                <a:sysClr val="windowText" lastClr="000000"/>
              </a:solid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7-A483-484C-AE40-59E0126BC3F2}"/>
                </c:ext>
              </c:extLst>
            </c:dLbl>
            <c:dLbl>
              <c:idx val="1"/>
              <c:tx>
                <c:rich>
                  <a:bodyPr/>
                  <a:lstStyle/>
                  <a:p>
                    <a:r>
                      <a:rPr lang="en-US"/>
                      <a:t>Aa</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A483-484C-AE40-59E0126BC3F2}"/>
                </c:ext>
              </c:extLst>
            </c:dLbl>
            <c:dLbl>
              <c:idx val="2"/>
              <c:tx>
                <c:rich>
                  <a:bodyPr/>
                  <a:lstStyle/>
                  <a:p>
                    <a:r>
                      <a:rPr lang="en-US"/>
                      <a:t>Aa</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A483-484C-AE40-59E0126BC3F2}"/>
                </c:ext>
              </c:extLst>
            </c:dLbl>
            <c:dLbl>
              <c:idx val="3"/>
              <c:tx>
                <c:rich>
                  <a:bodyPr/>
                  <a:lstStyle/>
                  <a:p>
                    <a:r>
                      <a:rPr lang="en-US"/>
                      <a:t>Aa</a:t>
                    </a:r>
                  </a:p>
                </c:rich>
              </c:tx>
              <c:dLblPos val="outEnd"/>
              <c:showLegendKey val="0"/>
              <c:showVal val="1"/>
              <c:showCatName val="0"/>
              <c:showSerName val="0"/>
              <c:showPercent val="0"/>
              <c:showBubbleSize val="0"/>
              <c:extLst>
                <c:ext xmlns:c15="http://schemas.microsoft.com/office/drawing/2012/chart" uri="{CE6537A1-D6FC-4f65-9D91-7224C49458BB}">
                  <c15:layout>
                    <c:manualLayout>
                      <c:w val="4.5654689648709494E-2"/>
                      <c:h val="7.9455058955926416E-2"/>
                    </c:manualLayout>
                  </c15:layout>
                </c:ext>
                <c:ext xmlns:c16="http://schemas.microsoft.com/office/drawing/2014/chart" uri="{C3380CC4-5D6E-409C-BE32-E72D297353CC}">
                  <c16:uniqueId val="{0000000A-A483-484C-AE40-59E0126BC3F2}"/>
                </c:ext>
              </c:extLst>
            </c:dLbl>
            <c:dLbl>
              <c:idx val="4"/>
              <c:tx>
                <c:rich>
                  <a:bodyPr/>
                  <a:lstStyle/>
                  <a:p>
                    <a:r>
                      <a:rPr lang="en-US"/>
                      <a:t>Aa</a:t>
                    </a:r>
                  </a:p>
                </c:rich>
              </c:tx>
              <c:dLblPos val="outEnd"/>
              <c:showLegendKey val="0"/>
              <c:showVal val="1"/>
              <c:showCatName val="0"/>
              <c:showSerName val="0"/>
              <c:showPercent val="0"/>
              <c:showBubbleSize val="0"/>
              <c:extLst>
                <c:ext xmlns:c15="http://schemas.microsoft.com/office/drawing/2012/chart" uri="{CE6537A1-D6FC-4f65-9D91-7224C49458BB}">
                  <c15:layout>
                    <c:manualLayout>
                      <c:w val="4.5654689648709494E-2"/>
                      <c:h val="7.487420691744727E-2"/>
                    </c:manualLayout>
                  </c15:layout>
                </c:ext>
                <c:ext xmlns:c16="http://schemas.microsoft.com/office/drawing/2014/chart" uri="{C3380CC4-5D6E-409C-BE32-E72D297353CC}">
                  <c16:uniqueId val="{0000000B-A483-484C-AE40-59E0126BC3F2}"/>
                </c:ext>
              </c:extLst>
            </c:dLbl>
            <c:dLbl>
              <c:idx val="5"/>
              <c:tx>
                <c:rich>
                  <a:bodyPr/>
                  <a:lstStyle/>
                  <a:p>
                    <a:r>
                      <a:rPr lang="en-US"/>
                      <a:t>Aa</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A483-484C-AE40-59E0126BC3F2}"/>
                </c:ext>
              </c:extLst>
            </c:dLbl>
            <c:dLbl>
              <c:idx val="6"/>
              <c:tx>
                <c:rich>
                  <a:bodyPr/>
                  <a:lstStyle/>
                  <a:p>
                    <a:r>
                      <a:rPr lang="en-US"/>
                      <a:t>Aa</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A483-484C-AE40-59E0126BC3F2}"/>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SoyOnly!$AW$27:$AW$33</c:f>
                <c:numCache>
                  <c:formatCode>General</c:formatCode>
                  <c:ptCount val="7"/>
                  <c:pt idx="0">
                    <c:v>4.5258544881651125E-2</c:v>
                  </c:pt>
                  <c:pt idx="1">
                    <c:v>1.4955963477816164E-2</c:v>
                  </c:pt>
                  <c:pt idx="2">
                    <c:v>4.7278184313230436E-2</c:v>
                  </c:pt>
                  <c:pt idx="3">
                    <c:v>7.2421082058300709E-2</c:v>
                  </c:pt>
                  <c:pt idx="4">
                    <c:v>6.7078043027826301E-2</c:v>
                  </c:pt>
                  <c:pt idx="5">
                    <c:v>9.2529790467781609E-3</c:v>
                  </c:pt>
                  <c:pt idx="6">
                    <c:v>2.0943449230959185E-2</c:v>
                  </c:pt>
                </c:numCache>
              </c:numRef>
            </c:plus>
            <c:minus>
              <c:numRef>
                <c:f>SoyOnly!$AW$27:$AW$33</c:f>
                <c:numCache>
                  <c:formatCode>General</c:formatCode>
                  <c:ptCount val="7"/>
                  <c:pt idx="0">
                    <c:v>4.5258544881651125E-2</c:v>
                  </c:pt>
                  <c:pt idx="1">
                    <c:v>1.4955963477816164E-2</c:v>
                  </c:pt>
                  <c:pt idx="2">
                    <c:v>4.7278184313230436E-2</c:v>
                  </c:pt>
                  <c:pt idx="3">
                    <c:v>7.2421082058300709E-2</c:v>
                  </c:pt>
                  <c:pt idx="4">
                    <c:v>6.7078043027826301E-2</c:v>
                  </c:pt>
                  <c:pt idx="5">
                    <c:v>9.2529790467781609E-3</c:v>
                  </c:pt>
                  <c:pt idx="6">
                    <c:v>2.0943449230959185E-2</c:v>
                  </c:pt>
                </c:numCache>
              </c:numRef>
            </c:minus>
            <c:spPr>
              <a:noFill/>
              <a:ln w="9525" cap="flat" cmpd="sng" algn="ctr">
                <a:solidFill>
                  <a:schemeClr val="tx1">
                    <a:lumMod val="65000"/>
                    <a:lumOff val="35000"/>
                  </a:schemeClr>
                </a:solidFill>
                <a:round/>
              </a:ln>
              <a:effectLst/>
            </c:spPr>
          </c:errBars>
          <c:cat>
            <c:multiLvlStrRef>
              <c:f>SoyOnly!$AT$27:$AT$33</c:f>
              <c:multiLvlStrCache>
                <c:ptCount val="7"/>
                <c:lvl>
                  <c:pt idx="0">
                    <c:v> </c:v>
                  </c:pt>
                  <c:pt idx="1">
                    <c:v>CP</c:v>
                  </c:pt>
                  <c:pt idx="2">
                    <c:v>NT</c:v>
                  </c:pt>
                  <c:pt idx="3">
                    <c:v>CP</c:v>
                  </c:pt>
                  <c:pt idx="4">
                    <c:v>NT</c:v>
                  </c:pt>
                  <c:pt idx="5">
                    <c:v>CP</c:v>
                  </c:pt>
                  <c:pt idx="6">
                    <c:v>NT</c:v>
                  </c:pt>
                </c:lvl>
                <c:lvl>
                  <c:pt idx="0">
                    <c:v>Fall</c:v>
                  </c:pt>
                  <c:pt idx="1">
                    <c:v>Spring</c:v>
                  </c:pt>
                  <c:pt idx="3">
                    <c:v>Fall</c:v>
                  </c:pt>
                  <c:pt idx="5">
                    <c:v>Spring</c:v>
                  </c:pt>
                </c:lvl>
                <c:lvl>
                  <c:pt idx="0">
                    <c:v>2017</c:v>
                  </c:pt>
                  <c:pt idx="1">
                    <c:v>2018</c:v>
                  </c:pt>
                  <c:pt idx="5">
                    <c:v>2019</c:v>
                  </c:pt>
                </c:lvl>
              </c:multiLvlStrCache>
            </c:multiLvlStrRef>
          </c:cat>
          <c:val>
            <c:numRef>
              <c:f>SoyOnly!$AT$27:$AT$33</c:f>
              <c:numCache>
                <c:formatCode>General</c:formatCode>
                <c:ptCount val="7"/>
                <c:pt idx="0">
                  <c:v>1.3335875844113574</c:v>
                </c:pt>
                <c:pt idx="1">
                  <c:v>1.3011471808640469</c:v>
                </c:pt>
                <c:pt idx="2">
                  <c:v>1.2809671033005179</c:v>
                </c:pt>
                <c:pt idx="3">
                  <c:v>1.2576953326282103</c:v>
                </c:pt>
                <c:pt idx="4">
                  <c:v>1.227296395736718</c:v>
                </c:pt>
                <c:pt idx="5">
                  <c:v>1.3140373715184552</c:v>
                </c:pt>
                <c:pt idx="6">
                  <c:v>1.3017980636237896</c:v>
                </c:pt>
              </c:numCache>
            </c:numRef>
          </c:val>
          <c:extLst>
            <c:ext xmlns:c16="http://schemas.microsoft.com/office/drawing/2014/chart" uri="{C3380CC4-5D6E-409C-BE32-E72D297353CC}">
              <c16:uniqueId val="{0000000E-A483-484C-AE40-59E0126BC3F2}"/>
            </c:ext>
          </c:extLst>
        </c:ser>
        <c:dLbls>
          <c:dLblPos val="outEnd"/>
          <c:showLegendKey val="0"/>
          <c:showVal val="1"/>
          <c:showCatName val="0"/>
          <c:showSerName val="0"/>
          <c:showPercent val="0"/>
          <c:showBubbleSize val="0"/>
        </c:dLbls>
        <c:gapWidth val="100"/>
        <c:axId val="869597000"/>
        <c:axId val="869596680"/>
      </c:barChart>
      <c:catAx>
        <c:axId val="869597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869596680"/>
        <c:crosses val="autoZero"/>
        <c:auto val="1"/>
        <c:lblAlgn val="ctr"/>
        <c:lblOffset val="100"/>
        <c:noMultiLvlLbl val="0"/>
      </c:catAx>
      <c:valAx>
        <c:axId val="869596680"/>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Bulk Density (g*cm</a:t>
                </a:r>
                <a:r>
                  <a:rPr lang="en-US" baseline="30000"/>
                  <a:t>-3</a:t>
                </a:r>
                <a:r>
                  <a:rPr lang="en-US"/>
                  <a: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in"/>
        <c:minorTickMark val="none"/>
        <c:tickLblPos val="nextTo"/>
        <c:spPr>
          <a:noFill/>
          <a:ln>
            <a:solidFill>
              <a:schemeClr val="bg1">
                <a:lumMod val="85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869597000"/>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pivotOptions>
    </c:ext>
    <c:ext xmlns:c16="http://schemas.microsoft.com/office/drawing/2014/chart" uri="{E28EC0CA-F0BB-4C9C-879D-F8772B89E7AC}">
      <c16:pivotOptions16>
        <c16:showExpandCollapseFieldButtons val="1"/>
      </c16:pivotOptions16>
    </c:ext>
  </c:extLst>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[Master File_SAS.xlsx]SoyOnly!PivotTable22</c:name>
    <c:fmtId val="-1"/>
  </c:pivotSource>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Soil pH 0-6"</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ivotFmts>
      <c:pivotFmt>
        <c:idx val="0"/>
        <c:spPr>
          <a:solidFill>
            <a:schemeClr val="bg1">
              <a:lumMod val="65000"/>
            </a:schemeClr>
          </a:solidFill>
          <a:ln>
            <a:solidFill>
              <a:sysClr val="windowText" lastClr="000000"/>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bg1">
              <a:lumMod val="85000"/>
            </a:schemeClr>
          </a:solidFill>
          <a:ln>
            <a:solidFill>
              <a:sysClr val="windowText" lastClr="000000"/>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bg1">
              <a:lumMod val="85000"/>
            </a:schemeClr>
          </a:solidFill>
          <a:ln>
            <a:solidFill>
              <a:sysClr val="windowText" lastClr="000000"/>
            </a:solidFill>
          </a:ln>
          <a:effectLst/>
        </c:spP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bg1">
              <a:lumMod val="6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4"/>
        <c:spPr>
          <a:solidFill>
            <a:schemeClr val="bg1">
              <a:lumMod val="8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5"/>
        <c:spPr>
          <a:solidFill>
            <a:schemeClr val="bg1">
              <a:lumMod val="8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6"/>
        <c:spPr>
          <a:solidFill>
            <a:schemeClr val="bg1">
              <a:lumMod val="6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7"/>
        <c:spPr>
          <a:solidFill>
            <a:schemeClr val="bg1">
              <a:lumMod val="6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8"/>
        <c:spPr>
          <a:solidFill>
            <a:schemeClr val="bg1">
              <a:lumMod val="8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9"/>
        <c:spPr>
          <a:solidFill>
            <a:schemeClr val="bg1">
              <a:lumMod val="8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0"/>
        <c:spPr>
          <a:solidFill>
            <a:schemeClr val="bg1">
              <a:lumMod val="6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1"/>
        <c:spPr>
          <a:solidFill>
            <a:schemeClr val="bg1">
              <a:lumMod val="6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2"/>
        <c:spPr>
          <a:solidFill>
            <a:schemeClr val="bg1">
              <a:lumMod val="8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3"/>
        <c:spPr>
          <a:solidFill>
            <a:schemeClr val="bg1">
              <a:lumMod val="6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4"/>
        <c:spPr>
          <a:solidFill>
            <a:schemeClr val="bg1">
              <a:lumMod val="8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5"/>
        <c:spPr>
          <a:solidFill>
            <a:schemeClr val="bg1">
              <a:lumMod val="8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Bb</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6"/>
        <c:spPr>
          <a:solidFill>
            <a:schemeClr val="bg1">
              <a:lumMod val="8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7"/>
        <c:spPr>
          <a:solidFill>
            <a:schemeClr val="bg1">
              <a:lumMod val="6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8"/>
        <c:spPr>
          <a:solidFill>
            <a:schemeClr val="bg1">
              <a:lumMod val="6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9"/>
        <c:spPr>
          <a:solidFill>
            <a:schemeClr val="bg1">
              <a:lumMod val="65000"/>
            </a:schemeClr>
          </a:solidFill>
          <a:ln>
            <a:solidFill>
              <a:sysClr val="windowText" lastClr="000000"/>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0"/>
        <c:spPr>
          <a:solidFill>
            <a:schemeClr val="bg1">
              <a:lumMod val="6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1"/>
        <c:spPr>
          <a:solidFill>
            <a:schemeClr val="bg1">
              <a:lumMod val="6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2"/>
        <c:spPr>
          <a:solidFill>
            <a:schemeClr val="bg1">
              <a:lumMod val="6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3"/>
        <c:spPr>
          <a:solidFill>
            <a:schemeClr val="bg1">
              <a:lumMod val="6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4"/>
        <c:spPr>
          <a:solidFill>
            <a:schemeClr val="bg1">
              <a:lumMod val="6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5"/>
        <c:spPr>
          <a:solidFill>
            <a:schemeClr val="bg1">
              <a:lumMod val="6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6"/>
        <c:spPr>
          <a:solidFill>
            <a:schemeClr val="bg1">
              <a:lumMod val="6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7"/>
        <c:spPr>
          <a:solidFill>
            <a:schemeClr val="bg1">
              <a:lumMod val="6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8"/>
        <c:spPr>
          <a:solidFill>
            <a:schemeClr val="bg1">
              <a:lumMod val="85000"/>
            </a:schemeClr>
          </a:solidFill>
          <a:ln>
            <a:solidFill>
              <a:sysClr val="windowText" lastClr="000000"/>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9"/>
        <c:spPr>
          <a:solidFill>
            <a:schemeClr val="bg1">
              <a:lumMod val="85000"/>
            </a:schemeClr>
          </a:solidFill>
          <a:ln>
            <a:solidFill>
              <a:sysClr val="windowText" lastClr="000000"/>
            </a:solidFill>
          </a:ln>
          <a:effectLst/>
        </c:spP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0"/>
        <c:spPr>
          <a:solidFill>
            <a:schemeClr val="bg1">
              <a:lumMod val="8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31"/>
        <c:spPr>
          <a:solidFill>
            <a:schemeClr val="bg1">
              <a:lumMod val="8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32"/>
        <c:spPr>
          <a:solidFill>
            <a:schemeClr val="bg1">
              <a:lumMod val="8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33"/>
        <c:spPr>
          <a:solidFill>
            <a:schemeClr val="bg1">
              <a:lumMod val="8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34"/>
        <c:spPr>
          <a:solidFill>
            <a:schemeClr val="bg1">
              <a:lumMod val="8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35"/>
        <c:spPr>
          <a:solidFill>
            <a:schemeClr val="bg1">
              <a:lumMod val="8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Bb</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36"/>
        <c:spPr>
          <a:solidFill>
            <a:schemeClr val="bg1">
              <a:lumMod val="8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37"/>
        <c:spPr>
          <a:solidFill>
            <a:schemeClr val="bg1">
              <a:lumMod val="8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38"/>
        <c:spPr>
          <a:solidFill>
            <a:schemeClr val="bg1">
              <a:lumMod val="65000"/>
            </a:schemeClr>
          </a:solidFill>
          <a:ln>
            <a:solidFill>
              <a:sysClr val="windowText" lastClr="000000"/>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39"/>
        <c:spPr>
          <a:solidFill>
            <a:schemeClr val="bg1">
              <a:lumMod val="6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40"/>
        <c:spPr>
          <a:solidFill>
            <a:schemeClr val="bg1">
              <a:lumMod val="6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41"/>
        <c:spPr>
          <a:solidFill>
            <a:schemeClr val="bg1">
              <a:lumMod val="6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42"/>
        <c:spPr>
          <a:solidFill>
            <a:schemeClr val="bg1">
              <a:lumMod val="6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43"/>
        <c:spPr>
          <a:solidFill>
            <a:schemeClr val="bg1">
              <a:lumMod val="6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44"/>
        <c:spPr>
          <a:solidFill>
            <a:schemeClr val="bg1">
              <a:lumMod val="6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45"/>
        <c:spPr>
          <a:solidFill>
            <a:schemeClr val="bg1">
              <a:lumMod val="6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46"/>
        <c:spPr>
          <a:solidFill>
            <a:schemeClr val="bg1">
              <a:lumMod val="6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47"/>
        <c:spPr>
          <a:solidFill>
            <a:schemeClr val="bg1">
              <a:lumMod val="85000"/>
            </a:schemeClr>
          </a:solidFill>
          <a:ln>
            <a:solidFill>
              <a:sysClr val="windowText" lastClr="000000"/>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48"/>
        <c:spPr>
          <a:solidFill>
            <a:schemeClr val="bg1">
              <a:lumMod val="85000"/>
            </a:schemeClr>
          </a:solidFill>
          <a:ln>
            <a:solidFill>
              <a:sysClr val="windowText" lastClr="000000"/>
            </a:solidFill>
          </a:ln>
          <a:effectLst/>
        </c:spP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9"/>
        <c:spPr>
          <a:solidFill>
            <a:schemeClr val="bg1">
              <a:lumMod val="8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50"/>
        <c:spPr>
          <a:solidFill>
            <a:schemeClr val="bg1">
              <a:lumMod val="8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51"/>
        <c:spPr>
          <a:solidFill>
            <a:schemeClr val="bg1">
              <a:lumMod val="8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52"/>
        <c:spPr>
          <a:solidFill>
            <a:schemeClr val="bg1">
              <a:lumMod val="8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53"/>
        <c:spPr>
          <a:solidFill>
            <a:schemeClr val="bg1">
              <a:lumMod val="8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54"/>
        <c:spPr>
          <a:solidFill>
            <a:schemeClr val="bg1">
              <a:lumMod val="8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Bb</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55"/>
        <c:spPr>
          <a:solidFill>
            <a:schemeClr val="bg1">
              <a:lumMod val="8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56"/>
        <c:spPr>
          <a:solidFill>
            <a:schemeClr val="bg1">
              <a:lumMod val="8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SoyOnly!$AA$3:$AA$4</c:f>
              <c:strCache>
                <c:ptCount val="1"/>
                <c:pt idx="0">
                  <c:v>CC</c:v>
                </c:pt>
              </c:strCache>
            </c:strRef>
          </c:tx>
          <c:spPr>
            <a:solidFill>
              <a:schemeClr val="bg1">
                <a:lumMod val="65000"/>
              </a:schemeClr>
            </a:solidFill>
            <a:ln>
              <a:solidFill>
                <a:sysClr val="windowText" lastClr="000000"/>
              </a:solidFill>
            </a:ln>
            <a:effectLst/>
          </c:spPr>
          <c:invertIfNegative val="0"/>
          <c:dLbls>
            <c:dLbl>
              <c:idx val="1"/>
              <c:tx>
                <c:rich>
                  <a:bodyPr/>
                  <a:lstStyle/>
                  <a:p>
                    <a:r>
                      <a:rPr lang="en-US"/>
                      <a:t>Aa</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DF4-43DB-9361-0C85CFECB939}"/>
                </c:ext>
              </c:extLst>
            </c:dLbl>
            <c:dLbl>
              <c:idx val="2"/>
              <c:tx>
                <c:rich>
                  <a:bodyPr/>
                  <a:lstStyle/>
                  <a:p>
                    <a:r>
                      <a:rPr lang="en-US"/>
                      <a:t>Aa</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DF4-43DB-9361-0C85CFECB939}"/>
                </c:ext>
              </c:extLst>
            </c:dLbl>
            <c:dLbl>
              <c:idx val="3"/>
              <c:tx>
                <c:rich>
                  <a:bodyPr/>
                  <a:lstStyle/>
                  <a:p>
                    <a:r>
                      <a:rPr lang="en-US"/>
                      <a:t>Aa</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DF4-43DB-9361-0C85CFECB939}"/>
                </c:ext>
              </c:extLst>
            </c:dLbl>
            <c:dLbl>
              <c:idx val="4"/>
              <c:tx>
                <c:rich>
                  <a:bodyPr/>
                  <a:lstStyle/>
                  <a:p>
                    <a:r>
                      <a:rPr lang="en-US"/>
                      <a:t>Aa</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DF4-43DB-9361-0C85CFECB939}"/>
                </c:ext>
              </c:extLst>
            </c:dLbl>
            <c:dLbl>
              <c:idx val="5"/>
              <c:tx>
                <c:rich>
                  <a:bodyPr/>
                  <a:lstStyle/>
                  <a:p>
                    <a:r>
                      <a:rPr lang="en-US"/>
                      <a:t>Aa</a:t>
                    </a:r>
                  </a:p>
                </c:rich>
              </c:tx>
              <c:dLblPos val="outEnd"/>
              <c:showLegendKey val="0"/>
              <c:showVal val="1"/>
              <c:showCatName val="0"/>
              <c:showSerName val="0"/>
              <c:showPercent val="0"/>
              <c:showBubbleSize val="0"/>
              <c:extLst>
                <c:ext xmlns:c15="http://schemas.microsoft.com/office/drawing/2012/chart" uri="{CE6537A1-D6FC-4f65-9D91-7224C49458BB}">
                  <c15:layout>
                    <c:manualLayout>
                      <c:w val="4.5578997983085769E-2"/>
                      <c:h val="0.11610187526375969"/>
                    </c:manualLayout>
                  </c15:layout>
                </c:ext>
                <c:ext xmlns:c16="http://schemas.microsoft.com/office/drawing/2014/chart" uri="{C3380CC4-5D6E-409C-BE32-E72D297353CC}">
                  <c16:uniqueId val="{00000004-EDF4-43DB-9361-0C85CFECB939}"/>
                </c:ext>
              </c:extLst>
            </c:dLbl>
            <c:dLbl>
              <c:idx val="6"/>
              <c:tx>
                <c:rich>
                  <a:bodyPr/>
                  <a:lstStyle/>
                  <a:p>
                    <a:r>
                      <a:rPr lang="en-US"/>
                      <a:t>Aa</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DF4-43DB-9361-0C85CFECB939}"/>
                </c:ext>
              </c:extLst>
            </c:dLbl>
            <c:dLbl>
              <c:idx val="7"/>
              <c:tx>
                <c:rich>
                  <a:bodyPr/>
                  <a:lstStyle/>
                  <a:p>
                    <a:r>
                      <a:rPr lang="en-US"/>
                      <a:t>Aa</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DF4-43DB-9361-0C85CFECB939}"/>
                </c:ext>
              </c:extLst>
            </c:dLbl>
            <c:dLbl>
              <c:idx val="8"/>
              <c:tx>
                <c:rich>
                  <a:bodyPr/>
                  <a:lstStyle/>
                  <a:p>
                    <a:r>
                      <a:rPr lang="en-US"/>
                      <a:t>Aa</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EDF4-43DB-9361-0C85CFECB939}"/>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SoyOnly!$AH$4:$AH$12</c:f>
                <c:numCache>
                  <c:formatCode>General</c:formatCode>
                  <c:ptCount val="9"/>
                  <c:pt idx="1">
                    <c:v>0.17130220210039665</c:v>
                  </c:pt>
                  <c:pt idx="2">
                    <c:v>0.21455380055672241</c:v>
                  </c:pt>
                  <c:pt idx="3">
                    <c:v>0.16895101196630202</c:v>
                  </c:pt>
                  <c:pt idx="4">
                    <c:v>0.1334582747944475</c:v>
                  </c:pt>
                  <c:pt idx="5">
                    <c:v>0.56971727881272483</c:v>
                  </c:pt>
                  <c:pt idx="6">
                    <c:v>0.10503967504392085</c:v>
                  </c:pt>
                  <c:pt idx="7">
                    <c:v>0.1649579070887629</c:v>
                  </c:pt>
                  <c:pt idx="8">
                    <c:v>0.18478215402047296</c:v>
                  </c:pt>
                </c:numCache>
              </c:numRef>
            </c:plus>
            <c:minus>
              <c:numRef>
                <c:f>SoyOnly!$AH$4:$AH$12</c:f>
                <c:numCache>
                  <c:formatCode>General</c:formatCode>
                  <c:ptCount val="9"/>
                  <c:pt idx="1">
                    <c:v>0.17130220210039665</c:v>
                  </c:pt>
                  <c:pt idx="2">
                    <c:v>0.21455380055672241</c:v>
                  </c:pt>
                  <c:pt idx="3">
                    <c:v>0.16895101196630202</c:v>
                  </c:pt>
                  <c:pt idx="4">
                    <c:v>0.1334582747944475</c:v>
                  </c:pt>
                  <c:pt idx="5">
                    <c:v>0.56971727881272483</c:v>
                  </c:pt>
                  <c:pt idx="6">
                    <c:v>0.10503967504392085</c:v>
                  </c:pt>
                  <c:pt idx="7">
                    <c:v>0.1649579070887629</c:v>
                  </c:pt>
                  <c:pt idx="8">
                    <c:v>0.18478215402047296</c:v>
                  </c:pt>
                </c:numCache>
              </c:numRef>
            </c:minus>
            <c:spPr>
              <a:noFill/>
              <a:ln w="9525" cap="flat" cmpd="sng" algn="ctr">
                <a:solidFill>
                  <a:schemeClr val="tx1">
                    <a:lumMod val="65000"/>
                    <a:lumOff val="35000"/>
                  </a:schemeClr>
                </a:solidFill>
                <a:round/>
              </a:ln>
              <a:effectLst/>
            </c:spPr>
          </c:errBars>
          <c:cat>
            <c:multiLvlStrRef>
              <c:f>SoyOnly!$AH$4:$AH$12</c:f>
              <c:multiLvlStrCache>
                <c:ptCount val="9"/>
                <c:lvl>
                  <c:pt idx="0">
                    <c:v> </c:v>
                  </c:pt>
                  <c:pt idx="1">
                    <c:v>CP</c:v>
                  </c:pt>
                  <c:pt idx="2">
                    <c:v>NT</c:v>
                  </c:pt>
                  <c:pt idx="3">
                    <c:v>CP</c:v>
                  </c:pt>
                  <c:pt idx="4">
                    <c:v>NT</c:v>
                  </c:pt>
                  <c:pt idx="5">
                    <c:v>CP</c:v>
                  </c:pt>
                  <c:pt idx="6">
                    <c:v>NT</c:v>
                  </c:pt>
                  <c:pt idx="7">
                    <c:v>CP</c:v>
                  </c:pt>
                  <c:pt idx="8">
                    <c:v>NT</c:v>
                  </c:pt>
                </c:lvl>
                <c:lvl>
                  <c:pt idx="0">
                    <c:v>Fall</c:v>
                  </c:pt>
                  <c:pt idx="1">
                    <c:v>Spring</c:v>
                  </c:pt>
                  <c:pt idx="3">
                    <c:v>Fall</c:v>
                  </c:pt>
                  <c:pt idx="5">
                    <c:v>Spring</c:v>
                  </c:pt>
                  <c:pt idx="7">
                    <c:v>Fall</c:v>
                  </c:pt>
                </c:lvl>
                <c:lvl>
                  <c:pt idx="0">
                    <c:v>2017</c:v>
                  </c:pt>
                  <c:pt idx="1">
                    <c:v>2018</c:v>
                  </c:pt>
                  <c:pt idx="5">
                    <c:v>2019</c:v>
                  </c:pt>
                </c:lvl>
              </c:multiLvlStrCache>
            </c:multiLvlStrRef>
          </c:cat>
          <c:val>
            <c:numRef>
              <c:f>SoyOnly!$AH$4:$AH$12</c:f>
              <c:numCache>
                <c:formatCode>General</c:formatCode>
                <c:ptCount val="9"/>
                <c:pt idx="1">
                  <c:v>5.8466666666666667</c:v>
                </c:pt>
                <c:pt idx="2">
                  <c:v>5.7399999999999993</c:v>
                </c:pt>
                <c:pt idx="3">
                  <c:v>5.8066666666666658</c:v>
                </c:pt>
                <c:pt idx="4">
                  <c:v>5.6366666666666667</c:v>
                </c:pt>
                <c:pt idx="5">
                  <c:v>5.996666666666667</c:v>
                </c:pt>
                <c:pt idx="6">
                  <c:v>5.63</c:v>
                </c:pt>
                <c:pt idx="7">
                  <c:v>5.9233333333333347</c:v>
                </c:pt>
                <c:pt idx="8">
                  <c:v>5.8166666666666664</c:v>
                </c:pt>
              </c:numCache>
            </c:numRef>
          </c:val>
          <c:extLst>
            <c:ext xmlns:c16="http://schemas.microsoft.com/office/drawing/2014/chart" uri="{C3380CC4-5D6E-409C-BE32-E72D297353CC}">
              <c16:uniqueId val="{00000008-EDF4-43DB-9361-0C85CFECB939}"/>
            </c:ext>
          </c:extLst>
        </c:ser>
        <c:ser>
          <c:idx val="1"/>
          <c:order val="1"/>
          <c:tx>
            <c:strRef>
              <c:f>SoyOnly!$AB$3:$AB$4</c:f>
              <c:strCache>
                <c:ptCount val="1"/>
                <c:pt idx="0">
                  <c:v>NC</c:v>
                </c:pt>
              </c:strCache>
            </c:strRef>
          </c:tx>
          <c:spPr>
            <a:solidFill>
              <a:schemeClr val="bg1">
                <a:lumMod val="85000"/>
              </a:schemeClr>
            </a:solidFill>
            <a:ln>
              <a:solidFill>
                <a:sysClr val="windowText" lastClr="000000"/>
              </a:solid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9-EDF4-43DB-9361-0C85CFECB939}"/>
                </c:ext>
              </c:extLst>
            </c:dLbl>
            <c:dLbl>
              <c:idx val="1"/>
              <c:tx>
                <c:rich>
                  <a:bodyPr/>
                  <a:lstStyle/>
                  <a:p>
                    <a:r>
                      <a:rPr lang="en-US"/>
                      <a:t>Aa</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EDF4-43DB-9361-0C85CFECB939}"/>
                </c:ext>
              </c:extLst>
            </c:dLbl>
            <c:dLbl>
              <c:idx val="2"/>
              <c:tx>
                <c:rich>
                  <a:bodyPr/>
                  <a:lstStyle/>
                  <a:p>
                    <a:r>
                      <a:rPr lang="en-US"/>
                      <a:t>Aa</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EDF4-43DB-9361-0C85CFECB939}"/>
                </c:ext>
              </c:extLst>
            </c:dLbl>
            <c:dLbl>
              <c:idx val="3"/>
              <c:tx>
                <c:rich>
                  <a:bodyPr/>
                  <a:lstStyle/>
                  <a:p>
                    <a:r>
                      <a:rPr lang="en-US"/>
                      <a:t>Aa</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EDF4-43DB-9361-0C85CFECB939}"/>
                </c:ext>
              </c:extLst>
            </c:dLbl>
            <c:dLbl>
              <c:idx val="4"/>
              <c:tx>
                <c:rich>
                  <a:bodyPr/>
                  <a:lstStyle/>
                  <a:p>
                    <a:r>
                      <a:rPr lang="en-US"/>
                      <a:t>Aa</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EDF4-43DB-9361-0C85CFECB939}"/>
                </c:ext>
              </c:extLst>
            </c:dLbl>
            <c:dLbl>
              <c:idx val="5"/>
              <c:tx>
                <c:rich>
                  <a:bodyPr/>
                  <a:lstStyle/>
                  <a:p>
                    <a:r>
                      <a:rPr lang="en-US"/>
                      <a:t>Aa</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EDF4-43DB-9361-0C85CFECB939}"/>
                </c:ext>
              </c:extLst>
            </c:dLbl>
            <c:dLbl>
              <c:idx val="6"/>
              <c:tx>
                <c:rich>
                  <a:bodyPr/>
                  <a:lstStyle/>
                  <a:p>
                    <a:r>
                      <a:rPr lang="en-US"/>
                      <a:t>Bb</a:t>
                    </a:r>
                  </a:p>
                </c:rich>
              </c:tx>
              <c:dLblPos val="outEnd"/>
              <c:showLegendKey val="0"/>
              <c:showVal val="1"/>
              <c:showCatName val="0"/>
              <c:showSerName val="0"/>
              <c:showPercent val="0"/>
              <c:showBubbleSize val="0"/>
              <c:extLst>
                <c:ext xmlns:c15="http://schemas.microsoft.com/office/drawing/2012/chart" uri="{CE6537A1-D6FC-4f65-9D91-7224C49458BB}">
                  <c15:layout>
                    <c:manualLayout>
                      <c:w val="4.5606412351260742E-2"/>
                      <c:h val="8.8616763032884724E-2"/>
                    </c:manualLayout>
                  </c15:layout>
                </c:ext>
                <c:ext xmlns:c16="http://schemas.microsoft.com/office/drawing/2014/chart" uri="{C3380CC4-5D6E-409C-BE32-E72D297353CC}">
                  <c16:uniqueId val="{0000000F-EDF4-43DB-9361-0C85CFECB939}"/>
                </c:ext>
              </c:extLst>
            </c:dLbl>
            <c:dLbl>
              <c:idx val="7"/>
              <c:tx>
                <c:rich>
                  <a:bodyPr/>
                  <a:lstStyle/>
                  <a:p>
                    <a:r>
                      <a:rPr lang="en-US"/>
                      <a:t>Aa</a:t>
                    </a:r>
                  </a:p>
                </c:rich>
              </c:tx>
              <c:dLblPos val="outEnd"/>
              <c:showLegendKey val="0"/>
              <c:showVal val="1"/>
              <c:showCatName val="0"/>
              <c:showSerName val="0"/>
              <c:showPercent val="0"/>
              <c:showBubbleSize val="0"/>
              <c:extLst>
                <c:ext xmlns:c15="http://schemas.microsoft.com/office/drawing/2012/chart" uri="{CE6537A1-D6FC-4f65-9D91-7224C49458BB}">
                  <c15:layout>
                    <c:manualLayout>
                      <c:w val="4.5578997983085769E-2"/>
                      <c:h val="7.487420691744727E-2"/>
                    </c:manualLayout>
                  </c15:layout>
                </c:ext>
                <c:ext xmlns:c16="http://schemas.microsoft.com/office/drawing/2014/chart" uri="{C3380CC4-5D6E-409C-BE32-E72D297353CC}">
                  <c16:uniqueId val="{00000010-EDF4-43DB-9361-0C85CFECB939}"/>
                </c:ext>
              </c:extLst>
            </c:dLbl>
            <c:dLbl>
              <c:idx val="8"/>
              <c:tx>
                <c:rich>
                  <a:bodyPr/>
                  <a:lstStyle/>
                  <a:p>
                    <a:r>
                      <a:rPr lang="en-US"/>
                      <a:t>Aa</a:t>
                    </a:r>
                  </a:p>
                </c:rich>
              </c:tx>
              <c:dLblPos val="outEnd"/>
              <c:showLegendKey val="0"/>
              <c:showVal val="1"/>
              <c:showCatName val="0"/>
              <c:showSerName val="0"/>
              <c:showPercent val="0"/>
              <c:showBubbleSize val="0"/>
              <c:extLst>
                <c:ext xmlns:c15="http://schemas.microsoft.com/office/drawing/2012/chart" uri="{CE6537A1-D6FC-4f65-9D91-7224C49458BB}">
                  <c15:layout>
                    <c:manualLayout>
                      <c:w val="4.5578997983085769E-2"/>
                      <c:h val="8.4035910994405591E-2"/>
                    </c:manualLayout>
                  </c15:layout>
                </c:ext>
                <c:ext xmlns:c16="http://schemas.microsoft.com/office/drawing/2014/chart" uri="{C3380CC4-5D6E-409C-BE32-E72D297353CC}">
                  <c16:uniqueId val="{00000011-EDF4-43DB-9361-0C85CFECB939}"/>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SoyOnly!$AK$4:$AK$12</c:f>
                <c:numCache>
                  <c:formatCode>General</c:formatCode>
                  <c:ptCount val="9"/>
                  <c:pt idx="0">
                    <c:v>0.14551237973796591</c:v>
                  </c:pt>
                  <c:pt idx="1">
                    <c:v>0.24006943440041018</c:v>
                  </c:pt>
                  <c:pt idx="2">
                    <c:v>0.25873624493766384</c:v>
                  </c:pt>
                  <c:pt idx="3">
                    <c:v>0.11718930554166133</c:v>
                  </c:pt>
                  <c:pt idx="4">
                    <c:v>0.22271057451319662</c:v>
                  </c:pt>
                  <c:pt idx="5">
                    <c:v>0.22243600827604088</c:v>
                  </c:pt>
                  <c:pt idx="6">
                    <c:v>0.35843796921891791</c:v>
                  </c:pt>
                  <c:pt idx="7">
                    <c:v>0.28360771028540366</c:v>
                  </c:pt>
                  <c:pt idx="8">
                    <c:v>0.33962397507309228</c:v>
                  </c:pt>
                </c:numCache>
              </c:numRef>
            </c:plus>
            <c:minus>
              <c:numRef>
                <c:f>SoyOnly!$AK$4:$AK$12</c:f>
                <c:numCache>
                  <c:formatCode>General</c:formatCode>
                  <c:ptCount val="9"/>
                  <c:pt idx="0">
                    <c:v>0.14551237973796591</c:v>
                  </c:pt>
                  <c:pt idx="1">
                    <c:v>0.24006943440041018</c:v>
                  </c:pt>
                  <c:pt idx="2">
                    <c:v>0.25873624493766384</c:v>
                  </c:pt>
                  <c:pt idx="3">
                    <c:v>0.11718930554166133</c:v>
                  </c:pt>
                  <c:pt idx="4">
                    <c:v>0.22271057451319662</c:v>
                  </c:pt>
                  <c:pt idx="5">
                    <c:v>0.22243600827604088</c:v>
                  </c:pt>
                  <c:pt idx="6">
                    <c:v>0.35843796921891791</c:v>
                  </c:pt>
                  <c:pt idx="7">
                    <c:v>0.28360771028540366</c:v>
                  </c:pt>
                  <c:pt idx="8">
                    <c:v>0.33962397507309228</c:v>
                  </c:pt>
                </c:numCache>
              </c:numRef>
            </c:minus>
            <c:spPr>
              <a:noFill/>
              <a:ln w="9525" cap="flat" cmpd="sng" algn="ctr">
                <a:solidFill>
                  <a:schemeClr val="tx1">
                    <a:lumMod val="65000"/>
                    <a:lumOff val="35000"/>
                  </a:schemeClr>
                </a:solidFill>
                <a:round/>
              </a:ln>
              <a:effectLst/>
            </c:spPr>
          </c:errBars>
          <c:cat>
            <c:multiLvlStrRef>
              <c:f>SoyOnly!$AH$4:$AH$12</c:f>
              <c:multiLvlStrCache>
                <c:ptCount val="9"/>
                <c:lvl>
                  <c:pt idx="0">
                    <c:v> </c:v>
                  </c:pt>
                  <c:pt idx="1">
                    <c:v>CP</c:v>
                  </c:pt>
                  <c:pt idx="2">
                    <c:v>NT</c:v>
                  </c:pt>
                  <c:pt idx="3">
                    <c:v>CP</c:v>
                  </c:pt>
                  <c:pt idx="4">
                    <c:v>NT</c:v>
                  </c:pt>
                  <c:pt idx="5">
                    <c:v>CP</c:v>
                  </c:pt>
                  <c:pt idx="6">
                    <c:v>NT</c:v>
                  </c:pt>
                  <c:pt idx="7">
                    <c:v>CP</c:v>
                  </c:pt>
                  <c:pt idx="8">
                    <c:v>NT</c:v>
                  </c:pt>
                </c:lvl>
                <c:lvl>
                  <c:pt idx="0">
                    <c:v>Fall</c:v>
                  </c:pt>
                  <c:pt idx="1">
                    <c:v>Spring</c:v>
                  </c:pt>
                  <c:pt idx="3">
                    <c:v>Fall</c:v>
                  </c:pt>
                  <c:pt idx="5">
                    <c:v>Spring</c:v>
                  </c:pt>
                  <c:pt idx="7">
                    <c:v>Fall</c:v>
                  </c:pt>
                </c:lvl>
                <c:lvl>
                  <c:pt idx="0">
                    <c:v>2017</c:v>
                  </c:pt>
                  <c:pt idx="1">
                    <c:v>2018</c:v>
                  </c:pt>
                  <c:pt idx="5">
                    <c:v>2019</c:v>
                  </c:pt>
                </c:lvl>
              </c:multiLvlStrCache>
            </c:multiLvlStrRef>
          </c:cat>
          <c:val>
            <c:numRef>
              <c:f>SoyOnly!$AH$4:$AH$12</c:f>
              <c:numCache>
                <c:formatCode>General</c:formatCode>
                <c:ptCount val="9"/>
                <c:pt idx="0">
                  <c:v>5.8320833333333333</c:v>
                </c:pt>
                <c:pt idx="1">
                  <c:v>5.53</c:v>
                </c:pt>
                <c:pt idx="2">
                  <c:v>5.793333333333333</c:v>
                </c:pt>
                <c:pt idx="3">
                  <c:v>5.9200000000000008</c:v>
                </c:pt>
                <c:pt idx="4">
                  <c:v>5.77</c:v>
                </c:pt>
                <c:pt idx="5">
                  <c:v>5.4533333333333331</c:v>
                </c:pt>
                <c:pt idx="6">
                  <c:v>4.6766666666666659</c:v>
                </c:pt>
                <c:pt idx="7">
                  <c:v>5.82</c:v>
                </c:pt>
                <c:pt idx="8">
                  <c:v>5.9366666666666665</c:v>
                </c:pt>
              </c:numCache>
            </c:numRef>
          </c:val>
          <c:extLst>
            <c:ext xmlns:c16="http://schemas.microsoft.com/office/drawing/2014/chart" uri="{C3380CC4-5D6E-409C-BE32-E72D297353CC}">
              <c16:uniqueId val="{00000012-EDF4-43DB-9361-0C85CFECB939}"/>
            </c:ext>
          </c:extLst>
        </c:ser>
        <c:dLbls>
          <c:dLblPos val="outEnd"/>
          <c:showLegendKey val="0"/>
          <c:showVal val="1"/>
          <c:showCatName val="0"/>
          <c:showSerName val="0"/>
          <c:showPercent val="0"/>
          <c:showBubbleSize val="0"/>
        </c:dLbls>
        <c:gapWidth val="100"/>
        <c:axId val="525280888"/>
        <c:axId val="525279288"/>
      </c:barChart>
      <c:catAx>
        <c:axId val="5252808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25279288"/>
        <c:crosses val="autoZero"/>
        <c:auto val="1"/>
        <c:lblAlgn val="ctr"/>
        <c:lblOffset val="100"/>
        <c:noMultiLvlLbl val="0"/>
      </c:catAx>
      <c:valAx>
        <c:axId val="525279288"/>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pH</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in"/>
        <c:minorTickMark val="none"/>
        <c:tickLblPos val="nextTo"/>
        <c:spPr>
          <a:noFill/>
          <a:ln>
            <a:solidFill>
              <a:schemeClr val="bg1">
                <a:lumMod val="85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25280888"/>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pivotOptions>
    </c:ext>
    <c:ext xmlns:c16="http://schemas.microsoft.com/office/drawing/2014/chart" uri="{E28EC0CA-F0BB-4C9C-879D-F8772B89E7AC}">
      <c16:pivotOptions16>
        <c16:showExpandCollapseFieldButtons val="1"/>
      </c16:pivotOptions16>
    </c:ext>
  </c:extLst>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[Master File_SAS.xlsx]SoyOnly!PivotTable23</c:name>
    <c:fmtId val="-1"/>
  </c:pivotSource>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Soil pH 6-12"</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ivotFmts>
      <c:pivotFmt>
        <c:idx val="0"/>
        <c:spPr>
          <a:solidFill>
            <a:schemeClr val="bg1">
              <a:lumMod val="65000"/>
            </a:schemeClr>
          </a:solidFill>
          <a:ln>
            <a:solidFill>
              <a:sysClr val="windowText" lastClr="000000"/>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bg1">
              <a:lumMod val="85000"/>
            </a:schemeClr>
          </a:solidFill>
          <a:ln>
            <a:solidFill>
              <a:sysClr val="windowText" lastClr="000000"/>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bg1">
              <a:lumMod val="85000"/>
            </a:schemeClr>
          </a:solidFill>
          <a:ln>
            <a:solidFill>
              <a:sysClr val="windowText" lastClr="000000"/>
            </a:solidFill>
          </a:ln>
          <a:effectLst/>
        </c:spP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bg1">
              <a:lumMod val="8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4"/>
        <c:spPr>
          <a:solidFill>
            <a:schemeClr val="bg1">
              <a:lumMod val="6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5"/>
        <c:spPr>
          <a:solidFill>
            <a:schemeClr val="bg1">
              <a:lumMod val="6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6"/>
        <c:spPr>
          <a:solidFill>
            <a:schemeClr val="bg1">
              <a:lumMod val="8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7"/>
        <c:spPr>
          <a:solidFill>
            <a:schemeClr val="bg1">
              <a:lumMod val="8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8"/>
        <c:spPr>
          <a:solidFill>
            <a:schemeClr val="bg1">
              <a:lumMod val="6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9"/>
        <c:spPr>
          <a:solidFill>
            <a:schemeClr val="bg1">
              <a:lumMod val="8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0"/>
        <c:spPr>
          <a:solidFill>
            <a:schemeClr val="bg1">
              <a:lumMod val="6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1"/>
        <c:spPr>
          <a:solidFill>
            <a:schemeClr val="bg1">
              <a:lumMod val="8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2"/>
        <c:spPr>
          <a:solidFill>
            <a:schemeClr val="bg1">
              <a:lumMod val="8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Ab</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3"/>
        <c:spPr>
          <a:solidFill>
            <a:schemeClr val="bg1">
              <a:lumMod val="6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4"/>
        <c:spPr>
          <a:solidFill>
            <a:schemeClr val="bg1">
              <a:lumMod val="6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5"/>
        <c:spPr>
          <a:solidFill>
            <a:schemeClr val="bg1">
              <a:lumMod val="6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6"/>
        <c:spPr>
          <a:solidFill>
            <a:schemeClr val="bg1">
              <a:lumMod val="8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Bb</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7"/>
        <c:spPr>
          <a:solidFill>
            <a:schemeClr val="bg1">
              <a:lumMod val="8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8"/>
        <c:spPr>
          <a:solidFill>
            <a:schemeClr val="bg1">
              <a:lumMod val="6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9"/>
        <c:spPr>
          <a:solidFill>
            <a:schemeClr val="bg1">
              <a:lumMod val="65000"/>
            </a:schemeClr>
          </a:solidFill>
          <a:ln>
            <a:solidFill>
              <a:sysClr val="windowText" lastClr="000000"/>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0"/>
        <c:spPr>
          <a:solidFill>
            <a:schemeClr val="bg1">
              <a:lumMod val="6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1"/>
        <c:spPr>
          <a:solidFill>
            <a:schemeClr val="bg1">
              <a:lumMod val="6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2"/>
        <c:spPr>
          <a:solidFill>
            <a:schemeClr val="bg1">
              <a:lumMod val="6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3"/>
        <c:spPr>
          <a:solidFill>
            <a:schemeClr val="bg1">
              <a:lumMod val="6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4"/>
        <c:spPr>
          <a:solidFill>
            <a:schemeClr val="bg1">
              <a:lumMod val="6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5"/>
        <c:spPr>
          <a:solidFill>
            <a:schemeClr val="bg1">
              <a:lumMod val="6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6"/>
        <c:spPr>
          <a:solidFill>
            <a:schemeClr val="bg1">
              <a:lumMod val="6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7"/>
        <c:spPr>
          <a:solidFill>
            <a:schemeClr val="bg1">
              <a:lumMod val="6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8"/>
        <c:spPr>
          <a:solidFill>
            <a:schemeClr val="bg1">
              <a:lumMod val="85000"/>
            </a:schemeClr>
          </a:solidFill>
          <a:ln>
            <a:solidFill>
              <a:sysClr val="windowText" lastClr="000000"/>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9"/>
        <c:spPr>
          <a:solidFill>
            <a:schemeClr val="bg1">
              <a:lumMod val="85000"/>
            </a:schemeClr>
          </a:solidFill>
          <a:ln>
            <a:solidFill>
              <a:sysClr val="windowText" lastClr="000000"/>
            </a:solidFill>
          </a:ln>
          <a:effectLst/>
        </c:spP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0"/>
        <c:spPr>
          <a:solidFill>
            <a:schemeClr val="bg1">
              <a:lumMod val="8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Ab</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31"/>
        <c:spPr>
          <a:solidFill>
            <a:schemeClr val="bg1">
              <a:lumMod val="8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32"/>
        <c:spPr>
          <a:solidFill>
            <a:schemeClr val="bg1">
              <a:lumMod val="8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33"/>
        <c:spPr>
          <a:solidFill>
            <a:schemeClr val="bg1">
              <a:lumMod val="8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34"/>
        <c:spPr>
          <a:solidFill>
            <a:schemeClr val="bg1">
              <a:lumMod val="8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35"/>
        <c:spPr>
          <a:solidFill>
            <a:schemeClr val="bg1">
              <a:lumMod val="8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Bb</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36"/>
        <c:spPr>
          <a:solidFill>
            <a:schemeClr val="bg1">
              <a:lumMod val="8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37"/>
        <c:spPr>
          <a:solidFill>
            <a:schemeClr val="bg1">
              <a:lumMod val="8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38"/>
        <c:spPr>
          <a:solidFill>
            <a:schemeClr val="bg1">
              <a:lumMod val="65000"/>
            </a:schemeClr>
          </a:solidFill>
          <a:ln>
            <a:solidFill>
              <a:sysClr val="windowText" lastClr="000000"/>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39"/>
        <c:spPr>
          <a:solidFill>
            <a:schemeClr val="bg1">
              <a:lumMod val="6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40"/>
        <c:spPr>
          <a:solidFill>
            <a:schemeClr val="bg1">
              <a:lumMod val="6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41"/>
        <c:spPr>
          <a:solidFill>
            <a:schemeClr val="bg1">
              <a:lumMod val="6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42"/>
        <c:spPr>
          <a:solidFill>
            <a:schemeClr val="bg1">
              <a:lumMod val="6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43"/>
        <c:spPr>
          <a:solidFill>
            <a:schemeClr val="bg1">
              <a:lumMod val="6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44"/>
        <c:spPr>
          <a:solidFill>
            <a:schemeClr val="bg1">
              <a:lumMod val="6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45"/>
        <c:spPr>
          <a:solidFill>
            <a:schemeClr val="bg1">
              <a:lumMod val="6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46"/>
        <c:spPr>
          <a:solidFill>
            <a:schemeClr val="bg1">
              <a:lumMod val="6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47"/>
        <c:spPr>
          <a:solidFill>
            <a:schemeClr val="bg1">
              <a:lumMod val="85000"/>
            </a:schemeClr>
          </a:solidFill>
          <a:ln>
            <a:solidFill>
              <a:sysClr val="windowText" lastClr="000000"/>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48"/>
        <c:spPr>
          <a:solidFill>
            <a:schemeClr val="bg1">
              <a:lumMod val="85000"/>
            </a:schemeClr>
          </a:solidFill>
          <a:ln>
            <a:solidFill>
              <a:sysClr val="windowText" lastClr="000000"/>
            </a:solidFill>
          </a:ln>
          <a:effectLst/>
        </c:spP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9"/>
        <c:spPr>
          <a:solidFill>
            <a:schemeClr val="bg1">
              <a:lumMod val="8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Ab</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50"/>
        <c:spPr>
          <a:solidFill>
            <a:schemeClr val="bg1">
              <a:lumMod val="8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51"/>
        <c:spPr>
          <a:solidFill>
            <a:schemeClr val="bg1">
              <a:lumMod val="8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52"/>
        <c:spPr>
          <a:solidFill>
            <a:schemeClr val="bg1">
              <a:lumMod val="8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53"/>
        <c:spPr>
          <a:solidFill>
            <a:schemeClr val="bg1">
              <a:lumMod val="8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54"/>
        <c:spPr>
          <a:solidFill>
            <a:schemeClr val="bg1">
              <a:lumMod val="8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Bb</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55"/>
        <c:spPr>
          <a:solidFill>
            <a:schemeClr val="bg1">
              <a:lumMod val="8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56"/>
        <c:spPr>
          <a:solidFill>
            <a:schemeClr val="bg1">
              <a:lumMod val="8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SoyOnly!$AA$25:$AA$26</c:f>
              <c:strCache>
                <c:ptCount val="1"/>
                <c:pt idx="0">
                  <c:v>CC</c:v>
                </c:pt>
              </c:strCache>
            </c:strRef>
          </c:tx>
          <c:spPr>
            <a:solidFill>
              <a:schemeClr val="bg1">
                <a:lumMod val="65000"/>
              </a:schemeClr>
            </a:solidFill>
            <a:ln>
              <a:solidFill>
                <a:sysClr val="windowText" lastClr="000000"/>
              </a:solidFill>
            </a:ln>
            <a:effectLst/>
          </c:spPr>
          <c:invertIfNegative val="0"/>
          <c:dLbls>
            <c:dLbl>
              <c:idx val="1"/>
              <c:tx>
                <c:rich>
                  <a:bodyPr/>
                  <a:lstStyle/>
                  <a:p>
                    <a:r>
                      <a:rPr lang="en-US"/>
                      <a:t>Aa</a:t>
                    </a:r>
                  </a:p>
                </c:rich>
              </c:tx>
              <c:dLblPos val="outEnd"/>
              <c:showLegendKey val="0"/>
              <c:showVal val="1"/>
              <c:showCatName val="0"/>
              <c:showSerName val="0"/>
              <c:showPercent val="0"/>
              <c:showBubbleSize val="0"/>
              <c:extLst>
                <c:ext xmlns:c15="http://schemas.microsoft.com/office/drawing/2012/chart" uri="{CE6537A1-D6FC-4f65-9D91-7224C49458BB}">
                  <c15:layout>
                    <c:manualLayout>
                      <c:w val="4.5622903139043727E-2"/>
                      <c:h val="7.0293354878968123E-2"/>
                    </c:manualLayout>
                  </c15:layout>
                </c:ext>
                <c:ext xmlns:c16="http://schemas.microsoft.com/office/drawing/2014/chart" uri="{C3380CC4-5D6E-409C-BE32-E72D297353CC}">
                  <c16:uniqueId val="{00000000-F5BF-43E1-825F-9D12B16A210C}"/>
                </c:ext>
              </c:extLst>
            </c:dLbl>
            <c:dLbl>
              <c:idx val="2"/>
              <c:tx>
                <c:rich>
                  <a:bodyPr/>
                  <a:lstStyle/>
                  <a:p>
                    <a:r>
                      <a:rPr lang="en-US"/>
                      <a:t>Aa</a:t>
                    </a:r>
                  </a:p>
                </c:rich>
              </c:tx>
              <c:dLblPos val="outEnd"/>
              <c:showLegendKey val="0"/>
              <c:showVal val="1"/>
              <c:showCatName val="0"/>
              <c:showSerName val="0"/>
              <c:showPercent val="0"/>
              <c:showBubbleSize val="0"/>
              <c:extLst>
                <c:ext xmlns:c15="http://schemas.microsoft.com/office/drawing/2012/chart" uri="{CE6537A1-D6FC-4f65-9D91-7224C49458BB}">
                  <c15:layout>
                    <c:manualLayout>
                      <c:w val="4.5622903139043727E-2"/>
                      <c:h val="9.3197615071363898E-2"/>
                    </c:manualLayout>
                  </c15:layout>
                </c:ext>
                <c:ext xmlns:c16="http://schemas.microsoft.com/office/drawing/2014/chart" uri="{C3380CC4-5D6E-409C-BE32-E72D297353CC}">
                  <c16:uniqueId val="{00000001-F5BF-43E1-825F-9D12B16A210C}"/>
                </c:ext>
              </c:extLst>
            </c:dLbl>
            <c:dLbl>
              <c:idx val="3"/>
              <c:tx>
                <c:rich>
                  <a:bodyPr/>
                  <a:lstStyle/>
                  <a:p>
                    <a:r>
                      <a:rPr lang="en-US"/>
                      <a:t>Aa</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5BF-43E1-825F-9D12B16A210C}"/>
                </c:ext>
              </c:extLst>
            </c:dLbl>
            <c:dLbl>
              <c:idx val="4"/>
              <c:tx>
                <c:rich>
                  <a:bodyPr/>
                  <a:lstStyle/>
                  <a:p>
                    <a:r>
                      <a:rPr lang="en-US"/>
                      <a:t>Aa</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5BF-43E1-825F-9D12B16A210C}"/>
                </c:ext>
              </c:extLst>
            </c:dLbl>
            <c:dLbl>
              <c:idx val="5"/>
              <c:tx>
                <c:rich>
                  <a:bodyPr/>
                  <a:lstStyle/>
                  <a:p>
                    <a:r>
                      <a:rPr lang="en-US"/>
                      <a:t>Aa</a:t>
                    </a:r>
                  </a:p>
                </c:rich>
              </c:tx>
              <c:dLblPos val="outEnd"/>
              <c:showLegendKey val="0"/>
              <c:showVal val="1"/>
              <c:showCatName val="0"/>
              <c:showSerName val="0"/>
              <c:showPercent val="0"/>
              <c:showBubbleSize val="0"/>
              <c:extLst>
                <c:ext xmlns:c15="http://schemas.microsoft.com/office/drawing/2012/chart" uri="{CE6537A1-D6FC-4f65-9D91-7224C49458BB}">
                  <c15:layout>
                    <c:manualLayout>
                      <c:w val="4.5622903139043727E-2"/>
                      <c:h val="8.8616763032884724E-2"/>
                    </c:manualLayout>
                  </c15:layout>
                </c:ext>
                <c:ext xmlns:c16="http://schemas.microsoft.com/office/drawing/2014/chart" uri="{C3380CC4-5D6E-409C-BE32-E72D297353CC}">
                  <c16:uniqueId val="{00000004-F5BF-43E1-825F-9D12B16A210C}"/>
                </c:ext>
              </c:extLst>
            </c:dLbl>
            <c:dLbl>
              <c:idx val="6"/>
              <c:tx>
                <c:rich>
                  <a:bodyPr/>
                  <a:lstStyle/>
                  <a:p>
                    <a:r>
                      <a:rPr lang="en-US"/>
                      <a:t>Aa</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5BF-43E1-825F-9D12B16A210C}"/>
                </c:ext>
              </c:extLst>
            </c:dLbl>
            <c:dLbl>
              <c:idx val="7"/>
              <c:tx>
                <c:rich>
                  <a:bodyPr/>
                  <a:lstStyle/>
                  <a:p>
                    <a:r>
                      <a:rPr lang="en-US"/>
                      <a:t>Aa</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F5BF-43E1-825F-9D12B16A210C}"/>
                </c:ext>
              </c:extLst>
            </c:dLbl>
            <c:dLbl>
              <c:idx val="8"/>
              <c:tx>
                <c:rich>
                  <a:bodyPr/>
                  <a:lstStyle/>
                  <a:p>
                    <a:r>
                      <a:rPr lang="en-US"/>
                      <a:t>Aa</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F5BF-43E1-825F-9D12B16A210C}"/>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SoyOnly!$AH$27:$AH$35</c:f>
                <c:numCache>
                  <c:formatCode>General</c:formatCode>
                  <c:ptCount val="9"/>
                  <c:pt idx="1">
                    <c:v>0.38436094147732086</c:v>
                  </c:pt>
                  <c:pt idx="2">
                    <c:v>0.51595650118116698</c:v>
                  </c:pt>
                  <c:pt idx="3">
                    <c:v>0.11551815634110034</c:v>
                  </c:pt>
                  <c:pt idx="4">
                    <c:v>0.10837178804671055</c:v>
                  </c:pt>
                  <c:pt idx="5">
                    <c:v>0.40522970166451872</c:v>
                  </c:pt>
                  <c:pt idx="6">
                    <c:v>0.15373136743466359</c:v>
                  </c:pt>
                  <c:pt idx="7">
                    <c:v>3.6055512754647148E-2</c:v>
                  </c:pt>
                  <c:pt idx="8">
                    <c:v>0.2866085212348769</c:v>
                  </c:pt>
                </c:numCache>
              </c:numRef>
            </c:plus>
            <c:minus>
              <c:numRef>
                <c:f>SoyOnly!$AH$27:$AH$35</c:f>
                <c:numCache>
                  <c:formatCode>General</c:formatCode>
                  <c:ptCount val="9"/>
                  <c:pt idx="1">
                    <c:v>0.38436094147732086</c:v>
                  </c:pt>
                  <c:pt idx="2">
                    <c:v>0.51595650118116698</c:v>
                  </c:pt>
                  <c:pt idx="3">
                    <c:v>0.11551815634110034</c:v>
                  </c:pt>
                  <c:pt idx="4">
                    <c:v>0.10837178804671055</c:v>
                  </c:pt>
                  <c:pt idx="5">
                    <c:v>0.40522970166451872</c:v>
                  </c:pt>
                  <c:pt idx="6">
                    <c:v>0.15373136743466359</c:v>
                  </c:pt>
                  <c:pt idx="7">
                    <c:v>3.6055512754647148E-2</c:v>
                  </c:pt>
                  <c:pt idx="8">
                    <c:v>0.2866085212348769</c:v>
                  </c:pt>
                </c:numCache>
              </c:numRef>
            </c:minus>
            <c:spPr>
              <a:noFill/>
              <a:ln w="9525" cap="flat" cmpd="sng" algn="ctr">
                <a:solidFill>
                  <a:schemeClr val="tx1">
                    <a:lumMod val="65000"/>
                    <a:lumOff val="35000"/>
                  </a:schemeClr>
                </a:solidFill>
                <a:round/>
              </a:ln>
              <a:effectLst/>
            </c:spPr>
          </c:errBars>
          <c:cat>
            <c:multiLvlStrRef>
              <c:f>SoyOnly!$AH$27:$AH$35</c:f>
              <c:multiLvlStrCache>
                <c:ptCount val="9"/>
                <c:lvl>
                  <c:pt idx="0">
                    <c:v> </c:v>
                  </c:pt>
                  <c:pt idx="1">
                    <c:v>CP</c:v>
                  </c:pt>
                  <c:pt idx="2">
                    <c:v>NT</c:v>
                  </c:pt>
                  <c:pt idx="3">
                    <c:v>CP</c:v>
                  </c:pt>
                  <c:pt idx="4">
                    <c:v>NT</c:v>
                  </c:pt>
                  <c:pt idx="5">
                    <c:v>CP</c:v>
                  </c:pt>
                  <c:pt idx="6">
                    <c:v>NT</c:v>
                  </c:pt>
                  <c:pt idx="7">
                    <c:v>CP</c:v>
                  </c:pt>
                  <c:pt idx="8">
                    <c:v>NT</c:v>
                  </c:pt>
                </c:lvl>
                <c:lvl>
                  <c:pt idx="0">
                    <c:v>Fall</c:v>
                  </c:pt>
                  <c:pt idx="1">
                    <c:v>Spring</c:v>
                  </c:pt>
                  <c:pt idx="3">
                    <c:v>Fall</c:v>
                  </c:pt>
                  <c:pt idx="5">
                    <c:v>Spring</c:v>
                  </c:pt>
                  <c:pt idx="7">
                    <c:v>Fall</c:v>
                  </c:pt>
                </c:lvl>
                <c:lvl>
                  <c:pt idx="0">
                    <c:v>2017</c:v>
                  </c:pt>
                  <c:pt idx="1">
                    <c:v>2018</c:v>
                  </c:pt>
                  <c:pt idx="5">
                    <c:v>2019</c:v>
                  </c:pt>
                </c:lvl>
              </c:multiLvlStrCache>
            </c:multiLvlStrRef>
          </c:cat>
          <c:val>
            <c:numRef>
              <c:f>SoyOnly!$AH$27:$AH$35</c:f>
              <c:numCache>
                <c:formatCode>General</c:formatCode>
                <c:ptCount val="9"/>
                <c:pt idx="1">
                  <c:v>6.07</c:v>
                </c:pt>
                <c:pt idx="2">
                  <c:v>6.333333333333333</c:v>
                </c:pt>
                <c:pt idx="3">
                  <c:v>6.6466666666666656</c:v>
                </c:pt>
                <c:pt idx="4">
                  <c:v>6.3533333333333326</c:v>
                </c:pt>
                <c:pt idx="5">
                  <c:v>6.503333333333333</c:v>
                </c:pt>
                <c:pt idx="6">
                  <c:v>6.6000000000000005</c:v>
                </c:pt>
                <c:pt idx="7">
                  <c:v>6.6499999999999995</c:v>
                </c:pt>
                <c:pt idx="8">
                  <c:v>6.9466666666666663</c:v>
                </c:pt>
              </c:numCache>
            </c:numRef>
          </c:val>
          <c:extLst>
            <c:ext xmlns:c16="http://schemas.microsoft.com/office/drawing/2014/chart" uri="{C3380CC4-5D6E-409C-BE32-E72D297353CC}">
              <c16:uniqueId val="{00000008-F5BF-43E1-825F-9D12B16A210C}"/>
            </c:ext>
          </c:extLst>
        </c:ser>
        <c:ser>
          <c:idx val="1"/>
          <c:order val="1"/>
          <c:tx>
            <c:strRef>
              <c:f>SoyOnly!$AB$25:$AB$26</c:f>
              <c:strCache>
                <c:ptCount val="1"/>
                <c:pt idx="0">
                  <c:v>NC</c:v>
                </c:pt>
              </c:strCache>
            </c:strRef>
          </c:tx>
          <c:spPr>
            <a:solidFill>
              <a:schemeClr val="bg1">
                <a:lumMod val="85000"/>
              </a:schemeClr>
            </a:solidFill>
            <a:ln>
              <a:solidFill>
                <a:sysClr val="windowText" lastClr="000000"/>
              </a:solid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9-F5BF-43E1-825F-9D12B16A210C}"/>
                </c:ext>
              </c:extLst>
            </c:dLbl>
            <c:dLbl>
              <c:idx val="1"/>
              <c:tx>
                <c:rich>
                  <a:bodyPr/>
                  <a:lstStyle/>
                  <a:p>
                    <a:r>
                      <a:rPr lang="en-US"/>
                      <a:t>Ab</a:t>
                    </a:r>
                  </a:p>
                </c:rich>
              </c:tx>
              <c:dLblPos val="outEnd"/>
              <c:showLegendKey val="0"/>
              <c:showVal val="1"/>
              <c:showCatName val="0"/>
              <c:showSerName val="0"/>
              <c:showPercent val="0"/>
              <c:showBubbleSize val="0"/>
              <c:extLst>
                <c:ext xmlns:c15="http://schemas.microsoft.com/office/drawing/2012/chart" uri="{CE6537A1-D6FC-4f65-9D91-7224C49458BB}">
                  <c15:layout>
                    <c:manualLayout>
                      <c:w val="4.7019775964596874E-2"/>
                      <c:h val="9.7778467109843059E-2"/>
                    </c:manualLayout>
                  </c15:layout>
                </c:ext>
                <c:ext xmlns:c16="http://schemas.microsoft.com/office/drawing/2014/chart" uri="{C3380CC4-5D6E-409C-BE32-E72D297353CC}">
                  <c16:uniqueId val="{0000000A-F5BF-43E1-825F-9D12B16A210C}"/>
                </c:ext>
              </c:extLst>
            </c:dLbl>
            <c:dLbl>
              <c:idx val="2"/>
              <c:tx>
                <c:rich>
                  <a:bodyPr/>
                  <a:lstStyle/>
                  <a:p>
                    <a:r>
                      <a:rPr lang="en-US"/>
                      <a:t>Aa</a:t>
                    </a:r>
                  </a:p>
                </c:rich>
              </c:tx>
              <c:dLblPos val="outEnd"/>
              <c:showLegendKey val="0"/>
              <c:showVal val="1"/>
              <c:showCatName val="0"/>
              <c:showSerName val="0"/>
              <c:showPercent val="0"/>
              <c:showBubbleSize val="0"/>
              <c:extLst>
                <c:ext xmlns:c15="http://schemas.microsoft.com/office/drawing/2012/chart" uri="{CE6537A1-D6FC-4f65-9D91-7224C49458BB}">
                  <c15:layout>
                    <c:manualLayout>
                      <c:w val="4.5622903139043727E-2"/>
                      <c:h val="9.7778467109843059E-2"/>
                    </c:manualLayout>
                  </c15:layout>
                </c:ext>
                <c:ext xmlns:c16="http://schemas.microsoft.com/office/drawing/2014/chart" uri="{C3380CC4-5D6E-409C-BE32-E72D297353CC}">
                  <c16:uniqueId val="{0000000B-F5BF-43E1-825F-9D12B16A210C}"/>
                </c:ext>
              </c:extLst>
            </c:dLbl>
            <c:dLbl>
              <c:idx val="3"/>
              <c:tx>
                <c:rich>
                  <a:bodyPr/>
                  <a:lstStyle/>
                  <a:p>
                    <a:r>
                      <a:rPr lang="en-US"/>
                      <a:t>Aa</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F5BF-43E1-825F-9D12B16A210C}"/>
                </c:ext>
              </c:extLst>
            </c:dLbl>
            <c:dLbl>
              <c:idx val="4"/>
              <c:tx>
                <c:rich>
                  <a:bodyPr/>
                  <a:lstStyle/>
                  <a:p>
                    <a:r>
                      <a:rPr lang="en-US"/>
                      <a:t>Aa</a:t>
                    </a:r>
                  </a:p>
                </c:rich>
              </c:tx>
              <c:dLblPos val="outEnd"/>
              <c:showLegendKey val="0"/>
              <c:showVal val="1"/>
              <c:showCatName val="0"/>
              <c:showSerName val="0"/>
              <c:showPercent val="0"/>
              <c:showBubbleSize val="0"/>
              <c:extLst>
                <c:ext xmlns:c15="http://schemas.microsoft.com/office/drawing/2012/chart" uri="{CE6537A1-D6FC-4f65-9D91-7224C49458BB}">
                  <c15:layout>
                    <c:manualLayout>
                      <c:w val="4.5622903139043727E-2"/>
                      <c:h val="8.4035910994405591E-2"/>
                    </c:manualLayout>
                  </c15:layout>
                </c:ext>
                <c:ext xmlns:c16="http://schemas.microsoft.com/office/drawing/2014/chart" uri="{C3380CC4-5D6E-409C-BE32-E72D297353CC}">
                  <c16:uniqueId val="{0000000D-F5BF-43E1-825F-9D12B16A210C}"/>
                </c:ext>
              </c:extLst>
            </c:dLbl>
            <c:dLbl>
              <c:idx val="5"/>
              <c:tx>
                <c:rich>
                  <a:bodyPr/>
                  <a:lstStyle/>
                  <a:p>
                    <a:r>
                      <a:rPr lang="en-US"/>
                      <a:t>Aa</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F5BF-43E1-825F-9D12B16A210C}"/>
                </c:ext>
              </c:extLst>
            </c:dLbl>
            <c:dLbl>
              <c:idx val="6"/>
              <c:tx>
                <c:rich>
                  <a:bodyPr/>
                  <a:lstStyle/>
                  <a:p>
                    <a:r>
                      <a:rPr lang="en-US"/>
                      <a:t>Bb</a:t>
                    </a:r>
                  </a:p>
                </c:rich>
              </c:tx>
              <c:dLblPos val="outEnd"/>
              <c:showLegendKey val="0"/>
              <c:showVal val="1"/>
              <c:showCatName val="0"/>
              <c:showSerName val="0"/>
              <c:showPercent val="0"/>
              <c:showBubbleSize val="0"/>
              <c:extLst>
                <c:ext xmlns:c15="http://schemas.microsoft.com/office/drawing/2012/chart" uri="{CE6537A1-D6FC-4f65-9D91-7224C49458BB}">
                  <c15:layout>
                    <c:manualLayout>
                      <c:w val="4.5650779615761972E-2"/>
                      <c:h val="8.4035910994405591E-2"/>
                    </c:manualLayout>
                  </c15:layout>
                </c:ext>
                <c:ext xmlns:c16="http://schemas.microsoft.com/office/drawing/2014/chart" uri="{C3380CC4-5D6E-409C-BE32-E72D297353CC}">
                  <c16:uniqueId val="{0000000F-F5BF-43E1-825F-9D12B16A210C}"/>
                </c:ext>
              </c:extLst>
            </c:dLbl>
            <c:dLbl>
              <c:idx val="7"/>
              <c:tx>
                <c:rich>
                  <a:bodyPr/>
                  <a:lstStyle/>
                  <a:p>
                    <a:r>
                      <a:rPr lang="en-US"/>
                      <a:t>Aa</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F5BF-43E1-825F-9D12B16A210C}"/>
                </c:ext>
              </c:extLst>
            </c:dLbl>
            <c:dLbl>
              <c:idx val="8"/>
              <c:tx>
                <c:rich>
                  <a:bodyPr/>
                  <a:lstStyle/>
                  <a:p>
                    <a:r>
                      <a:rPr lang="en-US"/>
                      <a:t>Aa</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F5BF-43E1-825F-9D12B16A210C}"/>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SoyOnly!$AK$27:$AK$35</c:f>
                <c:numCache>
                  <c:formatCode>General</c:formatCode>
                  <c:ptCount val="9"/>
                  <c:pt idx="0">
                    <c:v>0.14416153547037999</c:v>
                  </c:pt>
                  <c:pt idx="1">
                    <c:v>0.55813180442536281</c:v>
                  </c:pt>
                  <c:pt idx="2">
                    <c:v>0.53425961229849184</c:v>
                  </c:pt>
                  <c:pt idx="3">
                    <c:v>0.14571661996260984</c:v>
                  </c:pt>
                  <c:pt idx="4">
                    <c:v>0.38860148109742521</c:v>
                  </c:pt>
                  <c:pt idx="5">
                    <c:v>0.12124355652981199</c:v>
                  </c:pt>
                  <c:pt idx="6">
                    <c:v>0.46500896048714235</c:v>
                  </c:pt>
                  <c:pt idx="7">
                    <c:v>0.21385353243127808</c:v>
                  </c:pt>
                  <c:pt idx="8">
                    <c:v>0.35101440299668341</c:v>
                  </c:pt>
                </c:numCache>
              </c:numRef>
            </c:plus>
            <c:minus>
              <c:numRef>
                <c:f>SoyOnly!$AK$27:$AK$35</c:f>
                <c:numCache>
                  <c:formatCode>General</c:formatCode>
                  <c:ptCount val="9"/>
                  <c:pt idx="0">
                    <c:v>0.14416153547037999</c:v>
                  </c:pt>
                  <c:pt idx="1">
                    <c:v>0.55813180442536281</c:v>
                  </c:pt>
                  <c:pt idx="2">
                    <c:v>0.53425961229849184</c:v>
                  </c:pt>
                  <c:pt idx="3">
                    <c:v>0.14571661996260984</c:v>
                  </c:pt>
                  <c:pt idx="4">
                    <c:v>0.38860148109742521</c:v>
                  </c:pt>
                  <c:pt idx="5">
                    <c:v>0.12124355652981199</c:v>
                  </c:pt>
                  <c:pt idx="6">
                    <c:v>0.46500896048714235</c:v>
                  </c:pt>
                  <c:pt idx="7">
                    <c:v>0.21385353243127808</c:v>
                  </c:pt>
                  <c:pt idx="8">
                    <c:v>0.35101440299668341</c:v>
                  </c:pt>
                </c:numCache>
              </c:numRef>
            </c:minus>
            <c:spPr>
              <a:noFill/>
              <a:ln w="9525" cap="flat" cmpd="sng" algn="ctr">
                <a:solidFill>
                  <a:schemeClr val="tx1">
                    <a:lumMod val="65000"/>
                    <a:lumOff val="35000"/>
                  </a:schemeClr>
                </a:solidFill>
                <a:round/>
              </a:ln>
              <a:effectLst/>
            </c:spPr>
          </c:errBars>
          <c:cat>
            <c:multiLvlStrRef>
              <c:f>SoyOnly!$AH$27:$AH$35</c:f>
              <c:multiLvlStrCache>
                <c:ptCount val="9"/>
                <c:lvl>
                  <c:pt idx="0">
                    <c:v> </c:v>
                  </c:pt>
                  <c:pt idx="1">
                    <c:v>CP</c:v>
                  </c:pt>
                  <c:pt idx="2">
                    <c:v>NT</c:v>
                  </c:pt>
                  <c:pt idx="3">
                    <c:v>CP</c:v>
                  </c:pt>
                  <c:pt idx="4">
                    <c:v>NT</c:v>
                  </c:pt>
                  <c:pt idx="5">
                    <c:v>CP</c:v>
                  </c:pt>
                  <c:pt idx="6">
                    <c:v>NT</c:v>
                  </c:pt>
                  <c:pt idx="7">
                    <c:v>CP</c:v>
                  </c:pt>
                  <c:pt idx="8">
                    <c:v>NT</c:v>
                  </c:pt>
                </c:lvl>
                <c:lvl>
                  <c:pt idx="0">
                    <c:v>Fall</c:v>
                  </c:pt>
                  <c:pt idx="1">
                    <c:v>Spring</c:v>
                  </c:pt>
                  <c:pt idx="3">
                    <c:v>Fall</c:v>
                  </c:pt>
                  <c:pt idx="5">
                    <c:v>Spring</c:v>
                  </c:pt>
                  <c:pt idx="7">
                    <c:v>Fall</c:v>
                  </c:pt>
                </c:lvl>
                <c:lvl>
                  <c:pt idx="0">
                    <c:v>2017</c:v>
                  </c:pt>
                  <c:pt idx="1">
                    <c:v>2018</c:v>
                  </c:pt>
                  <c:pt idx="5">
                    <c:v>2019</c:v>
                  </c:pt>
                </c:lvl>
              </c:multiLvlStrCache>
            </c:multiLvlStrRef>
          </c:cat>
          <c:val>
            <c:numRef>
              <c:f>SoyOnly!$AH$27:$AH$35</c:f>
              <c:numCache>
                <c:formatCode>General</c:formatCode>
                <c:ptCount val="9"/>
                <c:pt idx="0">
                  <c:v>6.3445833333333335</c:v>
                </c:pt>
                <c:pt idx="1">
                  <c:v>5.8566666666666665</c:v>
                </c:pt>
                <c:pt idx="2">
                  <c:v>6.56</c:v>
                </c:pt>
                <c:pt idx="3">
                  <c:v>6.669999999999999</c:v>
                </c:pt>
                <c:pt idx="4">
                  <c:v>6.7233333333333327</c:v>
                </c:pt>
                <c:pt idx="5">
                  <c:v>6.4000000000000012</c:v>
                </c:pt>
                <c:pt idx="6">
                  <c:v>5.5100000000000007</c:v>
                </c:pt>
                <c:pt idx="7">
                  <c:v>6.6499999999999995</c:v>
                </c:pt>
                <c:pt idx="8">
                  <c:v>6.7166666666666659</c:v>
                </c:pt>
              </c:numCache>
            </c:numRef>
          </c:val>
          <c:extLst>
            <c:ext xmlns:c16="http://schemas.microsoft.com/office/drawing/2014/chart" uri="{C3380CC4-5D6E-409C-BE32-E72D297353CC}">
              <c16:uniqueId val="{00000012-F5BF-43E1-825F-9D12B16A210C}"/>
            </c:ext>
          </c:extLst>
        </c:ser>
        <c:dLbls>
          <c:dLblPos val="outEnd"/>
          <c:showLegendKey val="0"/>
          <c:showVal val="1"/>
          <c:showCatName val="0"/>
          <c:showSerName val="0"/>
          <c:showPercent val="0"/>
          <c:showBubbleSize val="0"/>
        </c:dLbls>
        <c:gapWidth val="100"/>
        <c:axId val="675953224"/>
        <c:axId val="675951304"/>
      </c:barChart>
      <c:catAx>
        <c:axId val="6759532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75951304"/>
        <c:crosses val="autoZero"/>
        <c:auto val="1"/>
        <c:lblAlgn val="ctr"/>
        <c:lblOffset val="100"/>
        <c:noMultiLvlLbl val="0"/>
      </c:catAx>
      <c:valAx>
        <c:axId val="675951304"/>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pH</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in"/>
        <c:minorTickMark val="none"/>
        <c:tickLblPos val="nextTo"/>
        <c:spPr>
          <a:noFill/>
          <a:ln>
            <a:solidFill>
              <a:schemeClr val="bg1">
                <a:lumMod val="85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7595322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pivotOptions>
    </c:ext>
    <c:ext xmlns:c16="http://schemas.microsoft.com/office/drawing/2014/chart" uri="{E28EC0CA-F0BB-4C9C-879D-F8772B89E7AC}">
      <c16:pivotOptions16>
        <c16:showExpandCollapseFieldButtons val="1"/>
      </c16:pivotOptions16>
    </c:ext>
  </c:extLst>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Soil Microbial Biomass-Carbon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3306390376251326"/>
          <c:y val="0.19"/>
          <c:w val="0.74404705698054663"/>
          <c:h val="0.53007915457936183"/>
        </c:manualLayout>
      </c:layout>
      <c:barChart>
        <c:barDir val="col"/>
        <c:grouping val="clustered"/>
        <c:varyColors val="0"/>
        <c:ser>
          <c:idx val="0"/>
          <c:order val="0"/>
          <c:tx>
            <c:strRef>
              <c:f>SoyOnly!$BD$3</c:f>
              <c:strCache>
                <c:ptCount val="1"/>
                <c:pt idx="0">
                  <c:v>CC</c:v>
                </c:pt>
              </c:strCache>
            </c:strRef>
          </c:tx>
          <c:spPr>
            <a:solidFill>
              <a:schemeClr val="bg1">
                <a:lumMod val="65000"/>
              </a:schemeClr>
            </a:solidFill>
            <a:ln>
              <a:solidFill>
                <a:sysClr val="windowText" lastClr="000000"/>
              </a:solidFill>
            </a:ln>
            <a:effectLst/>
          </c:spPr>
          <c:invertIfNegative val="0"/>
          <c:dLbls>
            <c:dLbl>
              <c:idx val="1"/>
              <c:tx>
                <c:rich>
                  <a:bodyPr/>
                  <a:lstStyle/>
                  <a:p>
                    <a:r>
                      <a:rPr lang="en-US"/>
                      <a:t>Aa</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026-49AF-9E4A-3A2A3D94370D}"/>
                </c:ext>
              </c:extLst>
            </c:dLbl>
            <c:dLbl>
              <c:idx val="2"/>
              <c:tx>
                <c:rich>
                  <a:bodyPr/>
                  <a:lstStyle/>
                  <a:p>
                    <a:r>
                      <a:rPr lang="en-US"/>
                      <a:t>Aa</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026-49AF-9E4A-3A2A3D94370D}"/>
                </c:ext>
              </c:extLst>
            </c:dLbl>
            <c:dLbl>
              <c:idx val="3"/>
              <c:tx>
                <c:rich>
                  <a:bodyPr/>
                  <a:lstStyle/>
                  <a:p>
                    <a:r>
                      <a:rPr lang="en-US"/>
                      <a:t>Aa</a:t>
                    </a:r>
                  </a:p>
                </c:rich>
              </c:tx>
              <c:dLblPos val="outEnd"/>
              <c:showLegendKey val="0"/>
              <c:showVal val="1"/>
              <c:showCatName val="0"/>
              <c:showSerName val="0"/>
              <c:showPercent val="0"/>
              <c:showBubbleSize val="0"/>
              <c:extLst>
                <c:ext xmlns:c15="http://schemas.microsoft.com/office/drawing/2012/chart" uri="{CE6537A1-D6FC-4f65-9D91-7224C49458BB}">
                  <c15:layout>
                    <c:manualLayout>
                      <c:w val="4.5578997983085769E-2"/>
                      <c:h val="9.6552838789888101E-2"/>
                    </c:manualLayout>
                  </c15:layout>
                </c:ext>
                <c:ext xmlns:c16="http://schemas.microsoft.com/office/drawing/2014/chart" uri="{C3380CC4-5D6E-409C-BE32-E72D297353CC}">
                  <c16:uniqueId val="{00000002-B026-49AF-9E4A-3A2A3D94370D}"/>
                </c:ext>
              </c:extLst>
            </c:dLbl>
            <c:dLbl>
              <c:idx val="4"/>
              <c:tx>
                <c:rich>
                  <a:bodyPr/>
                  <a:lstStyle/>
                  <a:p>
                    <a:r>
                      <a:rPr lang="en-US"/>
                      <a:t>Aa</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026-49AF-9E4A-3A2A3D94370D}"/>
                </c:ext>
              </c:extLst>
            </c:dLbl>
            <c:dLbl>
              <c:idx val="5"/>
              <c:tx>
                <c:rich>
                  <a:bodyPr/>
                  <a:lstStyle/>
                  <a:p>
                    <a:r>
                      <a:rPr lang="en-US"/>
                      <a:t>Aa</a:t>
                    </a:r>
                  </a:p>
                </c:rich>
              </c:tx>
              <c:dLblPos val="outEnd"/>
              <c:showLegendKey val="0"/>
              <c:showVal val="1"/>
              <c:showCatName val="0"/>
              <c:showSerName val="0"/>
              <c:showPercent val="0"/>
              <c:showBubbleSize val="0"/>
              <c:extLst>
                <c:ext xmlns:c15="http://schemas.microsoft.com/office/drawing/2012/chart" uri="{CE6537A1-D6FC-4f65-9D91-7224C49458BB}">
                  <c15:layout>
                    <c:manualLayout>
                      <c:w val="4.5578997983085769E-2"/>
                      <c:h val="0.21760547036883549"/>
                    </c:manualLayout>
                  </c15:layout>
                </c:ext>
                <c:ext xmlns:c16="http://schemas.microsoft.com/office/drawing/2014/chart" uri="{C3380CC4-5D6E-409C-BE32-E72D297353CC}">
                  <c16:uniqueId val="{00000004-B026-49AF-9E4A-3A2A3D94370D}"/>
                </c:ext>
              </c:extLst>
            </c:dLbl>
            <c:dLbl>
              <c:idx val="6"/>
              <c:tx>
                <c:rich>
                  <a:bodyPr/>
                  <a:lstStyle/>
                  <a:p>
                    <a:r>
                      <a:rPr lang="en-US"/>
                      <a:t>Ab</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026-49AF-9E4A-3A2A3D94370D}"/>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SoyOnly!$BF$4:$BF$10</c:f>
                <c:numCache>
                  <c:formatCode>General</c:formatCode>
                  <c:ptCount val="7"/>
                  <c:pt idx="1">
                    <c:v>18.967671179326896</c:v>
                  </c:pt>
                  <c:pt idx="2">
                    <c:v>28.096472599385162</c:v>
                  </c:pt>
                  <c:pt idx="3">
                    <c:v>43.396365340805794</c:v>
                  </c:pt>
                  <c:pt idx="4">
                    <c:v>39.298416723280198</c:v>
                  </c:pt>
                  <c:pt idx="5">
                    <c:v>120.90203562632773</c:v>
                  </c:pt>
                  <c:pt idx="6">
                    <c:v>16.450542673129203</c:v>
                  </c:pt>
                </c:numCache>
              </c:numRef>
            </c:plus>
            <c:minus>
              <c:numRef>
                <c:f>SoyOnly!$BF$4:$BF$10</c:f>
                <c:numCache>
                  <c:formatCode>General</c:formatCode>
                  <c:ptCount val="7"/>
                  <c:pt idx="1">
                    <c:v>18.967671179326896</c:v>
                  </c:pt>
                  <c:pt idx="2">
                    <c:v>28.096472599385162</c:v>
                  </c:pt>
                  <c:pt idx="3">
                    <c:v>43.396365340805794</c:v>
                  </c:pt>
                  <c:pt idx="4">
                    <c:v>39.298416723280198</c:v>
                  </c:pt>
                  <c:pt idx="5">
                    <c:v>120.90203562632773</c:v>
                  </c:pt>
                  <c:pt idx="6">
                    <c:v>16.450542673129203</c:v>
                  </c:pt>
                </c:numCache>
              </c:numRef>
            </c:minus>
            <c:spPr>
              <a:noFill/>
              <a:ln w="9525" cap="flat" cmpd="sng" algn="ctr">
                <a:solidFill>
                  <a:schemeClr val="tx1">
                    <a:lumMod val="65000"/>
                    <a:lumOff val="35000"/>
                  </a:schemeClr>
                </a:solidFill>
                <a:round/>
              </a:ln>
              <a:effectLst/>
            </c:spPr>
          </c:errBars>
          <c:cat>
            <c:multiLvlStrRef>
              <c:f>SoyOnly!$BA$4:$BC$10</c:f>
              <c:multiLvlStrCache>
                <c:ptCount val="7"/>
                <c:lvl>
                  <c:pt idx="0">
                    <c:v>CP</c:v>
                  </c:pt>
                  <c:pt idx="1">
                    <c:v>CP</c:v>
                  </c:pt>
                  <c:pt idx="2">
                    <c:v>NT</c:v>
                  </c:pt>
                  <c:pt idx="3">
                    <c:v>CP</c:v>
                  </c:pt>
                  <c:pt idx="4">
                    <c:v>NT</c:v>
                  </c:pt>
                  <c:pt idx="5">
                    <c:v>CP</c:v>
                  </c:pt>
                  <c:pt idx="6">
                    <c:v>NT</c:v>
                  </c:pt>
                </c:lvl>
                <c:lvl>
                  <c:pt idx="0">
                    <c:v>Fall</c:v>
                  </c:pt>
                  <c:pt idx="1">
                    <c:v>Fall</c:v>
                  </c:pt>
                  <c:pt idx="3">
                    <c:v>Spring</c:v>
                  </c:pt>
                  <c:pt idx="5">
                    <c:v>Fall</c:v>
                  </c:pt>
                </c:lvl>
                <c:lvl>
                  <c:pt idx="0">
                    <c:v>2017</c:v>
                  </c:pt>
                  <c:pt idx="1">
                    <c:v>2018</c:v>
                  </c:pt>
                  <c:pt idx="3">
                    <c:v>2019</c:v>
                  </c:pt>
                </c:lvl>
              </c:multiLvlStrCache>
            </c:multiLvlStrRef>
          </c:cat>
          <c:val>
            <c:numRef>
              <c:f>SoyOnly!$BD$4:$BD$10</c:f>
              <c:numCache>
                <c:formatCode>General</c:formatCode>
                <c:ptCount val="7"/>
                <c:pt idx="1">
                  <c:v>209.40111363600946</c:v>
                </c:pt>
                <c:pt idx="2">
                  <c:v>206.13092588848403</c:v>
                </c:pt>
                <c:pt idx="3">
                  <c:v>270.31021644850608</c:v>
                </c:pt>
                <c:pt idx="4">
                  <c:v>221.89365104102296</c:v>
                </c:pt>
                <c:pt idx="5">
                  <c:v>451.52625152625149</c:v>
                </c:pt>
                <c:pt idx="6">
                  <c:v>289.87308987308984</c:v>
                </c:pt>
              </c:numCache>
            </c:numRef>
          </c:val>
          <c:extLst>
            <c:ext xmlns:c16="http://schemas.microsoft.com/office/drawing/2014/chart" uri="{C3380CC4-5D6E-409C-BE32-E72D297353CC}">
              <c16:uniqueId val="{00000006-B026-49AF-9E4A-3A2A3D94370D}"/>
            </c:ext>
          </c:extLst>
        </c:ser>
        <c:ser>
          <c:idx val="1"/>
          <c:order val="1"/>
          <c:tx>
            <c:strRef>
              <c:f>SoyOnly!$BG$3</c:f>
              <c:strCache>
                <c:ptCount val="1"/>
                <c:pt idx="0">
                  <c:v>NC</c:v>
                </c:pt>
              </c:strCache>
            </c:strRef>
          </c:tx>
          <c:spPr>
            <a:solidFill>
              <a:schemeClr val="bg1">
                <a:lumMod val="85000"/>
              </a:schemeClr>
            </a:solidFill>
            <a:ln>
              <a:solidFill>
                <a:sysClr val="windowText" lastClr="000000"/>
              </a:solid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7-B026-49AF-9E4A-3A2A3D94370D}"/>
                </c:ext>
              </c:extLst>
            </c:dLbl>
            <c:dLbl>
              <c:idx val="1"/>
              <c:tx>
                <c:rich>
                  <a:bodyPr/>
                  <a:lstStyle/>
                  <a:p>
                    <a:r>
                      <a:rPr lang="en-US"/>
                      <a:t>Aa</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B026-49AF-9E4A-3A2A3D94370D}"/>
                </c:ext>
              </c:extLst>
            </c:dLbl>
            <c:dLbl>
              <c:idx val="2"/>
              <c:tx>
                <c:rich>
                  <a:bodyPr/>
                  <a:lstStyle/>
                  <a:p>
                    <a:r>
                      <a:rPr lang="en-US"/>
                      <a:t>Aa</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B026-49AF-9E4A-3A2A3D94370D}"/>
                </c:ext>
              </c:extLst>
            </c:dLbl>
            <c:dLbl>
              <c:idx val="3"/>
              <c:tx>
                <c:rich>
                  <a:bodyPr/>
                  <a:lstStyle/>
                  <a:p>
                    <a:r>
                      <a:rPr lang="en-US"/>
                      <a:t>Aa</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B026-49AF-9E4A-3A2A3D94370D}"/>
                </c:ext>
              </c:extLst>
            </c:dLbl>
            <c:dLbl>
              <c:idx val="4"/>
              <c:tx>
                <c:rich>
                  <a:bodyPr/>
                  <a:lstStyle/>
                  <a:p>
                    <a:r>
                      <a:rPr lang="en-US"/>
                      <a:t>Aa</a:t>
                    </a:r>
                  </a:p>
                </c:rich>
              </c:tx>
              <c:dLblPos val="outEnd"/>
              <c:showLegendKey val="0"/>
              <c:showVal val="1"/>
              <c:showCatName val="0"/>
              <c:showSerName val="0"/>
              <c:showPercent val="0"/>
              <c:showBubbleSize val="0"/>
              <c:extLst>
                <c:ext xmlns:c15="http://schemas.microsoft.com/office/drawing/2012/chart" uri="{CE6537A1-D6FC-4f65-9D91-7224C49458BB}">
                  <c15:layout>
                    <c:manualLayout>
                      <c:w val="4.5578997983085769E-2"/>
                      <c:h val="0.1228686282635723"/>
                    </c:manualLayout>
                  </c15:layout>
                </c:ext>
                <c:ext xmlns:c16="http://schemas.microsoft.com/office/drawing/2014/chart" uri="{C3380CC4-5D6E-409C-BE32-E72D297353CC}">
                  <c16:uniqueId val="{0000000B-B026-49AF-9E4A-3A2A3D94370D}"/>
                </c:ext>
              </c:extLst>
            </c:dLbl>
            <c:dLbl>
              <c:idx val="5"/>
              <c:tx>
                <c:rich>
                  <a:bodyPr/>
                  <a:lstStyle/>
                  <a:p>
                    <a:r>
                      <a:rPr lang="en-US"/>
                      <a:t>Ba</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B026-49AF-9E4A-3A2A3D94370D}"/>
                </c:ext>
              </c:extLst>
            </c:dLbl>
            <c:dLbl>
              <c:idx val="6"/>
              <c:tx>
                <c:rich>
                  <a:bodyPr/>
                  <a:lstStyle/>
                  <a:p>
                    <a:r>
                      <a:rPr lang="en-US"/>
                      <a:t>Aa</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B026-49AF-9E4A-3A2A3D94370D}"/>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SoyOnly!$BI$4:$BI$10</c:f>
                <c:numCache>
                  <c:formatCode>General</c:formatCode>
                  <c:ptCount val="7"/>
                  <c:pt idx="0">
                    <c:v>35.139377440809859</c:v>
                  </c:pt>
                  <c:pt idx="1">
                    <c:v>31.193662749394203</c:v>
                  </c:pt>
                  <c:pt idx="2">
                    <c:v>14.395379490075031</c:v>
                  </c:pt>
                  <c:pt idx="3">
                    <c:v>3.1706856449263099</c:v>
                  </c:pt>
                  <c:pt idx="4">
                    <c:v>67.789103811613856</c:v>
                  </c:pt>
                  <c:pt idx="5">
                    <c:v>20.687190213251402</c:v>
                  </c:pt>
                  <c:pt idx="6">
                    <c:v>9.2905464655438088</c:v>
                  </c:pt>
                </c:numCache>
              </c:numRef>
            </c:plus>
            <c:minus>
              <c:numRef>
                <c:f>SoyOnly!$BI$4:$BI$10</c:f>
                <c:numCache>
                  <c:formatCode>General</c:formatCode>
                  <c:ptCount val="7"/>
                  <c:pt idx="0">
                    <c:v>35.139377440809859</c:v>
                  </c:pt>
                  <c:pt idx="1">
                    <c:v>31.193662749394203</c:v>
                  </c:pt>
                  <c:pt idx="2">
                    <c:v>14.395379490075031</c:v>
                  </c:pt>
                  <c:pt idx="3">
                    <c:v>3.1706856449263099</c:v>
                  </c:pt>
                  <c:pt idx="4">
                    <c:v>67.789103811613856</c:v>
                  </c:pt>
                  <c:pt idx="5">
                    <c:v>20.687190213251402</c:v>
                  </c:pt>
                  <c:pt idx="6">
                    <c:v>9.2905464655438088</c:v>
                  </c:pt>
                </c:numCache>
              </c:numRef>
            </c:minus>
            <c:spPr>
              <a:noFill/>
              <a:ln w="9525" cap="flat" cmpd="sng" algn="ctr">
                <a:solidFill>
                  <a:schemeClr val="tx1">
                    <a:lumMod val="65000"/>
                    <a:lumOff val="35000"/>
                  </a:schemeClr>
                </a:solidFill>
                <a:round/>
              </a:ln>
              <a:effectLst/>
            </c:spPr>
          </c:errBars>
          <c:cat>
            <c:multiLvlStrRef>
              <c:f>SoyOnly!$BA$4:$BC$10</c:f>
              <c:multiLvlStrCache>
                <c:ptCount val="7"/>
                <c:lvl>
                  <c:pt idx="0">
                    <c:v>CP</c:v>
                  </c:pt>
                  <c:pt idx="1">
                    <c:v>CP</c:v>
                  </c:pt>
                  <c:pt idx="2">
                    <c:v>NT</c:v>
                  </c:pt>
                  <c:pt idx="3">
                    <c:v>CP</c:v>
                  </c:pt>
                  <c:pt idx="4">
                    <c:v>NT</c:v>
                  </c:pt>
                  <c:pt idx="5">
                    <c:v>CP</c:v>
                  </c:pt>
                  <c:pt idx="6">
                    <c:v>NT</c:v>
                  </c:pt>
                </c:lvl>
                <c:lvl>
                  <c:pt idx="0">
                    <c:v>Fall</c:v>
                  </c:pt>
                  <c:pt idx="1">
                    <c:v>Fall</c:v>
                  </c:pt>
                  <c:pt idx="3">
                    <c:v>Spring</c:v>
                  </c:pt>
                  <c:pt idx="5">
                    <c:v>Fall</c:v>
                  </c:pt>
                </c:lvl>
                <c:lvl>
                  <c:pt idx="0">
                    <c:v>2017</c:v>
                  </c:pt>
                  <c:pt idx="1">
                    <c:v>2018</c:v>
                  </c:pt>
                  <c:pt idx="3">
                    <c:v>2019</c:v>
                  </c:pt>
                </c:lvl>
              </c:multiLvlStrCache>
            </c:multiLvlStrRef>
          </c:cat>
          <c:val>
            <c:numRef>
              <c:f>SoyOnly!$BG$4:$BG$10</c:f>
              <c:numCache>
                <c:formatCode>General</c:formatCode>
                <c:ptCount val="7"/>
                <c:pt idx="0">
                  <c:v>288.39410686756116</c:v>
                </c:pt>
                <c:pt idx="1">
                  <c:v>211.66491164657853</c:v>
                </c:pt>
                <c:pt idx="2">
                  <c:v>210.17783939643047</c:v>
                </c:pt>
                <c:pt idx="3">
                  <c:v>232.70126405836638</c:v>
                </c:pt>
                <c:pt idx="4">
                  <c:v>263.73307617631906</c:v>
                </c:pt>
                <c:pt idx="5">
                  <c:v>293.42509342509339</c:v>
                </c:pt>
                <c:pt idx="6">
                  <c:v>308.18810818810817</c:v>
                </c:pt>
              </c:numCache>
            </c:numRef>
          </c:val>
          <c:extLst>
            <c:ext xmlns:c16="http://schemas.microsoft.com/office/drawing/2014/chart" uri="{C3380CC4-5D6E-409C-BE32-E72D297353CC}">
              <c16:uniqueId val="{0000000E-B026-49AF-9E4A-3A2A3D94370D}"/>
            </c:ext>
          </c:extLst>
        </c:ser>
        <c:dLbls>
          <c:dLblPos val="outEnd"/>
          <c:showLegendKey val="0"/>
          <c:showVal val="1"/>
          <c:showCatName val="0"/>
          <c:showSerName val="0"/>
          <c:showPercent val="0"/>
          <c:showBubbleSize val="0"/>
        </c:dLbls>
        <c:gapWidth val="100"/>
        <c:axId val="526190072"/>
        <c:axId val="526190392"/>
      </c:barChart>
      <c:catAx>
        <c:axId val="526190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26190392"/>
        <c:crosses val="autoZero"/>
        <c:auto val="1"/>
        <c:lblAlgn val="ctr"/>
        <c:lblOffset val="100"/>
        <c:noMultiLvlLbl val="0"/>
      </c:catAx>
      <c:valAx>
        <c:axId val="526190392"/>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Microbial Biomass-C (mg*kg</a:t>
                </a:r>
                <a:r>
                  <a:rPr lang="en-US" baseline="30000"/>
                  <a:t>-1</a:t>
                </a:r>
                <a:r>
                  <a:rPr lang="en-US"/>
                  <a: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in"/>
        <c:minorTickMark val="none"/>
        <c:tickLblPos val="nextTo"/>
        <c:spPr>
          <a:noFill/>
          <a:ln>
            <a:solidFill>
              <a:schemeClr val="bg1">
                <a:lumMod val="85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2619007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[Master File_SAS.xlsx]SoyOnly!PivotTable20</c:name>
    <c:fmtId val="-1"/>
  </c:pivotSource>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Total Soil Carbon 0-6"</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ivotFmts>
      <c:pivotFmt>
        <c:idx val="0"/>
        <c:spPr>
          <a:solidFill>
            <a:schemeClr val="bg1">
              <a:lumMod val="65000"/>
            </a:schemeClr>
          </a:solidFill>
          <a:ln>
            <a:solidFill>
              <a:sysClr val="windowText" lastClr="000000"/>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bg1">
              <a:lumMod val="85000"/>
            </a:schemeClr>
          </a:solidFill>
          <a:ln>
            <a:solidFill>
              <a:sysClr val="windowText" lastClr="000000"/>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bg1">
              <a:lumMod val="85000"/>
            </a:schemeClr>
          </a:solidFill>
          <a:ln>
            <a:solidFill>
              <a:sysClr val="windowText" lastClr="000000"/>
            </a:solidFill>
          </a:ln>
          <a:effectLst/>
        </c:spP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bg1">
              <a:lumMod val="8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4"/>
        <c:spPr>
          <a:solidFill>
            <a:schemeClr val="bg1">
              <a:lumMod val="6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5"/>
        <c:spPr>
          <a:solidFill>
            <a:schemeClr val="bg1">
              <a:lumMod val="6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6"/>
        <c:spPr>
          <a:solidFill>
            <a:schemeClr val="bg1">
              <a:lumMod val="8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7"/>
        <c:spPr>
          <a:solidFill>
            <a:schemeClr val="bg1">
              <a:lumMod val="6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8"/>
        <c:spPr>
          <a:solidFill>
            <a:schemeClr val="bg1">
              <a:lumMod val="8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9"/>
        <c:spPr>
          <a:solidFill>
            <a:schemeClr val="bg1">
              <a:lumMod val="6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0"/>
        <c:spPr>
          <a:solidFill>
            <a:schemeClr val="bg1">
              <a:lumMod val="8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1"/>
        <c:spPr>
          <a:solidFill>
            <a:schemeClr val="bg1">
              <a:lumMod val="6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2"/>
        <c:spPr>
          <a:solidFill>
            <a:schemeClr val="bg1">
              <a:lumMod val="8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3"/>
        <c:spPr>
          <a:solidFill>
            <a:schemeClr val="bg1">
              <a:lumMod val="6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4"/>
        <c:spPr>
          <a:solidFill>
            <a:schemeClr val="bg1">
              <a:lumMod val="8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5"/>
        <c:spPr>
          <a:solidFill>
            <a:schemeClr val="bg1">
              <a:lumMod val="8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6"/>
        <c:spPr>
          <a:solidFill>
            <a:schemeClr val="bg1">
              <a:lumMod val="6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7"/>
        <c:spPr>
          <a:solidFill>
            <a:schemeClr val="bg1">
              <a:lumMod val="6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8"/>
        <c:spPr>
          <a:solidFill>
            <a:schemeClr val="bg1">
              <a:lumMod val="8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9"/>
        <c:spPr>
          <a:solidFill>
            <a:schemeClr val="bg1">
              <a:lumMod val="65000"/>
            </a:schemeClr>
          </a:solidFill>
          <a:ln>
            <a:solidFill>
              <a:sysClr val="windowText" lastClr="000000"/>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0"/>
        <c:spPr>
          <a:solidFill>
            <a:schemeClr val="bg1">
              <a:lumMod val="6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1"/>
        <c:spPr>
          <a:solidFill>
            <a:schemeClr val="bg1">
              <a:lumMod val="6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2"/>
        <c:spPr>
          <a:solidFill>
            <a:schemeClr val="bg1">
              <a:lumMod val="6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3"/>
        <c:spPr>
          <a:solidFill>
            <a:schemeClr val="bg1">
              <a:lumMod val="6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4"/>
        <c:spPr>
          <a:solidFill>
            <a:schemeClr val="bg1">
              <a:lumMod val="6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5"/>
        <c:spPr>
          <a:solidFill>
            <a:schemeClr val="bg1">
              <a:lumMod val="6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6"/>
        <c:spPr>
          <a:solidFill>
            <a:schemeClr val="bg1">
              <a:lumMod val="6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7"/>
        <c:spPr>
          <a:solidFill>
            <a:schemeClr val="bg1">
              <a:lumMod val="6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8"/>
        <c:spPr>
          <a:solidFill>
            <a:schemeClr val="bg1">
              <a:lumMod val="85000"/>
            </a:schemeClr>
          </a:solidFill>
          <a:ln>
            <a:solidFill>
              <a:sysClr val="windowText" lastClr="000000"/>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9"/>
        <c:spPr>
          <a:solidFill>
            <a:schemeClr val="bg1">
              <a:lumMod val="85000"/>
            </a:schemeClr>
          </a:solidFill>
          <a:ln>
            <a:solidFill>
              <a:sysClr val="windowText" lastClr="000000"/>
            </a:solidFill>
          </a:ln>
          <a:effectLst/>
        </c:spP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0"/>
        <c:spPr>
          <a:solidFill>
            <a:schemeClr val="bg1">
              <a:lumMod val="8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31"/>
        <c:spPr>
          <a:solidFill>
            <a:schemeClr val="bg1">
              <a:lumMod val="8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32"/>
        <c:spPr>
          <a:solidFill>
            <a:schemeClr val="bg1">
              <a:lumMod val="8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33"/>
        <c:spPr>
          <a:solidFill>
            <a:schemeClr val="bg1">
              <a:lumMod val="8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34"/>
        <c:spPr>
          <a:solidFill>
            <a:schemeClr val="bg1">
              <a:lumMod val="8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35"/>
        <c:spPr>
          <a:solidFill>
            <a:schemeClr val="bg1">
              <a:lumMod val="8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36"/>
        <c:spPr>
          <a:solidFill>
            <a:schemeClr val="bg1">
              <a:lumMod val="8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37"/>
        <c:spPr>
          <a:solidFill>
            <a:schemeClr val="bg1">
              <a:lumMod val="8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38"/>
        <c:spPr>
          <a:solidFill>
            <a:schemeClr val="bg1">
              <a:lumMod val="65000"/>
            </a:schemeClr>
          </a:solidFill>
          <a:ln>
            <a:solidFill>
              <a:sysClr val="windowText" lastClr="000000"/>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39"/>
        <c:spPr>
          <a:solidFill>
            <a:schemeClr val="bg1">
              <a:lumMod val="6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40"/>
        <c:spPr>
          <a:solidFill>
            <a:schemeClr val="bg1">
              <a:lumMod val="6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41"/>
        <c:spPr>
          <a:solidFill>
            <a:schemeClr val="bg1">
              <a:lumMod val="6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42"/>
        <c:spPr>
          <a:solidFill>
            <a:schemeClr val="bg1">
              <a:lumMod val="6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43"/>
        <c:spPr>
          <a:solidFill>
            <a:schemeClr val="bg1">
              <a:lumMod val="6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44"/>
        <c:spPr>
          <a:solidFill>
            <a:schemeClr val="bg1">
              <a:lumMod val="6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45"/>
        <c:spPr>
          <a:solidFill>
            <a:schemeClr val="bg1">
              <a:lumMod val="6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46"/>
        <c:spPr>
          <a:solidFill>
            <a:schemeClr val="bg1">
              <a:lumMod val="6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47"/>
        <c:spPr>
          <a:solidFill>
            <a:schemeClr val="bg1">
              <a:lumMod val="85000"/>
            </a:schemeClr>
          </a:solidFill>
          <a:ln>
            <a:solidFill>
              <a:sysClr val="windowText" lastClr="000000"/>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48"/>
        <c:spPr>
          <a:solidFill>
            <a:schemeClr val="bg1">
              <a:lumMod val="85000"/>
            </a:schemeClr>
          </a:solidFill>
          <a:ln>
            <a:solidFill>
              <a:sysClr val="windowText" lastClr="000000"/>
            </a:solidFill>
          </a:ln>
          <a:effectLst/>
        </c:spP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9"/>
        <c:spPr>
          <a:solidFill>
            <a:schemeClr val="bg1">
              <a:lumMod val="8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50"/>
        <c:spPr>
          <a:solidFill>
            <a:schemeClr val="bg1">
              <a:lumMod val="8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51"/>
        <c:spPr>
          <a:solidFill>
            <a:schemeClr val="bg1">
              <a:lumMod val="8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52"/>
        <c:spPr>
          <a:solidFill>
            <a:schemeClr val="bg1">
              <a:lumMod val="8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53"/>
        <c:spPr>
          <a:solidFill>
            <a:schemeClr val="bg1">
              <a:lumMod val="8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54"/>
        <c:spPr>
          <a:solidFill>
            <a:schemeClr val="bg1">
              <a:lumMod val="8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55"/>
        <c:spPr>
          <a:solidFill>
            <a:schemeClr val="bg1">
              <a:lumMod val="8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56"/>
        <c:spPr>
          <a:solidFill>
            <a:schemeClr val="bg1">
              <a:lumMod val="8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SoyOnly!$O$3:$O$4</c:f>
              <c:strCache>
                <c:ptCount val="1"/>
                <c:pt idx="0">
                  <c:v>CC</c:v>
                </c:pt>
              </c:strCache>
            </c:strRef>
          </c:tx>
          <c:spPr>
            <a:solidFill>
              <a:schemeClr val="bg1">
                <a:lumMod val="65000"/>
              </a:schemeClr>
            </a:solidFill>
            <a:ln>
              <a:solidFill>
                <a:sysClr val="windowText" lastClr="000000"/>
              </a:solidFill>
            </a:ln>
            <a:effectLst/>
          </c:spPr>
          <c:invertIfNegative val="0"/>
          <c:dLbls>
            <c:dLbl>
              <c:idx val="1"/>
              <c:tx>
                <c:rich>
                  <a:bodyPr/>
                  <a:lstStyle/>
                  <a:p>
                    <a:r>
                      <a:rPr lang="en-US"/>
                      <a:t>Aa</a:t>
                    </a:r>
                  </a:p>
                </c:rich>
              </c:tx>
              <c:dLblPos val="outEnd"/>
              <c:showLegendKey val="0"/>
              <c:showVal val="1"/>
              <c:showCatName val="0"/>
              <c:showSerName val="0"/>
              <c:showPercent val="0"/>
              <c:showBubbleSize val="0"/>
              <c:extLst>
                <c:ext xmlns:c15="http://schemas.microsoft.com/office/drawing/2012/chart" uri="{CE6537A1-D6FC-4f65-9D91-7224C49458BB}">
                  <c15:layout>
                    <c:manualLayout>
                      <c:w val="4.573675483133581E-2"/>
                      <c:h val="9.3197615071363898E-2"/>
                    </c:manualLayout>
                  </c15:layout>
                </c:ext>
                <c:ext xmlns:c16="http://schemas.microsoft.com/office/drawing/2014/chart" uri="{C3380CC4-5D6E-409C-BE32-E72D297353CC}">
                  <c16:uniqueId val="{00000000-ECE5-485E-ACA8-01FAADDD7029}"/>
                </c:ext>
              </c:extLst>
            </c:dLbl>
            <c:dLbl>
              <c:idx val="2"/>
              <c:tx>
                <c:rich>
                  <a:bodyPr/>
                  <a:lstStyle/>
                  <a:p>
                    <a:r>
                      <a:rPr lang="en-US"/>
                      <a:t>Aa</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CE5-485E-ACA8-01FAADDD7029}"/>
                </c:ext>
              </c:extLst>
            </c:dLbl>
            <c:dLbl>
              <c:idx val="3"/>
              <c:tx>
                <c:rich>
                  <a:bodyPr/>
                  <a:lstStyle/>
                  <a:p>
                    <a:r>
                      <a:rPr lang="en-US"/>
                      <a:t>Aa</a:t>
                    </a:r>
                  </a:p>
                </c:rich>
              </c:tx>
              <c:dLblPos val="outEnd"/>
              <c:showLegendKey val="0"/>
              <c:showVal val="1"/>
              <c:showCatName val="0"/>
              <c:showSerName val="0"/>
              <c:showPercent val="0"/>
              <c:showBubbleSize val="0"/>
              <c:extLst>
                <c:ext xmlns:c15="http://schemas.microsoft.com/office/drawing/2012/chart" uri="{CE6537A1-D6FC-4f65-9D91-7224C49458BB}">
                  <c15:layout>
                    <c:manualLayout>
                      <c:w val="4.573675483133581E-2"/>
                      <c:h val="8.8616763032884724E-2"/>
                    </c:manualLayout>
                  </c15:layout>
                </c:ext>
                <c:ext xmlns:c16="http://schemas.microsoft.com/office/drawing/2014/chart" uri="{C3380CC4-5D6E-409C-BE32-E72D297353CC}">
                  <c16:uniqueId val="{00000002-ECE5-485E-ACA8-01FAADDD7029}"/>
                </c:ext>
              </c:extLst>
            </c:dLbl>
            <c:dLbl>
              <c:idx val="4"/>
              <c:tx>
                <c:rich>
                  <a:bodyPr/>
                  <a:lstStyle/>
                  <a:p>
                    <a:r>
                      <a:rPr lang="en-US"/>
                      <a:t>Aa</a:t>
                    </a:r>
                  </a:p>
                </c:rich>
              </c:tx>
              <c:dLblPos val="outEnd"/>
              <c:showLegendKey val="0"/>
              <c:showVal val="1"/>
              <c:showCatName val="0"/>
              <c:showSerName val="0"/>
              <c:showPercent val="0"/>
              <c:showBubbleSize val="0"/>
              <c:extLst>
                <c:ext xmlns:c15="http://schemas.microsoft.com/office/drawing/2012/chart" uri="{CE6537A1-D6FC-4f65-9D91-7224C49458BB}">
                  <c15:layout>
                    <c:manualLayout>
                      <c:w val="4.573675483133581E-2"/>
                      <c:h val="8.8616763032884724E-2"/>
                    </c:manualLayout>
                  </c15:layout>
                </c:ext>
                <c:ext xmlns:c16="http://schemas.microsoft.com/office/drawing/2014/chart" uri="{C3380CC4-5D6E-409C-BE32-E72D297353CC}">
                  <c16:uniqueId val="{00000003-ECE5-485E-ACA8-01FAADDD7029}"/>
                </c:ext>
              </c:extLst>
            </c:dLbl>
            <c:dLbl>
              <c:idx val="5"/>
              <c:tx>
                <c:rich>
                  <a:bodyPr/>
                  <a:lstStyle/>
                  <a:p>
                    <a:r>
                      <a:rPr lang="en-US"/>
                      <a:t>Aa</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CE5-485E-ACA8-01FAADDD7029}"/>
                </c:ext>
              </c:extLst>
            </c:dLbl>
            <c:dLbl>
              <c:idx val="6"/>
              <c:tx>
                <c:rich>
                  <a:bodyPr/>
                  <a:lstStyle/>
                  <a:p>
                    <a:r>
                      <a:rPr lang="en-US"/>
                      <a:t>Aa</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CE5-485E-ACA8-01FAADDD7029}"/>
                </c:ext>
              </c:extLst>
            </c:dLbl>
            <c:dLbl>
              <c:idx val="7"/>
              <c:tx>
                <c:rich>
                  <a:bodyPr/>
                  <a:lstStyle/>
                  <a:p>
                    <a:r>
                      <a:rPr lang="en-US"/>
                      <a:t>Aa</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CE5-485E-ACA8-01FAADDD7029}"/>
                </c:ext>
              </c:extLst>
            </c:dLbl>
            <c:dLbl>
              <c:idx val="8"/>
              <c:tx>
                <c:rich>
                  <a:bodyPr/>
                  <a:lstStyle/>
                  <a:p>
                    <a:r>
                      <a:rPr lang="en-US"/>
                      <a:t>Aa</a:t>
                    </a:r>
                  </a:p>
                </c:rich>
              </c:tx>
              <c:dLblPos val="outEnd"/>
              <c:showLegendKey val="0"/>
              <c:showVal val="1"/>
              <c:showCatName val="0"/>
              <c:showSerName val="0"/>
              <c:showPercent val="0"/>
              <c:showBubbleSize val="0"/>
              <c:extLst>
                <c:ext xmlns:c15="http://schemas.microsoft.com/office/drawing/2012/chart" uri="{CE6537A1-D6FC-4f65-9D91-7224C49458BB}">
                  <c15:layout>
                    <c:manualLayout>
                      <c:w val="4.573675483133581E-2"/>
                      <c:h val="0.10235931914832222"/>
                    </c:manualLayout>
                  </c15:layout>
                </c:ext>
                <c:ext xmlns:c16="http://schemas.microsoft.com/office/drawing/2014/chart" uri="{C3380CC4-5D6E-409C-BE32-E72D297353CC}">
                  <c16:uniqueId val="{00000007-ECE5-485E-ACA8-01FAADDD7029}"/>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SoyOnly!$V$4:$V$12</c:f>
                <c:numCache>
                  <c:formatCode>General</c:formatCode>
                  <c:ptCount val="9"/>
                  <c:pt idx="1">
                    <c:v>0.25762526618671922</c:v>
                  </c:pt>
                  <c:pt idx="2">
                    <c:v>0.16577193168125384</c:v>
                  </c:pt>
                  <c:pt idx="3">
                    <c:v>0.2437259389833866</c:v>
                  </c:pt>
                  <c:pt idx="4">
                    <c:v>0.20964334793485406</c:v>
                  </c:pt>
                  <c:pt idx="5">
                    <c:v>0.12659691061703321</c:v>
                  </c:pt>
                  <c:pt idx="6">
                    <c:v>3.6999999999997375E-2</c:v>
                  </c:pt>
                  <c:pt idx="7">
                    <c:v>7.5366511867747538E-2</c:v>
                  </c:pt>
                  <c:pt idx="8">
                    <c:v>0.27349832418743242</c:v>
                  </c:pt>
                </c:numCache>
              </c:numRef>
            </c:plus>
            <c:minus>
              <c:numRef>
                <c:f>SoyOnly!$V$4:$V$12</c:f>
                <c:numCache>
                  <c:formatCode>General</c:formatCode>
                  <c:ptCount val="9"/>
                  <c:pt idx="1">
                    <c:v>0.25762526618671922</c:v>
                  </c:pt>
                  <c:pt idx="2">
                    <c:v>0.16577193168125384</c:v>
                  </c:pt>
                  <c:pt idx="3">
                    <c:v>0.2437259389833866</c:v>
                  </c:pt>
                  <c:pt idx="4">
                    <c:v>0.20964334793485406</c:v>
                  </c:pt>
                  <c:pt idx="5">
                    <c:v>0.12659691061703321</c:v>
                  </c:pt>
                  <c:pt idx="6">
                    <c:v>3.6999999999997375E-2</c:v>
                  </c:pt>
                  <c:pt idx="7">
                    <c:v>7.5366511867747538E-2</c:v>
                  </c:pt>
                  <c:pt idx="8">
                    <c:v>0.27349832418743242</c:v>
                  </c:pt>
                </c:numCache>
              </c:numRef>
            </c:minus>
            <c:spPr>
              <a:noFill/>
              <a:ln w="9525" cap="flat" cmpd="sng" algn="ctr">
                <a:solidFill>
                  <a:schemeClr val="tx1">
                    <a:lumMod val="65000"/>
                    <a:lumOff val="35000"/>
                  </a:schemeClr>
                </a:solidFill>
                <a:round/>
              </a:ln>
              <a:effectLst/>
            </c:spPr>
          </c:errBars>
          <c:cat>
            <c:multiLvlStrRef>
              <c:f>SoyOnly!$V$4:$V$12</c:f>
              <c:multiLvlStrCache>
                <c:ptCount val="9"/>
                <c:lvl>
                  <c:pt idx="0">
                    <c:v> </c:v>
                  </c:pt>
                  <c:pt idx="1">
                    <c:v>CP</c:v>
                  </c:pt>
                  <c:pt idx="2">
                    <c:v>NT</c:v>
                  </c:pt>
                  <c:pt idx="3">
                    <c:v>CP</c:v>
                  </c:pt>
                  <c:pt idx="4">
                    <c:v>NT</c:v>
                  </c:pt>
                  <c:pt idx="5">
                    <c:v>CP</c:v>
                  </c:pt>
                  <c:pt idx="6">
                    <c:v>NT</c:v>
                  </c:pt>
                  <c:pt idx="7">
                    <c:v>CP</c:v>
                  </c:pt>
                  <c:pt idx="8">
                    <c:v>NT</c:v>
                  </c:pt>
                </c:lvl>
                <c:lvl>
                  <c:pt idx="0">
                    <c:v>Fall</c:v>
                  </c:pt>
                  <c:pt idx="1">
                    <c:v>Spring</c:v>
                  </c:pt>
                  <c:pt idx="3">
                    <c:v>Fall</c:v>
                  </c:pt>
                  <c:pt idx="5">
                    <c:v>Spring</c:v>
                  </c:pt>
                  <c:pt idx="7">
                    <c:v>Fall</c:v>
                  </c:pt>
                </c:lvl>
                <c:lvl>
                  <c:pt idx="0">
                    <c:v>2017</c:v>
                  </c:pt>
                  <c:pt idx="1">
                    <c:v>2018</c:v>
                  </c:pt>
                  <c:pt idx="5">
                    <c:v>2019</c:v>
                  </c:pt>
                </c:lvl>
              </c:multiLvlStrCache>
            </c:multiLvlStrRef>
          </c:cat>
          <c:val>
            <c:numRef>
              <c:f>SoyOnly!$V$4:$V$12</c:f>
              <c:numCache>
                <c:formatCode>General</c:formatCode>
                <c:ptCount val="9"/>
                <c:pt idx="1">
                  <c:v>2.7576666666666667</c:v>
                </c:pt>
                <c:pt idx="2">
                  <c:v>3.2289999999999996</c:v>
                </c:pt>
                <c:pt idx="3">
                  <c:v>2.863</c:v>
                </c:pt>
                <c:pt idx="4">
                  <c:v>3.2289999999999996</c:v>
                </c:pt>
                <c:pt idx="5">
                  <c:v>2.8553333333333337</c:v>
                </c:pt>
                <c:pt idx="6">
                  <c:v>3.0410000000000004</c:v>
                </c:pt>
                <c:pt idx="7">
                  <c:v>2.8283333333333331</c:v>
                </c:pt>
                <c:pt idx="8">
                  <c:v>2.827</c:v>
                </c:pt>
              </c:numCache>
            </c:numRef>
          </c:val>
          <c:extLst>
            <c:ext xmlns:c16="http://schemas.microsoft.com/office/drawing/2014/chart" uri="{C3380CC4-5D6E-409C-BE32-E72D297353CC}">
              <c16:uniqueId val="{00000008-ECE5-485E-ACA8-01FAADDD7029}"/>
            </c:ext>
          </c:extLst>
        </c:ser>
        <c:ser>
          <c:idx val="1"/>
          <c:order val="1"/>
          <c:tx>
            <c:strRef>
              <c:f>SoyOnly!$P$3:$P$4</c:f>
              <c:strCache>
                <c:ptCount val="1"/>
                <c:pt idx="0">
                  <c:v>NC</c:v>
                </c:pt>
              </c:strCache>
            </c:strRef>
          </c:tx>
          <c:spPr>
            <a:solidFill>
              <a:schemeClr val="bg1">
                <a:lumMod val="85000"/>
              </a:schemeClr>
            </a:solidFill>
            <a:ln>
              <a:solidFill>
                <a:sysClr val="windowText" lastClr="000000"/>
              </a:solid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9-ECE5-485E-ACA8-01FAADDD7029}"/>
                </c:ext>
              </c:extLst>
            </c:dLbl>
            <c:dLbl>
              <c:idx val="1"/>
              <c:tx>
                <c:rich>
                  <a:bodyPr/>
                  <a:lstStyle/>
                  <a:p>
                    <a:r>
                      <a:rPr lang="en-US"/>
                      <a:t>Aa</a:t>
                    </a:r>
                  </a:p>
                </c:rich>
              </c:tx>
              <c:dLblPos val="outEnd"/>
              <c:showLegendKey val="0"/>
              <c:showVal val="1"/>
              <c:showCatName val="0"/>
              <c:showSerName val="0"/>
              <c:showPercent val="0"/>
              <c:showBubbleSize val="0"/>
              <c:extLst>
                <c:ext xmlns:c15="http://schemas.microsoft.com/office/drawing/2012/chart" uri="{CE6537A1-D6FC-4f65-9D91-7224C49458BB}">
                  <c15:layout>
                    <c:manualLayout>
                      <c:w val="4.573675483133581E-2"/>
                      <c:h val="8.4035910994405591E-2"/>
                    </c:manualLayout>
                  </c15:layout>
                </c:ext>
                <c:ext xmlns:c16="http://schemas.microsoft.com/office/drawing/2014/chart" uri="{C3380CC4-5D6E-409C-BE32-E72D297353CC}">
                  <c16:uniqueId val="{0000000A-ECE5-485E-ACA8-01FAADDD7029}"/>
                </c:ext>
              </c:extLst>
            </c:dLbl>
            <c:dLbl>
              <c:idx val="2"/>
              <c:tx>
                <c:rich>
                  <a:bodyPr/>
                  <a:lstStyle/>
                  <a:p>
                    <a:r>
                      <a:rPr lang="en-US"/>
                      <a:t>Aa</a:t>
                    </a:r>
                  </a:p>
                </c:rich>
              </c:tx>
              <c:dLblPos val="outEnd"/>
              <c:showLegendKey val="0"/>
              <c:showVal val="1"/>
              <c:showCatName val="0"/>
              <c:showSerName val="0"/>
              <c:showPercent val="0"/>
              <c:showBubbleSize val="0"/>
              <c:extLst>
                <c:ext xmlns:c15="http://schemas.microsoft.com/office/drawing/2012/chart" uri="{CE6537A1-D6FC-4f65-9D91-7224C49458BB}">
                  <c15:layout>
                    <c:manualLayout>
                      <c:w val="4.573675483133581E-2"/>
                      <c:h val="9.7778467109843059E-2"/>
                    </c:manualLayout>
                  </c15:layout>
                </c:ext>
                <c:ext xmlns:c16="http://schemas.microsoft.com/office/drawing/2014/chart" uri="{C3380CC4-5D6E-409C-BE32-E72D297353CC}">
                  <c16:uniqueId val="{0000000B-ECE5-485E-ACA8-01FAADDD7029}"/>
                </c:ext>
              </c:extLst>
            </c:dLbl>
            <c:dLbl>
              <c:idx val="3"/>
              <c:tx>
                <c:rich>
                  <a:bodyPr/>
                  <a:lstStyle/>
                  <a:p>
                    <a:r>
                      <a:rPr lang="en-US"/>
                      <a:t>Aa</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ECE5-485E-ACA8-01FAADDD7029}"/>
                </c:ext>
              </c:extLst>
            </c:dLbl>
            <c:dLbl>
              <c:idx val="4"/>
              <c:tx>
                <c:rich>
                  <a:bodyPr/>
                  <a:lstStyle/>
                  <a:p>
                    <a:r>
                      <a:rPr lang="en-US"/>
                      <a:t>Aa</a:t>
                    </a:r>
                  </a:p>
                </c:rich>
              </c:tx>
              <c:dLblPos val="outEnd"/>
              <c:showLegendKey val="0"/>
              <c:showVal val="1"/>
              <c:showCatName val="0"/>
              <c:showSerName val="0"/>
              <c:showPercent val="0"/>
              <c:showBubbleSize val="0"/>
              <c:extLst>
                <c:ext xmlns:c15="http://schemas.microsoft.com/office/drawing/2012/chart" uri="{CE6537A1-D6FC-4f65-9D91-7224C49458BB}">
                  <c15:layout>
                    <c:manualLayout>
                      <c:w val="4.573675483133581E-2"/>
                      <c:h val="7.9455058955926416E-2"/>
                    </c:manualLayout>
                  </c15:layout>
                </c:ext>
                <c:ext xmlns:c16="http://schemas.microsoft.com/office/drawing/2014/chart" uri="{C3380CC4-5D6E-409C-BE32-E72D297353CC}">
                  <c16:uniqueId val="{0000000D-ECE5-485E-ACA8-01FAADDD7029}"/>
                </c:ext>
              </c:extLst>
            </c:dLbl>
            <c:dLbl>
              <c:idx val="5"/>
              <c:tx>
                <c:rich>
                  <a:bodyPr/>
                  <a:lstStyle/>
                  <a:p>
                    <a:r>
                      <a:rPr lang="en-US"/>
                      <a:t>Aa</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ECE5-485E-ACA8-01FAADDD7029}"/>
                </c:ext>
              </c:extLst>
            </c:dLbl>
            <c:dLbl>
              <c:idx val="6"/>
              <c:tx>
                <c:rich>
                  <a:bodyPr/>
                  <a:lstStyle/>
                  <a:p>
                    <a:r>
                      <a:rPr lang="en-US"/>
                      <a:t>Aa</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ECE5-485E-ACA8-01FAADDD7029}"/>
                </c:ext>
              </c:extLst>
            </c:dLbl>
            <c:dLbl>
              <c:idx val="7"/>
              <c:tx>
                <c:rich>
                  <a:bodyPr/>
                  <a:lstStyle/>
                  <a:p>
                    <a:r>
                      <a:rPr lang="en-US"/>
                      <a:t>Aa</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ECE5-485E-ACA8-01FAADDD7029}"/>
                </c:ext>
              </c:extLst>
            </c:dLbl>
            <c:dLbl>
              <c:idx val="8"/>
              <c:tx>
                <c:rich>
                  <a:bodyPr/>
                  <a:lstStyle/>
                  <a:p>
                    <a:r>
                      <a:rPr lang="en-US"/>
                      <a:t>Aa</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ECE5-485E-ACA8-01FAADDD7029}"/>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SoyOnly!$Y$4:$Y$12</c:f>
                <c:numCache>
                  <c:formatCode>General</c:formatCode>
                  <c:ptCount val="9"/>
                  <c:pt idx="0">
                    <c:v>6.5811874483771363E-2</c:v>
                  </c:pt>
                  <c:pt idx="1">
                    <c:v>0.20813483877311462</c:v>
                  </c:pt>
                  <c:pt idx="2">
                    <c:v>0.27265505272739543</c:v>
                  </c:pt>
                  <c:pt idx="3">
                    <c:v>0.12436371389329628</c:v>
                  </c:pt>
                  <c:pt idx="4">
                    <c:v>0.22638978186599662</c:v>
                  </c:pt>
                  <c:pt idx="5">
                    <c:v>5.9490428735303275E-2</c:v>
                  </c:pt>
                  <c:pt idx="6">
                    <c:v>0.11850738373620261</c:v>
                  </c:pt>
                  <c:pt idx="7">
                    <c:v>3.4604110224728209E-2</c:v>
                  </c:pt>
                  <c:pt idx="8">
                    <c:v>6.6161418767542474E-2</c:v>
                  </c:pt>
                </c:numCache>
              </c:numRef>
            </c:plus>
            <c:minus>
              <c:numRef>
                <c:f>SoyOnly!$Y$4:$Y$12</c:f>
                <c:numCache>
                  <c:formatCode>General</c:formatCode>
                  <c:ptCount val="9"/>
                  <c:pt idx="0">
                    <c:v>6.5811874483771363E-2</c:v>
                  </c:pt>
                  <c:pt idx="1">
                    <c:v>0.20813483877311462</c:v>
                  </c:pt>
                  <c:pt idx="2">
                    <c:v>0.27265505272739543</c:v>
                  </c:pt>
                  <c:pt idx="3">
                    <c:v>0.12436371389329628</c:v>
                  </c:pt>
                  <c:pt idx="4">
                    <c:v>0.22638978186599662</c:v>
                  </c:pt>
                  <c:pt idx="5">
                    <c:v>5.9490428735303275E-2</c:v>
                  </c:pt>
                  <c:pt idx="6">
                    <c:v>0.11850738373620261</c:v>
                  </c:pt>
                  <c:pt idx="7">
                    <c:v>3.4604110224728209E-2</c:v>
                  </c:pt>
                  <c:pt idx="8">
                    <c:v>6.6161418767542474E-2</c:v>
                  </c:pt>
                </c:numCache>
              </c:numRef>
            </c:minus>
            <c:spPr>
              <a:noFill/>
              <a:ln w="9525" cap="flat" cmpd="sng" algn="ctr">
                <a:solidFill>
                  <a:schemeClr val="tx1">
                    <a:lumMod val="65000"/>
                    <a:lumOff val="35000"/>
                  </a:schemeClr>
                </a:solidFill>
                <a:round/>
              </a:ln>
              <a:effectLst/>
            </c:spPr>
          </c:errBars>
          <c:cat>
            <c:multiLvlStrRef>
              <c:f>SoyOnly!$V$4:$V$12</c:f>
              <c:multiLvlStrCache>
                <c:ptCount val="9"/>
                <c:lvl>
                  <c:pt idx="0">
                    <c:v> </c:v>
                  </c:pt>
                  <c:pt idx="1">
                    <c:v>CP</c:v>
                  </c:pt>
                  <c:pt idx="2">
                    <c:v>NT</c:v>
                  </c:pt>
                  <c:pt idx="3">
                    <c:v>CP</c:v>
                  </c:pt>
                  <c:pt idx="4">
                    <c:v>NT</c:v>
                  </c:pt>
                  <c:pt idx="5">
                    <c:v>CP</c:v>
                  </c:pt>
                  <c:pt idx="6">
                    <c:v>NT</c:v>
                  </c:pt>
                  <c:pt idx="7">
                    <c:v>CP</c:v>
                  </c:pt>
                  <c:pt idx="8">
                    <c:v>NT</c:v>
                  </c:pt>
                </c:lvl>
                <c:lvl>
                  <c:pt idx="0">
                    <c:v>Fall</c:v>
                  </c:pt>
                  <c:pt idx="1">
                    <c:v>Spring</c:v>
                  </c:pt>
                  <c:pt idx="3">
                    <c:v>Fall</c:v>
                  </c:pt>
                  <c:pt idx="5">
                    <c:v>Spring</c:v>
                  </c:pt>
                  <c:pt idx="7">
                    <c:v>Fall</c:v>
                  </c:pt>
                </c:lvl>
                <c:lvl>
                  <c:pt idx="0">
                    <c:v>2017</c:v>
                  </c:pt>
                  <c:pt idx="1">
                    <c:v>2018</c:v>
                  </c:pt>
                  <c:pt idx="5">
                    <c:v>2019</c:v>
                  </c:pt>
                </c:lvl>
              </c:multiLvlStrCache>
            </c:multiLvlStrRef>
          </c:cat>
          <c:val>
            <c:numRef>
              <c:f>SoyOnly!$V$4:$V$12</c:f>
              <c:numCache>
                <c:formatCode>General</c:formatCode>
                <c:ptCount val="9"/>
                <c:pt idx="0">
                  <c:v>2.9457916666666666</c:v>
                </c:pt>
                <c:pt idx="1">
                  <c:v>2.7023333333333337</c:v>
                </c:pt>
                <c:pt idx="2">
                  <c:v>2.9893333333333332</c:v>
                </c:pt>
                <c:pt idx="3">
                  <c:v>2.6059999999999999</c:v>
                </c:pt>
                <c:pt idx="4">
                  <c:v>2.9500000000000006</c:v>
                </c:pt>
                <c:pt idx="5">
                  <c:v>3.0243333333333333</c:v>
                </c:pt>
                <c:pt idx="6">
                  <c:v>2.7690000000000001</c:v>
                </c:pt>
                <c:pt idx="7">
                  <c:v>3.2246666666666663</c:v>
                </c:pt>
                <c:pt idx="8">
                  <c:v>2.7309999999999999</c:v>
                </c:pt>
              </c:numCache>
            </c:numRef>
          </c:val>
          <c:extLst>
            <c:ext xmlns:c16="http://schemas.microsoft.com/office/drawing/2014/chart" uri="{C3380CC4-5D6E-409C-BE32-E72D297353CC}">
              <c16:uniqueId val="{00000012-ECE5-485E-ACA8-01FAADDD7029}"/>
            </c:ext>
          </c:extLst>
        </c:ser>
        <c:dLbls>
          <c:dLblPos val="outEnd"/>
          <c:showLegendKey val="0"/>
          <c:showVal val="1"/>
          <c:showCatName val="0"/>
          <c:showSerName val="0"/>
          <c:showPercent val="0"/>
          <c:showBubbleSize val="0"/>
        </c:dLbls>
        <c:gapWidth val="100"/>
        <c:axId val="835003768"/>
        <c:axId val="835008568"/>
      </c:barChart>
      <c:catAx>
        <c:axId val="8350037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835008568"/>
        <c:crosses val="autoZero"/>
        <c:auto val="1"/>
        <c:lblAlgn val="ctr"/>
        <c:lblOffset val="100"/>
        <c:noMultiLvlLbl val="0"/>
      </c:catAx>
      <c:valAx>
        <c:axId val="835008568"/>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Total Soil Carbon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in"/>
        <c:minorTickMark val="none"/>
        <c:tickLblPos val="nextTo"/>
        <c:spPr>
          <a:noFill/>
          <a:ln>
            <a:solidFill>
              <a:schemeClr val="bg1">
                <a:lumMod val="85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835003768"/>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pivotOptions>
    </c:ext>
    <c:ext xmlns:c16="http://schemas.microsoft.com/office/drawing/2014/chart" uri="{E28EC0CA-F0BB-4C9C-879D-F8772B89E7AC}">
      <c16:pivotOptions16>
        <c16:showExpandCollapseFieldButtons val="1"/>
      </c16:pivotOptions16>
    </c:ext>
  </c:extLst>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[Master File_SAS.xlsx]SoyOnly!PivotTable21</c:name>
    <c:fmtId val="-1"/>
  </c:pivotSource>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Total Soil Carbon 6-12"</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ivotFmts>
      <c:pivotFmt>
        <c:idx val="0"/>
        <c:spPr>
          <a:solidFill>
            <a:schemeClr val="bg1">
              <a:lumMod val="65000"/>
            </a:schemeClr>
          </a:solidFill>
          <a:ln>
            <a:solidFill>
              <a:sysClr val="windowText" lastClr="000000"/>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bg1">
              <a:lumMod val="85000"/>
            </a:schemeClr>
          </a:solidFill>
          <a:ln>
            <a:solidFill>
              <a:sysClr val="windowText" lastClr="000000"/>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bg1">
              <a:lumMod val="85000"/>
            </a:schemeClr>
          </a:solidFill>
          <a:ln>
            <a:solidFill>
              <a:sysClr val="windowText" lastClr="000000"/>
            </a:solidFill>
          </a:ln>
          <a:effectLst/>
        </c:spP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bg1">
              <a:lumMod val="8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4"/>
        <c:spPr>
          <a:solidFill>
            <a:schemeClr val="bg1">
              <a:lumMod val="6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5"/>
        <c:spPr>
          <a:solidFill>
            <a:schemeClr val="bg1">
              <a:lumMod val="6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6"/>
        <c:spPr>
          <a:solidFill>
            <a:schemeClr val="bg1">
              <a:lumMod val="8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7"/>
        <c:spPr>
          <a:solidFill>
            <a:schemeClr val="bg1">
              <a:lumMod val="8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8"/>
        <c:spPr>
          <a:solidFill>
            <a:schemeClr val="bg1">
              <a:lumMod val="6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9"/>
        <c:spPr>
          <a:solidFill>
            <a:schemeClr val="bg1">
              <a:lumMod val="8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0"/>
        <c:spPr>
          <a:solidFill>
            <a:schemeClr val="bg1">
              <a:lumMod val="6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1"/>
        <c:spPr>
          <a:solidFill>
            <a:schemeClr val="bg1">
              <a:lumMod val="8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2"/>
        <c:spPr>
          <a:solidFill>
            <a:schemeClr val="bg1">
              <a:lumMod val="6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3"/>
        <c:spPr>
          <a:solidFill>
            <a:schemeClr val="bg1">
              <a:lumMod val="8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4"/>
        <c:spPr>
          <a:solidFill>
            <a:schemeClr val="bg1">
              <a:lumMod val="6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5"/>
        <c:spPr>
          <a:solidFill>
            <a:schemeClr val="bg1">
              <a:lumMod val="6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6"/>
        <c:spPr>
          <a:solidFill>
            <a:schemeClr val="bg1">
              <a:lumMod val="8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7"/>
        <c:spPr>
          <a:solidFill>
            <a:schemeClr val="bg1">
              <a:lumMod val="6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Ab</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8"/>
        <c:spPr>
          <a:solidFill>
            <a:schemeClr val="bg1">
              <a:lumMod val="8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9"/>
        <c:spPr>
          <a:solidFill>
            <a:schemeClr val="bg1">
              <a:lumMod val="65000"/>
            </a:schemeClr>
          </a:solidFill>
          <a:ln>
            <a:solidFill>
              <a:sysClr val="windowText" lastClr="000000"/>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0"/>
        <c:spPr>
          <a:solidFill>
            <a:schemeClr val="bg1">
              <a:lumMod val="6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1"/>
        <c:spPr>
          <a:solidFill>
            <a:schemeClr val="bg1">
              <a:lumMod val="6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2"/>
        <c:spPr>
          <a:solidFill>
            <a:schemeClr val="bg1">
              <a:lumMod val="6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Ab</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3"/>
        <c:spPr>
          <a:solidFill>
            <a:schemeClr val="bg1">
              <a:lumMod val="6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4"/>
        <c:spPr>
          <a:solidFill>
            <a:schemeClr val="bg1">
              <a:lumMod val="6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5"/>
        <c:spPr>
          <a:solidFill>
            <a:schemeClr val="bg1">
              <a:lumMod val="6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6"/>
        <c:spPr>
          <a:solidFill>
            <a:schemeClr val="bg1">
              <a:lumMod val="6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7"/>
        <c:spPr>
          <a:solidFill>
            <a:schemeClr val="bg1">
              <a:lumMod val="6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8"/>
        <c:spPr>
          <a:solidFill>
            <a:schemeClr val="bg1">
              <a:lumMod val="85000"/>
            </a:schemeClr>
          </a:solidFill>
          <a:ln>
            <a:solidFill>
              <a:sysClr val="windowText" lastClr="000000"/>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9"/>
        <c:spPr>
          <a:solidFill>
            <a:schemeClr val="bg1">
              <a:lumMod val="85000"/>
            </a:schemeClr>
          </a:solidFill>
          <a:ln>
            <a:solidFill>
              <a:sysClr val="windowText" lastClr="000000"/>
            </a:solidFill>
          </a:ln>
          <a:effectLst/>
        </c:spP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0"/>
        <c:spPr>
          <a:solidFill>
            <a:schemeClr val="bg1">
              <a:lumMod val="8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31"/>
        <c:spPr>
          <a:solidFill>
            <a:schemeClr val="bg1">
              <a:lumMod val="8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32"/>
        <c:spPr>
          <a:solidFill>
            <a:schemeClr val="bg1">
              <a:lumMod val="8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33"/>
        <c:spPr>
          <a:solidFill>
            <a:schemeClr val="bg1">
              <a:lumMod val="8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34"/>
        <c:spPr>
          <a:solidFill>
            <a:schemeClr val="bg1">
              <a:lumMod val="8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35"/>
        <c:spPr>
          <a:solidFill>
            <a:schemeClr val="bg1">
              <a:lumMod val="8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36"/>
        <c:spPr>
          <a:solidFill>
            <a:schemeClr val="bg1">
              <a:lumMod val="8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37"/>
        <c:spPr>
          <a:solidFill>
            <a:schemeClr val="bg1">
              <a:lumMod val="8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38"/>
        <c:spPr>
          <a:solidFill>
            <a:schemeClr val="bg1">
              <a:lumMod val="65000"/>
            </a:schemeClr>
          </a:solidFill>
          <a:ln>
            <a:solidFill>
              <a:sysClr val="windowText" lastClr="000000"/>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39"/>
        <c:spPr>
          <a:solidFill>
            <a:schemeClr val="bg1">
              <a:lumMod val="6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40"/>
        <c:spPr>
          <a:solidFill>
            <a:schemeClr val="bg1">
              <a:lumMod val="6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41"/>
        <c:spPr>
          <a:solidFill>
            <a:schemeClr val="bg1">
              <a:lumMod val="6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Ab</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42"/>
        <c:spPr>
          <a:solidFill>
            <a:schemeClr val="bg1">
              <a:lumMod val="6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43"/>
        <c:spPr>
          <a:solidFill>
            <a:schemeClr val="bg1">
              <a:lumMod val="6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44"/>
        <c:spPr>
          <a:solidFill>
            <a:schemeClr val="bg1">
              <a:lumMod val="6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45"/>
        <c:spPr>
          <a:solidFill>
            <a:schemeClr val="bg1">
              <a:lumMod val="6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46"/>
        <c:spPr>
          <a:solidFill>
            <a:schemeClr val="bg1">
              <a:lumMod val="6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47"/>
        <c:spPr>
          <a:solidFill>
            <a:schemeClr val="bg1">
              <a:lumMod val="85000"/>
            </a:schemeClr>
          </a:solidFill>
          <a:ln>
            <a:solidFill>
              <a:sysClr val="windowText" lastClr="000000"/>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48"/>
        <c:spPr>
          <a:solidFill>
            <a:schemeClr val="bg1">
              <a:lumMod val="85000"/>
            </a:schemeClr>
          </a:solidFill>
          <a:ln>
            <a:solidFill>
              <a:sysClr val="windowText" lastClr="000000"/>
            </a:solidFill>
          </a:ln>
          <a:effectLst/>
        </c:spP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9"/>
        <c:spPr>
          <a:solidFill>
            <a:schemeClr val="bg1">
              <a:lumMod val="8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50"/>
        <c:spPr>
          <a:solidFill>
            <a:schemeClr val="bg1">
              <a:lumMod val="8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51"/>
        <c:spPr>
          <a:solidFill>
            <a:schemeClr val="bg1">
              <a:lumMod val="8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52"/>
        <c:spPr>
          <a:solidFill>
            <a:schemeClr val="bg1">
              <a:lumMod val="8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53"/>
        <c:spPr>
          <a:solidFill>
            <a:schemeClr val="bg1">
              <a:lumMod val="8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54"/>
        <c:spPr>
          <a:solidFill>
            <a:schemeClr val="bg1">
              <a:lumMod val="8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55"/>
        <c:spPr>
          <a:solidFill>
            <a:schemeClr val="bg1">
              <a:lumMod val="8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56"/>
        <c:spPr>
          <a:solidFill>
            <a:schemeClr val="bg1">
              <a:lumMod val="8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SoyOnly!$O$25:$O$26</c:f>
              <c:strCache>
                <c:ptCount val="1"/>
                <c:pt idx="0">
                  <c:v>CC</c:v>
                </c:pt>
              </c:strCache>
            </c:strRef>
          </c:tx>
          <c:spPr>
            <a:solidFill>
              <a:schemeClr val="bg1">
                <a:lumMod val="65000"/>
              </a:schemeClr>
            </a:solidFill>
            <a:ln>
              <a:solidFill>
                <a:sysClr val="windowText" lastClr="000000"/>
              </a:solidFill>
            </a:ln>
            <a:effectLst/>
          </c:spPr>
          <c:invertIfNegative val="0"/>
          <c:dLbls>
            <c:dLbl>
              <c:idx val="1"/>
              <c:tx>
                <c:rich>
                  <a:bodyPr/>
                  <a:lstStyle/>
                  <a:p>
                    <a:r>
                      <a:rPr lang="en-US"/>
                      <a:t>Aa</a:t>
                    </a:r>
                  </a:p>
                </c:rich>
              </c:tx>
              <c:dLblPos val="outEnd"/>
              <c:showLegendKey val="0"/>
              <c:showVal val="1"/>
              <c:showCatName val="0"/>
              <c:showSerName val="0"/>
              <c:showPercent val="0"/>
              <c:showBubbleSize val="0"/>
              <c:extLst>
                <c:ext xmlns:c15="http://schemas.microsoft.com/office/drawing/2012/chart" uri="{CE6537A1-D6FC-4f65-9D91-7224C49458BB}">
                  <c15:layout>
                    <c:manualLayout>
                      <c:w val="4.5654689648709494E-2"/>
                      <c:h val="9.3197615071363885E-2"/>
                    </c:manualLayout>
                  </c15:layout>
                </c:ext>
                <c:ext xmlns:c16="http://schemas.microsoft.com/office/drawing/2014/chart" uri="{C3380CC4-5D6E-409C-BE32-E72D297353CC}">
                  <c16:uniqueId val="{00000000-78C4-4782-9357-D539B39625CE}"/>
                </c:ext>
              </c:extLst>
            </c:dLbl>
            <c:dLbl>
              <c:idx val="2"/>
              <c:tx>
                <c:rich>
                  <a:bodyPr/>
                  <a:lstStyle/>
                  <a:p>
                    <a:r>
                      <a:rPr lang="en-US"/>
                      <a:t>Aa</a:t>
                    </a:r>
                  </a:p>
                </c:rich>
              </c:tx>
              <c:dLblPos val="outEnd"/>
              <c:showLegendKey val="0"/>
              <c:showVal val="1"/>
              <c:showCatName val="0"/>
              <c:showSerName val="0"/>
              <c:showPercent val="0"/>
              <c:showBubbleSize val="0"/>
              <c:extLst>
                <c:ext xmlns:c15="http://schemas.microsoft.com/office/drawing/2012/chart" uri="{CE6537A1-D6FC-4f65-9D91-7224C49458BB}">
                  <c15:layout>
                    <c:manualLayout>
                      <c:w val="4.5654689648709494E-2"/>
                      <c:h val="0.17107209972550955"/>
                    </c:manualLayout>
                  </c15:layout>
                </c:ext>
                <c:ext xmlns:c16="http://schemas.microsoft.com/office/drawing/2014/chart" uri="{C3380CC4-5D6E-409C-BE32-E72D297353CC}">
                  <c16:uniqueId val="{00000001-78C4-4782-9357-D539B39625CE}"/>
                </c:ext>
              </c:extLst>
            </c:dLbl>
            <c:dLbl>
              <c:idx val="3"/>
              <c:tx>
                <c:rich>
                  <a:bodyPr/>
                  <a:lstStyle/>
                  <a:p>
                    <a:r>
                      <a:rPr lang="en-US"/>
                      <a:t>Ab</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8C4-4782-9357-D539B39625CE}"/>
                </c:ext>
              </c:extLst>
            </c:dLbl>
            <c:dLbl>
              <c:idx val="4"/>
              <c:tx>
                <c:rich>
                  <a:bodyPr/>
                  <a:lstStyle/>
                  <a:p>
                    <a:r>
                      <a:rPr lang="en-US"/>
                      <a:t>Aa</a:t>
                    </a:r>
                  </a:p>
                </c:rich>
              </c:tx>
              <c:dLblPos val="outEnd"/>
              <c:showLegendKey val="0"/>
              <c:showVal val="1"/>
              <c:showCatName val="0"/>
              <c:showSerName val="0"/>
              <c:showPercent val="0"/>
              <c:showBubbleSize val="0"/>
              <c:extLst>
                <c:ext xmlns:c15="http://schemas.microsoft.com/office/drawing/2012/chart" uri="{CE6537A1-D6FC-4f65-9D91-7224C49458BB}">
                  <c15:layout>
                    <c:manualLayout>
                      <c:w val="4.5654689648709494E-2"/>
                      <c:h val="9.7778467109843045E-2"/>
                    </c:manualLayout>
                  </c15:layout>
                </c:ext>
                <c:ext xmlns:c16="http://schemas.microsoft.com/office/drawing/2014/chart" uri="{C3380CC4-5D6E-409C-BE32-E72D297353CC}">
                  <c16:uniqueId val="{00000003-78C4-4782-9357-D539B39625CE}"/>
                </c:ext>
              </c:extLst>
            </c:dLbl>
            <c:dLbl>
              <c:idx val="5"/>
              <c:tx>
                <c:rich>
                  <a:bodyPr/>
                  <a:lstStyle/>
                  <a:p>
                    <a:r>
                      <a:rPr lang="en-US"/>
                      <a:t>Aa</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8C4-4782-9357-D539B39625CE}"/>
                </c:ext>
              </c:extLst>
            </c:dLbl>
            <c:dLbl>
              <c:idx val="6"/>
              <c:tx>
                <c:rich>
                  <a:bodyPr/>
                  <a:lstStyle/>
                  <a:p>
                    <a:r>
                      <a:rPr lang="en-US"/>
                      <a:t>Aa</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8C4-4782-9357-D539B39625CE}"/>
                </c:ext>
              </c:extLst>
            </c:dLbl>
            <c:dLbl>
              <c:idx val="7"/>
              <c:tx>
                <c:rich>
                  <a:bodyPr/>
                  <a:lstStyle/>
                  <a:p>
                    <a:r>
                      <a:rPr lang="en-US"/>
                      <a:t>Aa</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8C4-4782-9357-D539B39625CE}"/>
                </c:ext>
              </c:extLst>
            </c:dLbl>
            <c:dLbl>
              <c:idx val="8"/>
              <c:tx>
                <c:rich>
                  <a:bodyPr/>
                  <a:lstStyle/>
                  <a:p>
                    <a:r>
                      <a:rPr lang="en-US"/>
                      <a:t>Aa</a:t>
                    </a:r>
                  </a:p>
                </c:rich>
              </c:tx>
              <c:dLblPos val="outEnd"/>
              <c:showLegendKey val="0"/>
              <c:showVal val="1"/>
              <c:showCatName val="0"/>
              <c:showSerName val="0"/>
              <c:showPercent val="0"/>
              <c:showBubbleSize val="0"/>
              <c:extLst>
                <c:ext xmlns:c15="http://schemas.microsoft.com/office/drawing/2012/chart" uri="{CE6537A1-D6FC-4f65-9D91-7224C49458BB}">
                  <c15:layout>
                    <c:manualLayout>
                      <c:w val="4.5654689648709494E-2"/>
                      <c:h val="0.11610187526375969"/>
                    </c:manualLayout>
                  </c15:layout>
                </c:ext>
                <c:ext xmlns:c16="http://schemas.microsoft.com/office/drawing/2014/chart" uri="{C3380CC4-5D6E-409C-BE32-E72D297353CC}">
                  <c16:uniqueId val="{00000007-78C4-4782-9357-D539B39625CE}"/>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SoyOnly!$V$27:$V$35</c:f>
                <c:numCache>
                  <c:formatCode>General</c:formatCode>
                  <c:ptCount val="9"/>
                  <c:pt idx="1">
                    <c:v>0.16138394522931215</c:v>
                  </c:pt>
                  <c:pt idx="2">
                    <c:v>0.41636735916469014</c:v>
                  </c:pt>
                  <c:pt idx="3">
                    <c:v>0.1224436378275513</c:v>
                  </c:pt>
                  <c:pt idx="4">
                    <c:v>0.23211587144738069</c:v>
                  </c:pt>
                  <c:pt idx="5">
                    <c:v>0.14369450619669241</c:v>
                  </c:pt>
                  <c:pt idx="6">
                    <c:v>0.1402026311371446</c:v>
                  </c:pt>
                  <c:pt idx="7">
                    <c:v>0.10596278172599215</c:v>
                  </c:pt>
                  <c:pt idx="8">
                    <c:v>0.29884462704072579</c:v>
                  </c:pt>
                </c:numCache>
              </c:numRef>
            </c:plus>
            <c:minus>
              <c:numRef>
                <c:f>SoyOnly!$V$27:$V$35</c:f>
                <c:numCache>
                  <c:formatCode>General</c:formatCode>
                  <c:ptCount val="9"/>
                  <c:pt idx="1">
                    <c:v>0.16138394522931215</c:v>
                  </c:pt>
                  <c:pt idx="2">
                    <c:v>0.41636735916469014</c:v>
                  </c:pt>
                  <c:pt idx="3">
                    <c:v>0.1224436378275513</c:v>
                  </c:pt>
                  <c:pt idx="4">
                    <c:v>0.23211587144738069</c:v>
                  </c:pt>
                  <c:pt idx="5">
                    <c:v>0.14369450619669241</c:v>
                  </c:pt>
                  <c:pt idx="6">
                    <c:v>0.1402026311371446</c:v>
                  </c:pt>
                  <c:pt idx="7">
                    <c:v>0.10596278172599215</c:v>
                  </c:pt>
                  <c:pt idx="8">
                    <c:v>0.29884462704072579</c:v>
                  </c:pt>
                </c:numCache>
              </c:numRef>
            </c:minus>
            <c:spPr>
              <a:noFill/>
              <a:ln w="9525" cap="flat" cmpd="sng" algn="ctr">
                <a:solidFill>
                  <a:schemeClr val="tx1">
                    <a:lumMod val="65000"/>
                    <a:lumOff val="35000"/>
                  </a:schemeClr>
                </a:solidFill>
                <a:round/>
              </a:ln>
              <a:effectLst/>
            </c:spPr>
          </c:errBars>
          <c:cat>
            <c:multiLvlStrRef>
              <c:f>SoyOnly!$V$27:$V$35</c:f>
              <c:multiLvlStrCache>
                <c:ptCount val="9"/>
                <c:lvl>
                  <c:pt idx="0">
                    <c:v> </c:v>
                  </c:pt>
                  <c:pt idx="1">
                    <c:v>CP</c:v>
                  </c:pt>
                  <c:pt idx="2">
                    <c:v>NT</c:v>
                  </c:pt>
                  <c:pt idx="3">
                    <c:v>CP</c:v>
                  </c:pt>
                  <c:pt idx="4">
                    <c:v>NT</c:v>
                  </c:pt>
                  <c:pt idx="5">
                    <c:v>CP</c:v>
                  </c:pt>
                  <c:pt idx="6">
                    <c:v>NT</c:v>
                  </c:pt>
                  <c:pt idx="7">
                    <c:v>CP</c:v>
                  </c:pt>
                  <c:pt idx="8">
                    <c:v>NT</c:v>
                  </c:pt>
                </c:lvl>
                <c:lvl>
                  <c:pt idx="0">
                    <c:v>Fall</c:v>
                  </c:pt>
                  <c:pt idx="1">
                    <c:v>Spring</c:v>
                  </c:pt>
                  <c:pt idx="3">
                    <c:v>Fall</c:v>
                  </c:pt>
                  <c:pt idx="5">
                    <c:v>Spring</c:v>
                  </c:pt>
                  <c:pt idx="7">
                    <c:v>Fall</c:v>
                  </c:pt>
                </c:lvl>
                <c:lvl>
                  <c:pt idx="0">
                    <c:v>2017</c:v>
                  </c:pt>
                  <c:pt idx="1">
                    <c:v>2018</c:v>
                  </c:pt>
                  <c:pt idx="5">
                    <c:v>2019</c:v>
                  </c:pt>
                </c:lvl>
              </c:multiLvlStrCache>
            </c:multiLvlStrRef>
          </c:cat>
          <c:val>
            <c:numRef>
              <c:f>SoyOnly!$V$27:$V$35</c:f>
              <c:numCache>
                <c:formatCode>General</c:formatCode>
                <c:ptCount val="9"/>
                <c:pt idx="1">
                  <c:v>2.6453333333333333</c:v>
                </c:pt>
                <c:pt idx="2">
                  <c:v>2.8856666666666668</c:v>
                </c:pt>
                <c:pt idx="3">
                  <c:v>2.329333333333333</c:v>
                </c:pt>
                <c:pt idx="4">
                  <c:v>2.9493333333333336</c:v>
                </c:pt>
                <c:pt idx="5">
                  <c:v>2.0813333333333333</c:v>
                </c:pt>
                <c:pt idx="6">
                  <c:v>2.2613333333333334</c:v>
                </c:pt>
                <c:pt idx="7">
                  <c:v>2.2376666666666671</c:v>
                </c:pt>
                <c:pt idx="8">
                  <c:v>2.4886666666666666</c:v>
                </c:pt>
              </c:numCache>
            </c:numRef>
          </c:val>
          <c:extLst>
            <c:ext xmlns:c16="http://schemas.microsoft.com/office/drawing/2014/chart" uri="{C3380CC4-5D6E-409C-BE32-E72D297353CC}">
              <c16:uniqueId val="{00000008-78C4-4782-9357-D539B39625CE}"/>
            </c:ext>
          </c:extLst>
        </c:ser>
        <c:ser>
          <c:idx val="1"/>
          <c:order val="1"/>
          <c:tx>
            <c:strRef>
              <c:f>SoyOnly!$P$25:$P$26</c:f>
              <c:strCache>
                <c:ptCount val="1"/>
                <c:pt idx="0">
                  <c:v>NC</c:v>
                </c:pt>
              </c:strCache>
            </c:strRef>
          </c:tx>
          <c:spPr>
            <a:solidFill>
              <a:schemeClr val="bg1">
                <a:lumMod val="85000"/>
              </a:schemeClr>
            </a:solidFill>
            <a:ln>
              <a:solidFill>
                <a:sysClr val="windowText" lastClr="000000"/>
              </a:solid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9-78C4-4782-9357-D539B39625CE}"/>
                </c:ext>
              </c:extLst>
            </c:dLbl>
            <c:dLbl>
              <c:idx val="1"/>
              <c:tx>
                <c:rich>
                  <a:bodyPr/>
                  <a:lstStyle/>
                  <a:p>
                    <a:r>
                      <a:rPr lang="en-US"/>
                      <a:t>Aa</a:t>
                    </a:r>
                  </a:p>
                </c:rich>
              </c:tx>
              <c:dLblPos val="outEnd"/>
              <c:showLegendKey val="0"/>
              <c:showVal val="1"/>
              <c:showCatName val="0"/>
              <c:showSerName val="0"/>
              <c:showPercent val="0"/>
              <c:showBubbleSize val="0"/>
              <c:extLst>
                <c:ext xmlns:c15="http://schemas.microsoft.com/office/drawing/2012/chart" uri="{CE6537A1-D6FC-4f65-9D91-7224C49458BB}">
                  <c15:layout>
                    <c:manualLayout>
                      <c:w val="4.5654689648709494E-2"/>
                      <c:h val="7.9455058955926416E-2"/>
                    </c:manualLayout>
                  </c15:layout>
                </c:ext>
                <c:ext xmlns:c16="http://schemas.microsoft.com/office/drawing/2014/chart" uri="{C3380CC4-5D6E-409C-BE32-E72D297353CC}">
                  <c16:uniqueId val="{0000000A-78C4-4782-9357-D539B39625CE}"/>
                </c:ext>
              </c:extLst>
            </c:dLbl>
            <c:dLbl>
              <c:idx val="2"/>
              <c:tx>
                <c:rich>
                  <a:bodyPr/>
                  <a:lstStyle/>
                  <a:p>
                    <a:r>
                      <a:rPr lang="en-US"/>
                      <a:t>Aa</a:t>
                    </a:r>
                  </a:p>
                </c:rich>
              </c:tx>
              <c:dLblPos val="outEnd"/>
              <c:showLegendKey val="0"/>
              <c:showVal val="1"/>
              <c:showCatName val="0"/>
              <c:showSerName val="0"/>
              <c:showPercent val="0"/>
              <c:showBubbleSize val="0"/>
              <c:extLst>
                <c:ext xmlns:c15="http://schemas.microsoft.com/office/drawing/2012/chart" uri="{CE6537A1-D6FC-4f65-9D91-7224C49458BB}">
                  <c15:layout>
                    <c:manualLayout>
                      <c:w val="4.5654689648709494E-2"/>
                      <c:h val="0.13900613545615545"/>
                    </c:manualLayout>
                  </c15:layout>
                </c:ext>
                <c:ext xmlns:c16="http://schemas.microsoft.com/office/drawing/2014/chart" uri="{C3380CC4-5D6E-409C-BE32-E72D297353CC}">
                  <c16:uniqueId val="{0000000B-78C4-4782-9357-D539B39625CE}"/>
                </c:ext>
              </c:extLst>
            </c:dLbl>
            <c:dLbl>
              <c:idx val="3"/>
              <c:tx>
                <c:rich>
                  <a:bodyPr/>
                  <a:lstStyle/>
                  <a:p>
                    <a:r>
                      <a:rPr lang="en-US"/>
                      <a:t>Aa</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78C4-4782-9357-D539B39625CE}"/>
                </c:ext>
              </c:extLst>
            </c:dLbl>
            <c:dLbl>
              <c:idx val="4"/>
              <c:tx>
                <c:rich>
                  <a:bodyPr/>
                  <a:lstStyle/>
                  <a:p>
                    <a:r>
                      <a:rPr lang="en-US"/>
                      <a:t>Aa</a:t>
                    </a:r>
                  </a:p>
                </c:rich>
              </c:tx>
              <c:dLblPos val="outEnd"/>
              <c:showLegendKey val="0"/>
              <c:showVal val="1"/>
              <c:showCatName val="0"/>
              <c:showSerName val="0"/>
              <c:showPercent val="0"/>
              <c:showBubbleSize val="0"/>
              <c:extLst>
                <c:ext xmlns:c15="http://schemas.microsoft.com/office/drawing/2012/chart" uri="{CE6537A1-D6FC-4f65-9D91-7224C49458BB}">
                  <c15:layout>
                    <c:manualLayout>
                      <c:w val="4.5654689648709494E-2"/>
                      <c:h val="8.4035910994405591E-2"/>
                    </c:manualLayout>
                  </c15:layout>
                </c:ext>
                <c:ext xmlns:c16="http://schemas.microsoft.com/office/drawing/2014/chart" uri="{C3380CC4-5D6E-409C-BE32-E72D297353CC}">
                  <c16:uniqueId val="{0000000D-78C4-4782-9357-D539B39625CE}"/>
                </c:ext>
              </c:extLst>
            </c:dLbl>
            <c:dLbl>
              <c:idx val="5"/>
              <c:tx>
                <c:rich>
                  <a:bodyPr/>
                  <a:lstStyle/>
                  <a:p>
                    <a:r>
                      <a:rPr lang="en-US"/>
                      <a:t>Aa</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78C4-4782-9357-D539B39625CE}"/>
                </c:ext>
              </c:extLst>
            </c:dLbl>
            <c:dLbl>
              <c:idx val="6"/>
              <c:tx>
                <c:rich>
                  <a:bodyPr/>
                  <a:lstStyle/>
                  <a:p>
                    <a:r>
                      <a:rPr lang="en-US"/>
                      <a:t>Aa</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78C4-4782-9357-D539B39625CE}"/>
                </c:ext>
              </c:extLst>
            </c:dLbl>
            <c:dLbl>
              <c:idx val="7"/>
              <c:tx>
                <c:rich>
                  <a:bodyPr/>
                  <a:lstStyle/>
                  <a:p>
                    <a:r>
                      <a:rPr lang="en-US"/>
                      <a:t>Aa</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78C4-4782-9357-D539B39625CE}"/>
                </c:ext>
              </c:extLst>
            </c:dLbl>
            <c:dLbl>
              <c:idx val="8"/>
              <c:tx>
                <c:rich>
                  <a:bodyPr/>
                  <a:lstStyle/>
                  <a:p>
                    <a:r>
                      <a:rPr lang="en-US"/>
                      <a:t>Aa</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78C4-4782-9357-D539B39625CE}"/>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SoyOnly!$Y$27:$Y$35</c:f>
                <c:numCache>
                  <c:formatCode>General</c:formatCode>
                  <c:ptCount val="9"/>
                  <c:pt idx="0">
                    <c:v>7.1455469055707349E-2</c:v>
                  </c:pt>
                  <c:pt idx="1">
                    <c:v>0.18631723245881116</c:v>
                  </c:pt>
                  <c:pt idx="2">
                    <c:v>0.35171911141326029</c:v>
                  </c:pt>
                  <c:pt idx="3">
                    <c:v>3.1571787687390482E-2</c:v>
                  </c:pt>
                  <c:pt idx="4">
                    <c:v>0.20459797978800637</c:v>
                  </c:pt>
                  <c:pt idx="5">
                    <c:v>9.5793179993843305E-2</c:v>
                  </c:pt>
                  <c:pt idx="6">
                    <c:v>5.8157831229620371E-2</c:v>
                  </c:pt>
                  <c:pt idx="7">
                    <c:v>5.6628418464390096E-2</c:v>
                  </c:pt>
                  <c:pt idx="8">
                    <c:v>0.11709303044066095</c:v>
                  </c:pt>
                </c:numCache>
              </c:numRef>
            </c:plus>
            <c:minus>
              <c:numRef>
                <c:f>SoyOnly!$Y$27:$Y$35</c:f>
                <c:numCache>
                  <c:formatCode>General</c:formatCode>
                  <c:ptCount val="9"/>
                  <c:pt idx="0">
                    <c:v>7.1455469055707349E-2</c:v>
                  </c:pt>
                  <c:pt idx="1">
                    <c:v>0.18631723245881116</c:v>
                  </c:pt>
                  <c:pt idx="2">
                    <c:v>0.35171911141326029</c:v>
                  </c:pt>
                  <c:pt idx="3">
                    <c:v>3.1571787687390482E-2</c:v>
                  </c:pt>
                  <c:pt idx="4">
                    <c:v>0.20459797978800637</c:v>
                  </c:pt>
                  <c:pt idx="5">
                    <c:v>9.5793179993843305E-2</c:v>
                  </c:pt>
                  <c:pt idx="6">
                    <c:v>5.8157831229620371E-2</c:v>
                  </c:pt>
                  <c:pt idx="7">
                    <c:v>5.6628418464390096E-2</c:v>
                  </c:pt>
                  <c:pt idx="8">
                    <c:v>0.11709303044066095</c:v>
                  </c:pt>
                </c:numCache>
              </c:numRef>
            </c:minus>
            <c:spPr>
              <a:noFill/>
              <a:ln w="9525" cap="flat" cmpd="sng" algn="ctr">
                <a:solidFill>
                  <a:schemeClr val="tx1">
                    <a:lumMod val="65000"/>
                    <a:lumOff val="35000"/>
                  </a:schemeClr>
                </a:solidFill>
                <a:round/>
              </a:ln>
              <a:effectLst/>
            </c:spPr>
          </c:errBars>
          <c:cat>
            <c:multiLvlStrRef>
              <c:f>SoyOnly!$V$27:$V$35</c:f>
              <c:multiLvlStrCache>
                <c:ptCount val="9"/>
                <c:lvl>
                  <c:pt idx="0">
                    <c:v> </c:v>
                  </c:pt>
                  <c:pt idx="1">
                    <c:v>CP</c:v>
                  </c:pt>
                  <c:pt idx="2">
                    <c:v>NT</c:v>
                  </c:pt>
                  <c:pt idx="3">
                    <c:v>CP</c:v>
                  </c:pt>
                  <c:pt idx="4">
                    <c:v>NT</c:v>
                  </c:pt>
                  <c:pt idx="5">
                    <c:v>CP</c:v>
                  </c:pt>
                  <c:pt idx="6">
                    <c:v>NT</c:v>
                  </c:pt>
                  <c:pt idx="7">
                    <c:v>CP</c:v>
                  </c:pt>
                  <c:pt idx="8">
                    <c:v>NT</c:v>
                  </c:pt>
                </c:lvl>
                <c:lvl>
                  <c:pt idx="0">
                    <c:v>Fall</c:v>
                  </c:pt>
                  <c:pt idx="1">
                    <c:v>Spring</c:v>
                  </c:pt>
                  <c:pt idx="3">
                    <c:v>Fall</c:v>
                  </c:pt>
                  <c:pt idx="5">
                    <c:v>Spring</c:v>
                  </c:pt>
                  <c:pt idx="7">
                    <c:v>Fall</c:v>
                  </c:pt>
                </c:lvl>
                <c:lvl>
                  <c:pt idx="0">
                    <c:v>2017</c:v>
                  </c:pt>
                  <c:pt idx="1">
                    <c:v>2018</c:v>
                  </c:pt>
                  <c:pt idx="5">
                    <c:v>2019</c:v>
                  </c:pt>
                </c:lvl>
              </c:multiLvlStrCache>
            </c:multiLvlStrRef>
          </c:cat>
          <c:val>
            <c:numRef>
              <c:f>SoyOnly!$V$27:$V$35</c:f>
              <c:numCache>
                <c:formatCode>General</c:formatCode>
                <c:ptCount val="9"/>
                <c:pt idx="0">
                  <c:v>2.3384999999999994</c:v>
                </c:pt>
                <c:pt idx="1">
                  <c:v>2.4993333333333334</c:v>
                </c:pt>
                <c:pt idx="2">
                  <c:v>2.7210000000000001</c:v>
                </c:pt>
                <c:pt idx="3">
                  <c:v>2.1333333333333333</c:v>
                </c:pt>
                <c:pt idx="4">
                  <c:v>2.484</c:v>
                </c:pt>
                <c:pt idx="5">
                  <c:v>2.1990000000000003</c:v>
                </c:pt>
                <c:pt idx="6">
                  <c:v>2.0449999999999999</c:v>
                </c:pt>
                <c:pt idx="7">
                  <c:v>2.5226666666666664</c:v>
                </c:pt>
                <c:pt idx="8">
                  <c:v>2.0766666666666667</c:v>
                </c:pt>
              </c:numCache>
            </c:numRef>
          </c:val>
          <c:extLst>
            <c:ext xmlns:c16="http://schemas.microsoft.com/office/drawing/2014/chart" uri="{C3380CC4-5D6E-409C-BE32-E72D297353CC}">
              <c16:uniqueId val="{00000012-78C4-4782-9357-D539B39625CE}"/>
            </c:ext>
          </c:extLst>
        </c:ser>
        <c:dLbls>
          <c:dLblPos val="outEnd"/>
          <c:showLegendKey val="0"/>
          <c:showVal val="1"/>
          <c:showCatName val="0"/>
          <c:showSerName val="0"/>
          <c:showPercent val="0"/>
          <c:showBubbleSize val="0"/>
        </c:dLbls>
        <c:gapWidth val="100"/>
        <c:axId val="892090760"/>
        <c:axId val="892092360"/>
      </c:barChart>
      <c:catAx>
        <c:axId val="8920907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892092360"/>
        <c:crosses val="autoZero"/>
        <c:auto val="1"/>
        <c:lblAlgn val="ctr"/>
        <c:lblOffset val="100"/>
        <c:noMultiLvlLbl val="0"/>
      </c:catAx>
      <c:valAx>
        <c:axId val="892092360"/>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Total Soil Carbon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in"/>
        <c:minorTickMark val="none"/>
        <c:tickLblPos val="nextTo"/>
        <c:spPr>
          <a:noFill/>
          <a:ln>
            <a:solidFill>
              <a:schemeClr val="bg1">
                <a:lumMod val="85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892090760"/>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pivotOptions>
    </c:ext>
    <c:ext xmlns:c16="http://schemas.microsoft.com/office/drawing/2014/chart" uri="{E28EC0CA-F0BB-4C9C-879D-F8772B89E7AC}">
      <c16:pivotOptions16>
        <c16:showExpandCollapseFieldButtons val="1"/>
      </c16:pivotOptions16>
    </c:ext>
  </c:extLst>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[Master Yield.xlsx]English Graphs!PivotTable3</c:name>
    <c:fmtId val="-1"/>
  </c:pivotSource>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2019 Soybeans following Corn</a:t>
            </a:r>
          </a:p>
        </c:rich>
      </c:tx>
      <c:overlay val="1"/>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ivotFmts>
      <c:pivotFmt>
        <c:idx val="0"/>
        <c:spPr>
          <a:solidFill>
            <a:schemeClr val="bg1">
              <a:lumMod val="65000"/>
            </a:schemeClr>
          </a:solidFill>
          <a:ln>
            <a:solidFill>
              <a:sysClr val="windowText" lastClr="000000"/>
            </a:solidFill>
          </a:ln>
          <a:effectLst/>
        </c:spPr>
        <c:marker>
          <c:symbol val="none"/>
        </c:marker>
        <c:dLbl>
          <c:idx val="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bg1"/>
          </a:solidFill>
          <a:ln>
            <a:solidFill>
              <a:sysClr val="windowText" lastClr="000000"/>
            </a:solidFill>
          </a:ln>
          <a:effectLst/>
        </c:spPr>
        <c:marker>
          <c:symbol val="none"/>
        </c:marker>
        <c:dLbl>
          <c:idx val="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bg1">
              <a:lumMod val="65000"/>
            </a:schemeClr>
          </a:solidFill>
          <a:ln>
            <a:solidFill>
              <a:sysClr val="windowText" lastClr="000000"/>
            </a:solidFill>
          </a:ln>
          <a:effectLst/>
        </c:spPr>
        <c:dLbl>
          <c:idx val="0"/>
          <c:tx>
            <c:rich>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r>
                  <a:rPr lang="en-US"/>
                  <a:t>Aa</a:t>
                </a:r>
              </a:p>
            </c:rich>
          </c:tx>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3"/>
        <c:spPr>
          <a:solidFill>
            <a:schemeClr val="bg1">
              <a:lumMod val="65000"/>
            </a:schemeClr>
          </a:solidFill>
          <a:ln>
            <a:solidFill>
              <a:sysClr val="windowText" lastClr="000000"/>
            </a:solidFill>
          </a:ln>
          <a:effectLst/>
        </c:spPr>
        <c:dLbl>
          <c:idx val="0"/>
          <c:tx>
            <c:rich>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r>
                  <a:rPr lang="en-US"/>
                  <a:t>Aa</a:t>
                </a:r>
              </a:p>
            </c:rich>
          </c:tx>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4"/>
        <c:spPr>
          <a:solidFill>
            <a:schemeClr val="bg1"/>
          </a:solidFill>
          <a:ln>
            <a:solidFill>
              <a:sysClr val="windowText" lastClr="000000"/>
            </a:solidFill>
          </a:ln>
          <a:effectLst/>
        </c:spPr>
        <c:dLbl>
          <c:idx val="0"/>
          <c:tx>
            <c:rich>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r>
                  <a:rPr lang="en-US"/>
                  <a:t>Ba</a:t>
                </a:r>
              </a:p>
            </c:rich>
          </c:tx>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5"/>
        <c:spPr>
          <a:solidFill>
            <a:schemeClr val="bg1"/>
          </a:solidFill>
          <a:ln>
            <a:solidFill>
              <a:sysClr val="windowText" lastClr="000000"/>
            </a:solidFill>
          </a:ln>
          <a:effectLst/>
        </c:spPr>
        <c:dLbl>
          <c:idx val="0"/>
          <c:tx>
            <c:rich>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r>
                  <a:rPr lang="en-US"/>
                  <a:t>Ba</a:t>
                </a:r>
              </a:p>
            </c:rich>
          </c:tx>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6"/>
        <c:spPr>
          <a:solidFill>
            <a:schemeClr val="accent1"/>
          </a:solidFill>
          <a:ln w="28575" cap="rnd">
            <a:solidFill>
              <a:schemeClr val="tx1"/>
            </a:solidFill>
            <a:prstDash val="dash"/>
            <a:round/>
          </a:ln>
          <a:effectLst/>
        </c:spPr>
        <c:marker>
          <c:symbol val="none"/>
        </c:marker>
        <c:dLbl>
          <c:idx val="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bg1">
              <a:lumMod val="65000"/>
            </a:schemeClr>
          </a:solidFill>
          <a:ln>
            <a:solidFill>
              <a:sysClr val="windowText" lastClr="000000"/>
            </a:solidFill>
          </a:ln>
          <a:effectLst/>
        </c:spPr>
        <c:marker>
          <c:symbol val="none"/>
        </c:marker>
        <c:dLbl>
          <c:idx val="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8"/>
        <c:spPr>
          <a:solidFill>
            <a:schemeClr val="bg1">
              <a:lumMod val="65000"/>
            </a:schemeClr>
          </a:solidFill>
          <a:ln>
            <a:solidFill>
              <a:sysClr val="windowText" lastClr="000000"/>
            </a:solidFill>
          </a:ln>
          <a:effectLst/>
        </c:spPr>
        <c:dLbl>
          <c:idx val="0"/>
          <c:tx>
            <c:rich>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r>
                  <a:rPr lang="en-US"/>
                  <a:t>Aa</a:t>
                </a:r>
              </a:p>
            </c:rich>
          </c:tx>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9"/>
        <c:spPr>
          <a:solidFill>
            <a:schemeClr val="bg1">
              <a:lumMod val="65000"/>
            </a:schemeClr>
          </a:solidFill>
          <a:ln>
            <a:solidFill>
              <a:sysClr val="windowText" lastClr="000000"/>
            </a:solidFill>
          </a:ln>
          <a:effectLst/>
        </c:spPr>
        <c:dLbl>
          <c:idx val="0"/>
          <c:tx>
            <c:rich>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r>
                  <a:rPr lang="en-US"/>
                  <a:t>Aa</a:t>
                </a:r>
              </a:p>
            </c:rich>
          </c:tx>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0"/>
        <c:spPr>
          <a:solidFill>
            <a:schemeClr val="bg1"/>
          </a:solidFill>
          <a:ln>
            <a:solidFill>
              <a:sysClr val="windowText" lastClr="000000"/>
            </a:solidFill>
          </a:ln>
          <a:effectLst/>
        </c:spPr>
        <c:marker>
          <c:symbol val="none"/>
        </c:marker>
        <c:dLbl>
          <c:idx val="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1"/>
        <c:spPr>
          <a:solidFill>
            <a:schemeClr val="bg1"/>
          </a:solidFill>
          <a:ln>
            <a:solidFill>
              <a:sysClr val="windowText" lastClr="000000"/>
            </a:solidFill>
          </a:ln>
          <a:effectLst/>
        </c:spPr>
        <c:dLbl>
          <c:idx val="0"/>
          <c:tx>
            <c:rich>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r>
                  <a:rPr lang="en-US"/>
                  <a:t>Ba</a:t>
                </a:r>
              </a:p>
            </c:rich>
          </c:tx>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2"/>
        <c:spPr>
          <a:solidFill>
            <a:schemeClr val="bg1"/>
          </a:solidFill>
          <a:ln>
            <a:solidFill>
              <a:sysClr val="windowText" lastClr="000000"/>
            </a:solidFill>
          </a:ln>
          <a:effectLst/>
        </c:spPr>
        <c:dLbl>
          <c:idx val="0"/>
          <c:tx>
            <c:rich>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r>
                  <a:rPr lang="en-US"/>
                  <a:t>Ba</a:t>
                </a:r>
              </a:p>
            </c:rich>
          </c:tx>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3"/>
        <c:spPr>
          <a:solidFill>
            <a:schemeClr val="accent1"/>
          </a:solidFill>
          <a:ln w="28575" cap="rnd">
            <a:solidFill>
              <a:schemeClr val="tx1"/>
            </a:solidFill>
            <a:prstDash val="dash"/>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
        <c:spPr>
          <a:solidFill>
            <a:schemeClr val="bg1">
              <a:lumMod val="65000"/>
            </a:schemeClr>
          </a:solidFill>
          <a:ln>
            <a:solidFill>
              <a:sysClr val="windowText" lastClr="000000"/>
            </a:solidFill>
          </a:ln>
          <a:effectLst/>
        </c:spPr>
        <c:marker>
          <c:symbol val="none"/>
        </c:marker>
        <c:dLbl>
          <c:idx val="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5"/>
        <c:spPr>
          <a:solidFill>
            <a:schemeClr val="bg1">
              <a:lumMod val="65000"/>
            </a:schemeClr>
          </a:solidFill>
          <a:ln>
            <a:solidFill>
              <a:sysClr val="windowText" lastClr="000000"/>
            </a:solidFill>
          </a:ln>
          <a:effectLst/>
        </c:spPr>
        <c:dLbl>
          <c:idx val="0"/>
          <c:tx>
            <c:rich>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r>
                  <a:rPr lang="en-US"/>
                  <a:t>Aa</a:t>
                </a:r>
              </a:p>
            </c:rich>
          </c:tx>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6"/>
        <c:spPr>
          <a:solidFill>
            <a:schemeClr val="bg1">
              <a:lumMod val="65000"/>
            </a:schemeClr>
          </a:solidFill>
          <a:ln>
            <a:solidFill>
              <a:sysClr val="windowText" lastClr="000000"/>
            </a:solidFill>
          </a:ln>
          <a:effectLst/>
        </c:spPr>
        <c:dLbl>
          <c:idx val="0"/>
          <c:tx>
            <c:rich>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r>
                  <a:rPr lang="en-US"/>
                  <a:t>Aa</a:t>
                </a:r>
              </a:p>
            </c:rich>
          </c:tx>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7"/>
        <c:spPr>
          <a:solidFill>
            <a:schemeClr val="bg1"/>
          </a:solidFill>
          <a:ln>
            <a:solidFill>
              <a:sysClr val="windowText" lastClr="000000"/>
            </a:solidFill>
          </a:ln>
          <a:effectLst/>
        </c:spPr>
        <c:marker>
          <c:symbol val="none"/>
        </c:marker>
        <c:dLbl>
          <c:idx val="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8"/>
        <c:spPr>
          <a:solidFill>
            <a:schemeClr val="bg1"/>
          </a:solidFill>
          <a:ln>
            <a:solidFill>
              <a:sysClr val="windowText" lastClr="000000"/>
            </a:solidFill>
          </a:ln>
          <a:effectLst/>
        </c:spPr>
        <c:dLbl>
          <c:idx val="0"/>
          <c:tx>
            <c:rich>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r>
                  <a:rPr lang="en-US"/>
                  <a:t>Ba</a:t>
                </a:r>
              </a:p>
            </c:rich>
          </c:tx>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9"/>
        <c:spPr>
          <a:solidFill>
            <a:schemeClr val="bg1"/>
          </a:solidFill>
          <a:ln>
            <a:solidFill>
              <a:sysClr val="windowText" lastClr="000000"/>
            </a:solidFill>
          </a:ln>
          <a:effectLst/>
        </c:spPr>
        <c:dLbl>
          <c:idx val="0"/>
          <c:tx>
            <c:rich>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r>
                  <a:rPr lang="en-US"/>
                  <a:t>Ba</a:t>
                </a:r>
              </a:p>
            </c:rich>
          </c:tx>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0"/>
        <c:spPr>
          <a:solidFill>
            <a:schemeClr val="accent1"/>
          </a:solidFill>
          <a:ln w="28575" cap="rnd">
            <a:solidFill>
              <a:schemeClr val="tx1"/>
            </a:solidFill>
            <a:prstDash val="dash"/>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'English Graphs'!$B$52:$B$53</c:f>
              <c:strCache>
                <c:ptCount val="1"/>
                <c:pt idx="0">
                  <c:v>CC</c:v>
                </c:pt>
              </c:strCache>
            </c:strRef>
          </c:tx>
          <c:spPr>
            <a:solidFill>
              <a:schemeClr val="bg1">
                <a:lumMod val="65000"/>
              </a:schemeClr>
            </a:solidFill>
            <a:ln>
              <a:solidFill>
                <a:sysClr val="windowText" lastClr="000000"/>
              </a:solidFill>
            </a:ln>
            <a:effectLst/>
          </c:spPr>
          <c:invertIfNegative val="0"/>
          <c:dPt>
            <c:idx val="0"/>
            <c:invertIfNegative val="0"/>
            <c:bubble3D val="0"/>
            <c:extLst>
              <c:ext xmlns:c16="http://schemas.microsoft.com/office/drawing/2014/chart" uri="{C3380CC4-5D6E-409C-BE32-E72D297353CC}">
                <c16:uniqueId val="{00000000-A53C-4036-921E-078284384861}"/>
              </c:ext>
            </c:extLst>
          </c:dPt>
          <c:dPt>
            <c:idx val="1"/>
            <c:invertIfNegative val="0"/>
            <c:bubble3D val="0"/>
            <c:extLst>
              <c:ext xmlns:c16="http://schemas.microsoft.com/office/drawing/2014/chart" uri="{C3380CC4-5D6E-409C-BE32-E72D297353CC}">
                <c16:uniqueId val="{00000001-A53C-4036-921E-078284384861}"/>
              </c:ext>
            </c:extLst>
          </c:dPt>
          <c:dLbls>
            <c:dLbl>
              <c:idx val="0"/>
              <c:tx>
                <c:rich>
                  <a:bodyPr/>
                  <a:lstStyle/>
                  <a:p>
                    <a:r>
                      <a:rPr lang="en-US"/>
                      <a:t>Aa</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53C-4036-921E-078284384861}"/>
                </c:ext>
              </c:extLst>
            </c:dLbl>
            <c:dLbl>
              <c:idx val="1"/>
              <c:tx>
                <c:rich>
                  <a:bodyPr/>
                  <a:lstStyle/>
                  <a:p>
                    <a:r>
                      <a:rPr lang="en-US"/>
                      <a:t>Aa</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53C-4036-921E-078284384861}"/>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'English Graphs'!$C$58:$C$59</c:f>
                <c:numCache>
                  <c:formatCode>General</c:formatCode>
                  <c:ptCount val="2"/>
                  <c:pt idx="0">
                    <c:v>0.43271648181177558</c:v>
                  </c:pt>
                  <c:pt idx="1">
                    <c:v>0.43966022139981015</c:v>
                  </c:pt>
                </c:numCache>
              </c:numRef>
            </c:plus>
            <c:minus>
              <c:numRef>
                <c:f>'English Graphs'!$C$58:$C$59</c:f>
                <c:numCache>
                  <c:formatCode>General</c:formatCode>
                  <c:ptCount val="2"/>
                  <c:pt idx="0">
                    <c:v>0.43271648181177558</c:v>
                  </c:pt>
                  <c:pt idx="1">
                    <c:v>0.43966022139981015</c:v>
                  </c:pt>
                </c:numCache>
              </c:numRef>
            </c:minus>
            <c:spPr>
              <a:noFill/>
              <a:ln w="9525" cap="flat" cmpd="sng" algn="ctr">
                <a:solidFill>
                  <a:schemeClr val="tx1">
                    <a:lumMod val="65000"/>
                    <a:lumOff val="35000"/>
                  </a:schemeClr>
                </a:solidFill>
                <a:round/>
              </a:ln>
              <a:effectLst/>
            </c:spPr>
          </c:errBars>
          <c:cat>
            <c:strRef>
              <c:f>'English Graphs'!$C$58:$C$59</c:f>
              <c:strCache>
                <c:ptCount val="2"/>
                <c:pt idx="0">
                  <c:v>CP</c:v>
                </c:pt>
                <c:pt idx="1">
                  <c:v>NT</c:v>
                </c:pt>
              </c:strCache>
            </c:strRef>
          </c:cat>
          <c:val>
            <c:numRef>
              <c:f>'English Graphs'!$C$58:$C$59</c:f>
              <c:numCache>
                <c:formatCode>General</c:formatCode>
                <c:ptCount val="2"/>
                <c:pt idx="0">
                  <c:v>55.151521839080466</c:v>
                </c:pt>
                <c:pt idx="1">
                  <c:v>52.459702988505761</c:v>
                </c:pt>
              </c:numCache>
            </c:numRef>
          </c:val>
          <c:extLst>
            <c:ext xmlns:c16="http://schemas.microsoft.com/office/drawing/2014/chart" uri="{C3380CC4-5D6E-409C-BE32-E72D297353CC}">
              <c16:uniqueId val="{00000002-A53C-4036-921E-078284384861}"/>
            </c:ext>
          </c:extLst>
        </c:ser>
        <c:ser>
          <c:idx val="1"/>
          <c:order val="1"/>
          <c:tx>
            <c:strRef>
              <c:f>'English Graphs'!$C$52:$C$53</c:f>
              <c:strCache>
                <c:ptCount val="1"/>
                <c:pt idx="0">
                  <c:v>NC</c:v>
                </c:pt>
              </c:strCache>
            </c:strRef>
          </c:tx>
          <c:spPr>
            <a:solidFill>
              <a:schemeClr val="bg1">
                <a:lumMod val="85000"/>
              </a:schemeClr>
            </a:solidFill>
            <a:ln>
              <a:solidFill>
                <a:sysClr val="windowText" lastClr="000000"/>
              </a:solidFill>
            </a:ln>
            <a:effectLst/>
          </c:spPr>
          <c:invertIfNegative val="0"/>
          <c:dPt>
            <c:idx val="0"/>
            <c:invertIfNegative val="0"/>
            <c:bubble3D val="0"/>
            <c:extLst>
              <c:ext xmlns:c16="http://schemas.microsoft.com/office/drawing/2014/chart" uri="{C3380CC4-5D6E-409C-BE32-E72D297353CC}">
                <c16:uniqueId val="{00000003-A53C-4036-921E-078284384861}"/>
              </c:ext>
            </c:extLst>
          </c:dPt>
          <c:dPt>
            <c:idx val="1"/>
            <c:invertIfNegative val="0"/>
            <c:bubble3D val="0"/>
            <c:extLst>
              <c:ext xmlns:c16="http://schemas.microsoft.com/office/drawing/2014/chart" uri="{C3380CC4-5D6E-409C-BE32-E72D297353CC}">
                <c16:uniqueId val="{00000004-A53C-4036-921E-078284384861}"/>
              </c:ext>
            </c:extLst>
          </c:dPt>
          <c:dLbls>
            <c:dLbl>
              <c:idx val="0"/>
              <c:tx>
                <c:rich>
                  <a:bodyPr/>
                  <a:lstStyle/>
                  <a:p>
                    <a:r>
                      <a:rPr lang="en-US"/>
                      <a:t>Ba</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53C-4036-921E-078284384861}"/>
                </c:ext>
              </c:extLst>
            </c:dLbl>
            <c:dLbl>
              <c:idx val="1"/>
              <c:tx>
                <c:rich>
                  <a:bodyPr/>
                  <a:lstStyle/>
                  <a:p>
                    <a:r>
                      <a:rPr lang="en-US"/>
                      <a:t>Ba</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53C-4036-921E-078284384861}"/>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'English Graphs'!$E$58:$E$59</c:f>
                <c:numCache>
                  <c:formatCode>General</c:formatCode>
                  <c:ptCount val="2"/>
                  <c:pt idx="0">
                    <c:v>1.2674560162506576</c:v>
                  </c:pt>
                  <c:pt idx="1">
                    <c:v>1.3180084980204492</c:v>
                  </c:pt>
                </c:numCache>
              </c:numRef>
            </c:plus>
            <c:minus>
              <c:numRef>
                <c:f>'English Graphs'!$E$58:$E$59</c:f>
                <c:numCache>
                  <c:formatCode>General</c:formatCode>
                  <c:ptCount val="2"/>
                  <c:pt idx="0">
                    <c:v>1.2674560162506576</c:v>
                  </c:pt>
                  <c:pt idx="1">
                    <c:v>1.3180084980204492</c:v>
                  </c:pt>
                </c:numCache>
              </c:numRef>
            </c:minus>
            <c:spPr>
              <a:noFill/>
              <a:ln w="9525" cap="flat" cmpd="sng" algn="ctr">
                <a:solidFill>
                  <a:schemeClr val="tx1">
                    <a:lumMod val="65000"/>
                    <a:lumOff val="35000"/>
                  </a:schemeClr>
                </a:solidFill>
                <a:round/>
              </a:ln>
              <a:effectLst/>
            </c:spPr>
          </c:errBars>
          <c:cat>
            <c:strRef>
              <c:f>'English Graphs'!$C$58:$C$59</c:f>
              <c:strCache>
                <c:ptCount val="2"/>
                <c:pt idx="0">
                  <c:v>CP</c:v>
                </c:pt>
                <c:pt idx="1">
                  <c:v>NT</c:v>
                </c:pt>
              </c:strCache>
            </c:strRef>
          </c:cat>
          <c:val>
            <c:numRef>
              <c:f>'English Graphs'!$C$58:$C$59</c:f>
              <c:numCache>
                <c:formatCode>General</c:formatCode>
                <c:ptCount val="2"/>
                <c:pt idx="0">
                  <c:v>51.031291034482763</c:v>
                </c:pt>
                <c:pt idx="1">
                  <c:v>49.733232704980843</c:v>
                </c:pt>
              </c:numCache>
            </c:numRef>
          </c:val>
          <c:extLst>
            <c:ext xmlns:c16="http://schemas.microsoft.com/office/drawing/2014/chart" uri="{C3380CC4-5D6E-409C-BE32-E72D297353CC}">
              <c16:uniqueId val="{00000005-A53C-4036-921E-078284384861}"/>
            </c:ext>
          </c:extLst>
        </c:ser>
        <c:dLbls>
          <c:dLblPos val="outEnd"/>
          <c:showLegendKey val="0"/>
          <c:showVal val="1"/>
          <c:showCatName val="0"/>
          <c:showSerName val="0"/>
          <c:showPercent val="0"/>
          <c:showBubbleSize val="0"/>
        </c:dLbls>
        <c:gapWidth val="219"/>
        <c:axId val="716046224"/>
        <c:axId val="716049744"/>
      </c:barChart>
      <c:lineChart>
        <c:grouping val="standard"/>
        <c:varyColors val="0"/>
        <c:ser>
          <c:idx val="2"/>
          <c:order val="2"/>
          <c:tx>
            <c:strRef>
              <c:f>'English Graphs'!$D$52:$D$53</c:f>
              <c:strCache>
                <c:ptCount val="1"/>
                <c:pt idx="0">
                  <c:v>County Avg</c:v>
                </c:pt>
              </c:strCache>
            </c:strRef>
          </c:tx>
          <c:spPr>
            <a:ln w="28575" cap="rnd">
              <a:solidFill>
                <a:schemeClr val="tx1"/>
              </a:solidFill>
              <a:prstDash val="dash"/>
              <a:round/>
            </a:ln>
            <a:effectLst/>
          </c:spPr>
          <c:marker>
            <c:symbol val="none"/>
          </c:marker>
          <c:cat>
            <c:strRef>
              <c:f>'English Graphs'!$C$58:$C$59</c:f>
              <c:strCache>
                <c:ptCount val="2"/>
                <c:pt idx="0">
                  <c:v>CP</c:v>
                </c:pt>
                <c:pt idx="1">
                  <c:v>NT</c:v>
                </c:pt>
              </c:strCache>
            </c:strRef>
          </c:cat>
          <c:val>
            <c:numRef>
              <c:f>'English Graphs'!$C$58:$C$59</c:f>
              <c:numCache>
                <c:formatCode>General</c:formatCode>
                <c:ptCount val="2"/>
                <c:pt idx="0">
                  <c:v>49.6</c:v>
                </c:pt>
                <c:pt idx="1">
                  <c:v>49.6</c:v>
                </c:pt>
              </c:numCache>
            </c:numRef>
          </c:val>
          <c:smooth val="0"/>
          <c:extLst>
            <c:ext xmlns:c16="http://schemas.microsoft.com/office/drawing/2014/chart" uri="{C3380CC4-5D6E-409C-BE32-E72D297353CC}">
              <c16:uniqueId val="{00000006-A53C-4036-921E-078284384861}"/>
            </c:ext>
          </c:extLst>
        </c:ser>
        <c:dLbls>
          <c:showLegendKey val="0"/>
          <c:showVal val="0"/>
          <c:showCatName val="0"/>
          <c:showSerName val="0"/>
          <c:showPercent val="0"/>
          <c:showBubbleSize val="0"/>
        </c:dLbls>
        <c:marker val="1"/>
        <c:smooth val="0"/>
        <c:axId val="716046224"/>
        <c:axId val="716049744"/>
      </c:lineChart>
      <c:catAx>
        <c:axId val="71604622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Tillage</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716049744"/>
        <c:crosses val="autoZero"/>
        <c:auto val="1"/>
        <c:lblAlgn val="ctr"/>
        <c:lblOffset val="100"/>
        <c:noMultiLvlLbl val="0"/>
      </c:catAx>
      <c:valAx>
        <c:axId val="716049744"/>
        <c:scaling>
          <c:orientation val="minMax"/>
          <c:max val="70"/>
          <c:min val="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Yield (bu*ac</a:t>
                </a:r>
                <a:r>
                  <a:rPr lang="en-US" baseline="30000"/>
                  <a:t>-1</a:t>
                </a:r>
                <a:r>
                  <a:rPr lang="en-US"/>
                  <a: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in"/>
        <c:minorTickMark val="none"/>
        <c:tickLblPos val="nextTo"/>
        <c:spPr>
          <a:noFill/>
          <a:ln>
            <a:solidFill>
              <a:schemeClr val="bg1">
                <a:lumMod val="85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71604622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pivotOptions>
    </c:ext>
    <c:ext xmlns:c16="http://schemas.microsoft.com/office/drawing/2014/chart" uri="{E28EC0CA-F0BB-4C9C-879D-F8772B89E7AC}">
      <c16:pivotOptions16>
        <c16:showExpandCollapseFieldButtons val="1"/>
      </c16:pivotOptions16>
    </c:ext>
  </c:extLst>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[Master File.xlsx]Graphs!PivotTable13</c:name>
    <c:fmtId val="-1"/>
  </c:pivotSource>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Cover Crop Aboveground Biomass</a:t>
            </a:r>
          </a:p>
        </c:rich>
      </c:tx>
      <c:overlay val="1"/>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ivotFmts>
      <c:pivotFmt>
        <c:idx val="0"/>
        <c:spPr>
          <a:solidFill>
            <a:schemeClr val="bg1">
              <a:lumMod val="65000"/>
            </a:schemeClr>
          </a:solidFill>
          <a:ln>
            <a:solidFill>
              <a:sysClr val="windowText" lastClr="000000"/>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
        <c:spPr>
          <a:solidFill>
            <a:sysClr val="window" lastClr="FFFFFF"/>
          </a:solidFill>
          <a:ln>
            <a:solidFill>
              <a:sysClr val="windowText" lastClr="000000"/>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bg1">
              <a:lumMod val="65000"/>
            </a:schemeClr>
          </a:solidFill>
          <a:ln>
            <a:solidFill>
              <a:sysClr val="windowText" lastClr="000000"/>
            </a:solidFill>
          </a:ln>
          <a:effectLst/>
        </c:spPr>
        <c:dLbl>
          <c:idx val="0"/>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en-US"/>
                  <a:t>A</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15:layout>
                <c:manualLayout>
                  <c:w val="3.3928443665813129E-2"/>
                  <c:h val="0.11567147856517936"/>
                </c:manualLayout>
              </c15:layout>
            </c:ext>
          </c:extLst>
        </c:dLbl>
      </c:pivotFmt>
      <c:pivotFmt>
        <c:idx val="3"/>
        <c:spPr>
          <a:solidFill>
            <a:sysClr val="window" lastClr="FFFFFF"/>
          </a:solidFill>
          <a:ln>
            <a:solidFill>
              <a:sysClr val="windowText" lastClr="000000"/>
            </a:solidFill>
          </a:ln>
          <a:effectLst/>
        </c:spPr>
        <c:dLbl>
          <c:idx val="0"/>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en-US"/>
                  <a:t>A</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15:layout>
                <c:manualLayout>
                  <c:w val="3.6707185980785539E-2"/>
                  <c:h val="9.2523330417031202E-2"/>
                </c:manualLayout>
              </c15:layout>
            </c:ext>
          </c:extLst>
        </c:dLbl>
      </c:pivotFmt>
      <c:pivotFmt>
        <c:idx val="4"/>
        <c:spPr>
          <a:solidFill>
            <a:schemeClr val="bg1">
              <a:lumMod val="65000"/>
            </a:schemeClr>
          </a:solidFill>
          <a:ln>
            <a:solidFill>
              <a:sysClr val="windowText" lastClr="000000"/>
            </a:solidFill>
          </a:ln>
          <a:effectLst/>
        </c:spPr>
        <c:dLbl>
          <c:idx val="0"/>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en-US"/>
                  <a:t>A</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15:layout>
                <c:manualLayout>
                  <c:w val="3.3928443665813129E-2"/>
                  <c:h val="0.10178258967629045"/>
                </c:manualLayout>
              </c15:layout>
            </c:ext>
          </c:extLst>
        </c:dLbl>
      </c:pivotFmt>
      <c:pivotFmt>
        <c:idx val="5"/>
        <c:spPr>
          <a:solidFill>
            <a:sysClr val="window" lastClr="FFFFFF"/>
          </a:solidFill>
          <a:ln>
            <a:solidFill>
              <a:sysClr val="windowText" lastClr="000000"/>
            </a:solidFill>
          </a:ln>
          <a:effectLst/>
        </c:spPr>
        <c:dLbl>
          <c:idx val="0"/>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en-US"/>
                  <a:t>B</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15:layout>
                <c:manualLayout>
                  <c:w val="3.0274506920928153E-2"/>
                  <c:h val="7.8634441528142307E-2"/>
                </c:manualLayout>
              </c15:layout>
            </c:ext>
          </c:extLst>
        </c:dLbl>
      </c:pivotFmt>
      <c:pivotFmt>
        <c:idx val="6"/>
        <c:spPr>
          <a:solidFill>
            <a:schemeClr val="bg1">
              <a:lumMod val="65000"/>
            </a:schemeClr>
          </a:solidFill>
          <a:ln>
            <a:solidFill>
              <a:sysClr val="windowText" lastClr="000000"/>
            </a:solidFill>
          </a:ln>
          <a:effectLst/>
        </c:spPr>
        <c:dLbl>
          <c:idx val="0"/>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en-US"/>
                  <a:t>A</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15:layout>
                <c:manualLayout>
                  <c:w val="3.6707185980785539E-2"/>
                  <c:h val="0.10178258967629045"/>
                </c:manualLayout>
              </c15:layout>
            </c:ext>
          </c:extLst>
        </c:dLbl>
      </c:pivotFmt>
      <c:pivotFmt>
        <c:idx val="7"/>
        <c:spPr>
          <a:solidFill>
            <a:sysClr val="window" lastClr="FFFFFF"/>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B</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0"/>
        <c:spPr>
          <a:solidFill>
            <a:schemeClr val="bg1">
              <a:lumMod val="65000"/>
            </a:schemeClr>
          </a:solidFill>
          <a:ln>
            <a:solidFill>
              <a:sysClr val="windowText" lastClr="000000"/>
            </a:solidFill>
          </a:ln>
          <a:effectLst/>
        </c:spPr>
        <c:dLbl>
          <c:idx val="0"/>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en-US"/>
                  <a:t>A</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15:layout>
                <c:manualLayout>
                  <c:w val="2.5777519942827273E-2"/>
                  <c:h val="0.10641221930592007"/>
                </c:manualLayout>
              </c15:layout>
            </c:ext>
          </c:extLst>
        </c:dLbl>
      </c:pivotFmt>
      <c:pivotFmt>
        <c:idx val="11"/>
        <c:spPr>
          <a:solidFill>
            <a:sysClr val="window" lastClr="FFFFFF"/>
          </a:solidFill>
          <a:ln>
            <a:solidFill>
              <a:sysClr val="windowText" lastClr="000000"/>
            </a:solidFill>
          </a:ln>
          <a:effectLst/>
        </c:spPr>
        <c:dLbl>
          <c:idx val="0"/>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en-US"/>
                  <a:t>A</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15:layout>
                <c:manualLayout>
                  <c:w val="2.8077031088485364E-2"/>
                  <c:h val="9.7152960046660811E-2"/>
                </c:manualLayout>
              </c15:layout>
            </c:ext>
          </c:extLst>
        </c:dLbl>
      </c:pivotFmt>
      <c:pivotFmt>
        <c:idx val="12"/>
        <c:spPr>
          <a:solidFill>
            <a:schemeClr val="bg1">
              <a:lumMod val="65000"/>
            </a:schemeClr>
          </a:solidFill>
          <a:ln>
            <a:solidFill>
              <a:sysClr val="windowText" lastClr="000000"/>
            </a:solidFill>
          </a:ln>
          <a:effectLst/>
        </c:spPr>
        <c:dLbl>
          <c:idx val="0"/>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en-US"/>
                  <a:t>A</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15:layout>
                <c:manualLayout>
                  <c:w val="3.4975564525459663E-2"/>
                  <c:h val="0.11104184893554971"/>
                </c:manualLayout>
              </c15:layout>
            </c:ext>
          </c:extLst>
        </c:dLbl>
      </c:pivotFmt>
      <c:pivotFmt>
        <c:idx val="13"/>
        <c:spPr>
          <a:solidFill>
            <a:sysClr val="window" lastClr="FFFFFF"/>
          </a:solidFill>
          <a:ln>
            <a:solidFill>
              <a:sysClr val="windowText" lastClr="000000"/>
            </a:solidFill>
          </a:ln>
          <a:effectLst/>
        </c:spPr>
        <c:dLbl>
          <c:idx val="0"/>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en-US"/>
                  <a:t>B</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15:layout>
                <c:manualLayout>
                  <c:w val="2.9652286755196034E-2"/>
                  <c:h val="9.2523330417031202E-2"/>
                </c:manualLayout>
              </c15:layout>
            </c:ext>
          </c:extLst>
        </c:dLbl>
      </c:pivotFmt>
      <c:pivotFmt>
        <c:idx val="14"/>
        <c:spPr>
          <a:solidFill>
            <a:schemeClr val="bg1">
              <a:lumMod val="65000"/>
            </a:schemeClr>
          </a:solidFill>
          <a:ln>
            <a:solidFill>
              <a:sysClr val="windowText" lastClr="000000"/>
            </a:solidFill>
          </a:ln>
          <a:effectLst/>
        </c:spPr>
        <c:dLbl>
          <c:idx val="0"/>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en-US"/>
                  <a:t>A</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15:layout>
                <c:manualLayout>
                  <c:w val="3.2676053379801562E-2"/>
                  <c:h val="9.2523330417031202E-2"/>
                </c:manualLayout>
              </c15:layout>
            </c:ext>
          </c:extLst>
        </c:dLbl>
      </c:pivotFmt>
      <c:pivotFmt>
        <c:idx val="15"/>
        <c:spPr>
          <a:solidFill>
            <a:sysClr val="window" lastClr="FFFFFF"/>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B</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6"/>
        <c:spPr>
          <a:solidFill>
            <a:schemeClr val="bg1">
              <a:lumMod val="65000"/>
            </a:schemeClr>
          </a:solidFill>
          <a:ln>
            <a:solidFill>
              <a:sysClr val="windowText" lastClr="000000"/>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7"/>
        <c:spPr>
          <a:solidFill>
            <a:schemeClr val="bg1">
              <a:lumMod val="65000"/>
            </a:schemeClr>
          </a:solidFill>
          <a:ln>
            <a:solidFill>
              <a:sysClr val="windowText" lastClr="000000"/>
            </a:solidFill>
          </a:ln>
          <a:effectLst/>
        </c:spPr>
        <c:dLbl>
          <c:idx val="0"/>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en-US"/>
                  <a:t>A</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15:layout>
                <c:manualLayout>
                  <c:w val="2.5777519942827273E-2"/>
                  <c:h val="0.10641221930592007"/>
                </c:manualLayout>
              </c15:layout>
            </c:ext>
          </c:extLst>
        </c:dLbl>
      </c:pivotFmt>
      <c:pivotFmt>
        <c:idx val="18"/>
        <c:spPr>
          <a:solidFill>
            <a:schemeClr val="bg1">
              <a:lumMod val="65000"/>
            </a:schemeClr>
          </a:solidFill>
          <a:ln>
            <a:solidFill>
              <a:sysClr val="windowText" lastClr="000000"/>
            </a:solidFill>
          </a:ln>
          <a:effectLst/>
        </c:spPr>
        <c:dLbl>
          <c:idx val="0"/>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en-US"/>
                  <a:t>A</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15:layout>
                <c:manualLayout>
                  <c:w val="3.4975564525459663E-2"/>
                  <c:h val="0.11104184893554971"/>
                </c:manualLayout>
              </c15:layout>
            </c:ext>
          </c:extLst>
        </c:dLbl>
      </c:pivotFmt>
      <c:pivotFmt>
        <c:idx val="19"/>
        <c:spPr>
          <a:solidFill>
            <a:schemeClr val="bg1">
              <a:lumMod val="65000"/>
            </a:schemeClr>
          </a:solidFill>
          <a:ln>
            <a:solidFill>
              <a:sysClr val="windowText" lastClr="000000"/>
            </a:solidFill>
          </a:ln>
          <a:effectLst/>
        </c:spPr>
        <c:dLbl>
          <c:idx val="0"/>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en-US"/>
                  <a:t>A</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15:layout>
                <c:manualLayout>
                  <c:w val="3.2676053379801562E-2"/>
                  <c:h val="9.2523330417031202E-2"/>
                </c:manualLayout>
              </c15:layout>
            </c:ext>
          </c:extLst>
        </c:dLbl>
      </c:pivotFmt>
      <c:pivotFmt>
        <c:idx val="20"/>
        <c:spPr>
          <a:solidFill>
            <a:sysClr val="window" lastClr="FFFFFF"/>
          </a:solidFill>
          <a:ln>
            <a:solidFill>
              <a:sysClr val="windowText" lastClr="000000"/>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1"/>
        <c:spPr>
          <a:solidFill>
            <a:sysClr val="window" lastClr="FFFFFF"/>
          </a:solidFill>
          <a:ln>
            <a:solidFill>
              <a:sysClr val="windowText" lastClr="000000"/>
            </a:solidFill>
          </a:ln>
          <a:effectLst/>
        </c:spPr>
        <c:dLbl>
          <c:idx val="0"/>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en-US"/>
                  <a:t>A</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15:layout>
                <c:manualLayout>
                  <c:w val="2.8077031088485364E-2"/>
                  <c:h val="9.7152960046660811E-2"/>
                </c:manualLayout>
              </c15:layout>
            </c:ext>
          </c:extLst>
        </c:dLbl>
      </c:pivotFmt>
      <c:pivotFmt>
        <c:idx val="22"/>
        <c:spPr>
          <a:solidFill>
            <a:sysClr val="window" lastClr="FFFFFF"/>
          </a:solidFill>
          <a:ln>
            <a:solidFill>
              <a:sysClr val="windowText" lastClr="000000"/>
            </a:solidFill>
          </a:ln>
          <a:effectLst/>
        </c:spPr>
        <c:dLbl>
          <c:idx val="0"/>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en-US"/>
                  <a:t>B</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15:layout>
                <c:manualLayout>
                  <c:w val="2.9652286755196034E-2"/>
                  <c:h val="9.2523330417031202E-2"/>
                </c:manualLayout>
              </c15:layout>
            </c:ext>
          </c:extLst>
        </c:dLbl>
      </c:pivotFmt>
      <c:pivotFmt>
        <c:idx val="23"/>
        <c:spPr>
          <a:solidFill>
            <a:sysClr val="window" lastClr="FFFFFF"/>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B</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4"/>
        <c:spPr>
          <a:solidFill>
            <a:schemeClr val="bg1">
              <a:lumMod val="65000"/>
            </a:schemeClr>
          </a:solidFill>
          <a:ln>
            <a:solidFill>
              <a:sysClr val="windowText" lastClr="000000"/>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5"/>
        <c:spPr>
          <a:solidFill>
            <a:schemeClr val="bg1">
              <a:lumMod val="65000"/>
            </a:schemeClr>
          </a:solidFill>
          <a:ln>
            <a:solidFill>
              <a:sysClr val="windowText" lastClr="000000"/>
            </a:solidFill>
          </a:ln>
          <a:effectLst/>
        </c:spPr>
        <c:dLbl>
          <c:idx val="0"/>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en-US"/>
                  <a:t>A</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15:layout>
                <c:manualLayout>
                  <c:w val="2.5777519942827273E-2"/>
                  <c:h val="0.10641221930592007"/>
                </c:manualLayout>
              </c15:layout>
            </c:ext>
          </c:extLst>
        </c:dLbl>
      </c:pivotFmt>
      <c:pivotFmt>
        <c:idx val="26"/>
        <c:spPr>
          <a:solidFill>
            <a:schemeClr val="bg1">
              <a:lumMod val="65000"/>
            </a:schemeClr>
          </a:solidFill>
          <a:ln>
            <a:solidFill>
              <a:sysClr val="windowText" lastClr="000000"/>
            </a:solidFill>
          </a:ln>
          <a:effectLst/>
        </c:spPr>
        <c:dLbl>
          <c:idx val="0"/>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en-US"/>
                  <a:t>A</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15:layout>
                <c:manualLayout>
                  <c:w val="3.4975564525459663E-2"/>
                  <c:h val="0.11104184893554971"/>
                </c:manualLayout>
              </c15:layout>
            </c:ext>
          </c:extLst>
        </c:dLbl>
      </c:pivotFmt>
      <c:pivotFmt>
        <c:idx val="27"/>
        <c:spPr>
          <a:solidFill>
            <a:schemeClr val="bg1">
              <a:lumMod val="65000"/>
            </a:schemeClr>
          </a:solidFill>
          <a:ln>
            <a:solidFill>
              <a:sysClr val="windowText" lastClr="000000"/>
            </a:solidFill>
          </a:ln>
          <a:effectLst/>
        </c:spPr>
        <c:dLbl>
          <c:idx val="0"/>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en-US"/>
                  <a:t>A</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15:layout>
                <c:manualLayout>
                  <c:w val="3.2676053379801562E-2"/>
                  <c:h val="9.2523330417031202E-2"/>
                </c:manualLayout>
              </c15:layout>
            </c:ext>
          </c:extLst>
        </c:dLbl>
      </c:pivotFmt>
      <c:pivotFmt>
        <c:idx val="28"/>
        <c:spPr>
          <a:solidFill>
            <a:sysClr val="window" lastClr="FFFFFF"/>
          </a:solidFill>
          <a:ln>
            <a:solidFill>
              <a:sysClr val="windowText" lastClr="000000"/>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9"/>
        <c:spPr>
          <a:solidFill>
            <a:sysClr val="window" lastClr="FFFFFF"/>
          </a:solidFill>
          <a:ln>
            <a:solidFill>
              <a:sysClr val="windowText" lastClr="000000"/>
            </a:solidFill>
          </a:ln>
          <a:effectLst/>
        </c:spPr>
        <c:dLbl>
          <c:idx val="0"/>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en-US"/>
                  <a:t>A</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15:layout>
                <c:manualLayout>
                  <c:w val="2.8077031088485364E-2"/>
                  <c:h val="9.7152960046660811E-2"/>
                </c:manualLayout>
              </c15:layout>
            </c:ext>
          </c:extLst>
        </c:dLbl>
      </c:pivotFmt>
      <c:pivotFmt>
        <c:idx val="30"/>
        <c:spPr>
          <a:solidFill>
            <a:sysClr val="window" lastClr="FFFFFF"/>
          </a:solidFill>
          <a:ln>
            <a:solidFill>
              <a:sysClr val="windowText" lastClr="000000"/>
            </a:solidFill>
          </a:ln>
          <a:effectLst/>
        </c:spPr>
        <c:dLbl>
          <c:idx val="0"/>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en-US"/>
                  <a:t>B</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15:layout>
                <c:manualLayout>
                  <c:w val="2.9652286755196034E-2"/>
                  <c:h val="9.2523330417031202E-2"/>
                </c:manualLayout>
              </c15:layout>
            </c:ext>
          </c:extLst>
        </c:dLbl>
      </c:pivotFmt>
      <c:pivotFmt>
        <c:idx val="31"/>
        <c:spPr>
          <a:solidFill>
            <a:sysClr val="window" lastClr="FFFFFF"/>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B</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Graphs!$N$90:$N$91</c:f>
              <c:strCache>
                <c:ptCount val="1"/>
                <c:pt idx="0">
                  <c:v>CP</c:v>
                </c:pt>
              </c:strCache>
            </c:strRef>
          </c:tx>
          <c:spPr>
            <a:solidFill>
              <a:schemeClr val="bg1">
                <a:lumMod val="65000"/>
              </a:schemeClr>
            </a:solidFill>
            <a:ln>
              <a:solidFill>
                <a:sysClr val="windowText" lastClr="000000"/>
              </a:solidFill>
            </a:ln>
            <a:effectLst/>
          </c:spPr>
          <c:invertIfNegative val="0"/>
          <c:dPt>
            <c:idx val="1"/>
            <c:invertIfNegative val="0"/>
            <c:bubble3D val="0"/>
            <c:extLst>
              <c:ext xmlns:c16="http://schemas.microsoft.com/office/drawing/2014/chart" uri="{C3380CC4-5D6E-409C-BE32-E72D297353CC}">
                <c16:uniqueId val="{00000000-DFFE-4119-86A9-D4630B694A7B}"/>
              </c:ext>
            </c:extLst>
          </c:dPt>
          <c:dPt>
            <c:idx val="2"/>
            <c:invertIfNegative val="0"/>
            <c:bubble3D val="0"/>
            <c:extLst>
              <c:ext xmlns:c16="http://schemas.microsoft.com/office/drawing/2014/chart" uri="{C3380CC4-5D6E-409C-BE32-E72D297353CC}">
                <c16:uniqueId val="{00000001-DFFE-4119-86A9-D4630B694A7B}"/>
              </c:ext>
            </c:extLst>
          </c:dPt>
          <c:dPt>
            <c:idx val="3"/>
            <c:invertIfNegative val="0"/>
            <c:bubble3D val="0"/>
            <c:extLst>
              <c:ext xmlns:c16="http://schemas.microsoft.com/office/drawing/2014/chart" uri="{C3380CC4-5D6E-409C-BE32-E72D297353CC}">
                <c16:uniqueId val="{00000002-DFFE-4119-86A9-D4630B694A7B}"/>
              </c:ext>
            </c:extLst>
          </c:dPt>
          <c:dLbls>
            <c:dLbl>
              <c:idx val="0"/>
              <c:tx>
                <c:rich>
                  <a:bodyPr/>
                  <a:lstStyle/>
                  <a:p>
                    <a:r>
                      <a:rPr lang="en-US"/>
                      <a:t>A</a:t>
                    </a:r>
                  </a:p>
                </c:rich>
              </c:tx>
              <c:dLblPos val="outEnd"/>
              <c:showLegendKey val="0"/>
              <c:showVal val="1"/>
              <c:showCatName val="0"/>
              <c:showSerName val="0"/>
              <c:showPercent val="0"/>
              <c:showBubbleSize val="0"/>
              <c:extLst>
                <c:ext xmlns:c15="http://schemas.microsoft.com/office/drawing/2012/chart" uri="{CE6537A1-D6FC-4f65-9D91-7224C49458BB}">
                  <c15:layout>
                    <c:manualLayout>
                      <c:w val="2.5777519942827273E-2"/>
                      <c:h val="0.10641221930592007"/>
                    </c:manualLayout>
                  </c15:layout>
                </c:ext>
                <c:ext xmlns:c16="http://schemas.microsoft.com/office/drawing/2014/chart" uri="{C3380CC4-5D6E-409C-BE32-E72D297353CC}">
                  <c16:uniqueId val="{00000003-DFFE-4119-86A9-D4630B694A7B}"/>
                </c:ext>
              </c:extLst>
            </c:dLbl>
            <c:dLbl>
              <c:idx val="2"/>
              <c:tx>
                <c:rich>
                  <a:bodyPr/>
                  <a:lstStyle/>
                  <a:p>
                    <a:r>
                      <a:rPr lang="en-US"/>
                      <a:t>A</a:t>
                    </a:r>
                  </a:p>
                </c:rich>
              </c:tx>
              <c:dLblPos val="outEnd"/>
              <c:showLegendKey val="0"/>
              <c:showVal val="1"/>
              <c:showCatName val="0"/>
              <c:showSerName val="0"/>
              <c:showPercent val="0"/>
              <c:showBubbleSize val="0"/>
              <c:extLst>
                <c:ext xmlns:c15="http://schemas.microsoft.com/office/drawing/2012/chart" uri="{CE6537A1-D6FC-4f65-9D91-7224C49458BB}">
                  <c15:layout>
                    <c:manualLayout>
                      <c:w val="3.4975564525459663E-2"/>
                      <c:h val="0.11104184893554971"/>
                    </c:manualLayout>
                  </c15:layout>
                </c:ext>
                <c:ext xmlns:c16="http://schemas.microsoft.com/office/drawing/2014/chart" uri="{C3380CC4-5D6E-409C-BE32-E72D297353CC}">
                  <c16:uniqueId val="{00000001-DFFE-4119-86A9-D4630B694A7B}"/>
                </c:ext>
              </c:extLst>
            </c:dLbl>
            <c:dLbl>
              <c:idx val="3"/>
              <c:tx>
                <c:rich>
                  <a:bodyPr/>
                  <a:lstStyle/>
                  <a:p>
                    <a:r>
                      <a:rPr lang="en-US"/>
                      <a:t>A</a:t>
                    </a:r>
                  </a:p>
                </c:rich>
              </c:tx>
              <c:dLblPos val="outEnd"/>
              <c:showLegendKey val="0"/>
              <c:showVal val="1"/>
              <c:showCatName val="0"/>
              <c:showSerName val="0"/>
              <c:showPercent val="0"/>
              <c:showBubbleSize val="0"/>
              <c:extLst>
                <c:ext xmlns:c15="http://schemas.microsoft.com/office/drawing/2012/chart" uri="{CE6537A1-D6FC-4f65-9D91-7224C49458BB}">
                  <c15:layout>
                    <c:manualLayout>
                      <c:w val="3.2676053379801562E-2"/>
                      <c:h val="9.2523330417031202E-2"/>
                    </c:manualLayout>
                  </c15:layout>
                </c:ext>
                <c:ext xmlns:c16="http://schemas.microsoft.com/office/drawing/2014/chart" uri="{C3380CC4-5D6E-409C-BE32-E72D297353CC}">
                  <c16:uniqueId val="{00000002-DFFE-4119-86A9-D4630B694A7B}"/>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Graphs!$S$94:$S$97</c:f>
                <c:numCache>
                  <c:formatCode>General</c:formatCode>
                  <c:ptCount val="4"/>
                  <c:pt idx="0">
                    <c:v>4.5350271247188406E-2</c:v>
                  </c:pt>
                  <c:pt idx="2">
                    <c:v>4.206876401268677E-2</c:v>
                  </c:pt>
                  <c:pt idx="3">
                    <c:v>3.5502659215780906E-2</c:v>
                  </c:pt>
                </c:numCache>
              </c:numRef>
            </c:plus>
            <c:minus>
              <c:numRef>
                <c:f>Graphs!$S$94:$S$97</c:f>
                <c:numCache>
                  <c:formatCode>General</c:formatCode>
                  <c:ptCount val="4"/>
                  <c:pt idx="0">
                    <c:v>4.5350271247188406E-2</c:v>
                  </c:pt>
                  <c:pt idx="2">
                    <c:v>4.206876401268677E-2</c:v>
                  </c:pt>
                  <c:pt idx="3">
                    <c:v>3.5502659215780906E-2</c:v>
                  </c:pt>
                </c:numCache>
              </c:numRef>
            </c:minus>
            <c:spPr>
              <a:noFill/>
              <a:ln w="9525" cap="flat" cmpd="sng" algn="ctr">
                <a:solidFill>
                  <a:schemeClr val="tx1">
                    <a:lumMod val="65000"/>
                    <a:lumOff val="35000"/>
                  </a:schemeClr>
                </a:solidFill>
                <a:round/>
              </a:ln>
              <a:effectLst/>
            </c:spPr>
          </c:errBars>
          <c:cat>
            <c:multiLvlStrRef>
              <c:f>Graphs!$S$94:$S$97</c:f>
              <c:multiLvlStrCache>
                <c:ptCount val="4"/>
                <c:lvl>
                  <c:pt idx="0">
                    <c:v>Corn</c:v>
                  </c:pt>
                  <c:pt idx="1">
                    <c:v>Soybean</c:v>
                  </c:pt>
                  <c:pt idx="2">
                    <c:v>Corn</c:v>
                  </c:pt>
                  <c:pt idx="3">
                    <c:v>Soybean</c:v>
                  </c:pt>
                </c:lvl>
                <c:lvl>
                  <c:pt idx="0">
                    <c:v>2017</c:v>
                  </c:pt>
                  <c:pt idx="2">
                    <c:v>2018</c:v>
                  </c:pt>
                </c:lvl>
              </c:multiLvlStrCache>
            </c:multiLvlStrRef>
          </c:cat>
          <c:val>
            <c:numRef>
              <c:f>Graphs!$S$94:$S$97</c:f>
              <c:numCache>
                <c:formatCode>General</c:formatCode>
                <c:ptCount val="4"/>
                <c:pt idx="0">
                  <c:v>0.36024014386239572</c:v>
                </c:pt>
                <c:pt idx="2">
                  <c:v>0.56829057580741915</c:v>
                </c:pt>
                <c:pt idx="3">
                  <c:v>0.56282819633455095</c:v>
                </c:pt>
              </c:numCache>
            </c:numRef>
          </c:val>
          <c:extLst>
            <c:ext xmlns:c16="http://schemas.microsoft.com/office/drawing/2014/chart" uri="{C3380CC4-5D6E-409C-BE32-E72D297353CC}">
              <c16:uniqueId val="{00000004-DFFE-4119-86A9-D4630B694A7B}"/>
            </c:ext>
          </c:extLst>
        </c:ser>
        <c:ser>
          <c:idx val="1"/>
          <c:order val="1"/>
          <c:tx>
            <c:strRef>
              <c:f>Graphs!$O$90:$O$91</c:f>
              <c:strCache>
                <c:ptCount val="1"/>
                <c:pt idx="0">
                  <c:v>NT</c:v>
                </c:pt>
              </c:strCache>
            </c:strRef>
          </c:tx>
          <c:spPr>
            <a:solidFill>
              <a:schemeClr val="bg1">
                <a:lumMod val="85000"/>
              </a:schemeClr>
            </a:solidFill>
            <a:ln>
              <a:solidFill>
                <a:sysClr val="windowText" lastClr="000000"/>
              </a:solidFill>
            </a:ln>
            <a:effectLst/>
          </c:spPr>
          <c:invertIfNegative val="0"/>
          <c:dPt>
            <c:idx val="1"/>
            <c:invertIfNegative val="0"/>
            <c:bubble3D val="0"/>
            <c:extLst>
              <c:ext xmlns:c16="http://schemas.microsoft.com/office/drawing/2014/chart" uri="{C3380CC4-5D6E-409C-BE32-E72D297353CC}">
                <c16:uniqueId val="{00000005-DFFE-4119-86A9-D4630B694A7B}"/>
              </c:ext>
            </c:extLst>
          </c:dPt>
          <c:dPt>
            <c:idx val="2"/>
            <c:invertIfNegative val="0"/>
            <c:bubble3D val="0"/>
            <c:extLst>
              <c:ext xmlns:c16="http://schemas.microsoft.com/office/drawing/2014/chart" uri="{C3380CC4-5D6E-409C-BE32-E72D297353CC}">
                <c16:uniqueId val="{00000006-DFFE-4119-86A9-D4630B694A7B}"/>
              </c:ext>
            </c:extLst>
          </c:dPt>
          <c:dPt>
            <c:idx val="3"/>
            <c:invertIfNegative val="0"/>
            <c:bubble3D val="0"/>
            <c:extLst>
              <c:ext xmlns:c16="http://schemas.microsoft.com/office/drawing/2014/chart" uri="{C3380CC4-5D6E-409C-BE32-E72D297353CC}">
                <c16:uniqueId val="{00000007-DFFE-4119-86A9-D4630B694A7B}"/>
              </c:ext>
            </c:extLst>
          </c:dPt>
          <c:dLbls>
            <c:dLbl>
              <c:idx val="0"/>
              <c:tx>
                <c:rich>
                  <a:bodyPr/>
                  <a:lstStyle/>
                  <a:p>
                    <a:r>
                      <a:rPr lang="en-US"/>
                      <a:t>A</a:t>
                    </a:r>
                  </a:p>
                </c:rich>
              </c:tx>
              <c:dLblPos val="outEnd"/>
              <c:showLegendKey val="0"/>
              <c:showVal val="1"/>
              <c:showCatName val="0"/>
              <c:showSerName val="0"/>
              <c:showPercent val="0"/>
              <c:showBubbleSize val="0"/>
              <c:extLst>
                <c:ext xmlns:c15="http://schemas.microsoft.com/office/drawing/2012/chart" uri="{CE6537A1-D6FC-4f65-9D91-7224C49458BB}">
                  <c15:layout>
                    <c:manualLayout>
                      <c:w val="2.8077031088485364E-2"/>
                      <c:h val="9.7152960046660811E-2"/>
                    </c:manualLayout>
                  </c15:layout>
                </c:ext>
                <c:ext xmlns:c16="http://schemas.microsoft.com/office/drawing/2014/chart" uri="{C3380CC4-5D6E-409C-BE32-E72D297353CC}">
                  <c16:uniqueId val="{00000008-DFFE-4119-86A9-D4630B694A7B}"/>
                </c:ext>
              </c:extLst>
            </c:dLbl>
            <c:dLbl>
              <c:idx val="2"/>
              <c:tx>
                <c:rich>
                  <a:bodyPr/>
                  <a:lstStyle/>
                  <a:p>
                    <a:r>
                      <a:rPr lang="en-US"/>
                      <a:t>B</a:t>
                    </a:r>
                  </a:p>
                </c:rich>
              </c:tx>
              <c:dLblPos val="outEnd"/>
              <c:showLegendKey val="0"/>
              <c:showVal val="1"/>
              <c:showCatName val="0"/>
              <c:showSerName val="0"/>
              <c:showPercent val="0"/>
              <c:showBubbleSize val="0"/>
              <c:extLst>
                <c:ext xmlns:c15="http://schemas.microsoft.com/office/drawing/2012/chart" uri="{CE6537A1-D6FC-4f65-9D91-7224C49458BB}">
                  <c15:layout>
                    <c:manualLayout>
                      <c:w val="2.9652286755196034E-2"/>
                      <c:h val="9.2523330417031202E-2"/>
                    </c:manualLayout>
                  </c15:layout>
                </c:ext>
                <c:ext xmlns:c16="http://schemas.microsoft.com/office/drawing/2014/chart" uri="{C3380CC4-5D6E-409C-BE32-E72D297353CC}">
                  <c16:uniqueId val="{00000006-DFFE-4119-86A9-D4630B694A7B}"/>
                </c:ext>
              </c:extLst>
            </c:dLbl>
            <c:dLbl>
              <c:idx val="3"/>
              <c:tx>
                <c:rich>
                  <a:bodyPr/>
                  <a:lstStyle/>
                  <a:p>
                    <a:r>
                      <a:rPr lang="en-US"/>
                      <a:t>B</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DFFE-4119-86A9-D4630B694A7B}"/>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Graphs!$V$94:$V$97</c:f>
                <c:numCache>
                  <c:formatCode>General</c:formatCode>
                  <c:ptCount val="4"/>
                  <c:pt idx="0">
                    <c:v>3.5095195908560153E-2</c:v>
                  </c:pt>
                  <c:pt idx="2">
                    <c:v>3.0128689180014687E-2</c:v>
                  </c:pt>
                  <c:pt idx="3">
                    <c:v>1.3070047037488106E-2</c:v>
                  </c:pt>
                </c:numCache>
              </c:numRef>
            </c:plus>
            <c:minus>
              <c:numRef>
                <c:f>Graphs!$V$94:$V$97</c:f>
                <c:numCache>
                  <c:formatCode>General</c:formatCode>
                  <c:ptCount val="4"/>
                  <c:pt idx="0">
                    <c:v>3.5095195908560153E-2</c:v>
                  </c:pt>
                  <c:pt idx="2">
                    <c:v>3.0128689180014687E-2</c:v>
                  </c:pt>
                  <c:pt idx="3">
                    <c:v>1.3070047037488106E-2</c:v>
                  </c:pt>
                </c:numCache>
              </c:numRef>
            </c:minus>
            <c:spPr>
              <a:noFill/>
              <a:ln w="9525" cap="flat" cmpd="sng" algn="ctr">
                <a:solidFill>
                  <a:schemeClr val="tx1">
                    <a:lumMod val="65000"/>
                    <a:lumOff val="35000"/>
                  </a:schemeClr>
                </a:solidFill>
                <a:round/>
              </a:ln>
              <a:effectLst/>
            </c:spPr>
          </c:errBars>
          <c:cat>
            <c:multiLvlStrRef>
              <c:f>Graphs!$S$94:$S$97</c:f>
              <c:multiLvlStrCache>
                <c:ptCount val="4"/>
                <c:lvl>
                  <c:pt idx="0">
                    <c:v>Corn</c:v>
                  </c:pt>
                  <c:pt idx="1">
                    <c:v>Soybean</c:v>
                  </c:pt>
                  <c:pt idx="2">
                    <c:v>Corn</c:v>
                  </c:pt>
                  <c:pt idx="3">
                    <c:v>Soybean</c:v>
                  </c:pt>
                </c:lvl>
                <c:lvl>
                  <c:pt idx="0">
                    <c:v>2017</c:v>
                  </c:pt>
                  <c:pt idx="2">
                    <c:v>2018</c:v>
                  </c:pt>
                </c:lvl>
              </c:multiLvlStrCache>
            </c:multiLvlStrRef>
          </c:cat>
          <c:val>
            <c:numRef>
              <c:f>Graphs!$S$94:$S$97</c:f>
              <c:numCache>
                <c:formatCode>General</c:formatCode>
                <c:ptCount val="4"/>
                <c:pt idx="0">
                  <c:v>0.26259347658811455</c:v>
                </c:pt>
                <c:pt idx="2">
                  <c:v>0.46602221328730503</c:v>
                </c:pt>
                <c:pt idx="3">
                  <c:v>0.31795600514986577</c:v>
                </c:pt>
              </c:numCache>
            </c:numRef>
          </c:val>
          <c:extLst>
            <c:ext xmlns:c16="http://schemas.microsoft.com/office/drawing/2014/chart" uri="{C3380CC4-5D6E-409C-BE32-E72D297353CC}">
              <c16:uniqueId val="{00000009-DFFE-4119-86A9-D4630B694A7B}"/>
            </c:ext>
          </c:extLst>
        </c:ser>
        <c:dLbls>
          <c:dLblPos val="outEnd"/>
          <c:showLegendKey val="0"/>
          <c:showVal val="1"/>
          <c:showCatName val="0"/>
          <c:showSerName val="0"/>
          <c:showPercent val="0"/>
          <c:showBubbleSize val="0"/>
        </c:dLbls>
        <c:gapWidth val="219"/>
        <c:axId val="677327224"/>
        <c:axId val="677328184"/>
      </c:barChart>
      <c:catAx>
        <c:axId val="6773272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77328184"/>
        <c:crosses val="autoZero"/>
        <c:auto val="1"/>
        <c:lblAlgn val="ctr"/>
        <c:lblOffset val="100"/>
        <c:noMultiLvlLbl val="0"/>
      </c:catAx>
      <c:valAx>
        <c:axId val="677328184"/>
        <c:scaling>
          <c:orientation val="minMax"/>
          <c:max val="0.8"/>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Winter Rye Aboveground Biomass (tons*ac</a:t>
                </a:r>
                <a:r>
                  <a:rPr lang="en-US" baseline="30000"/>
                  <a:t>-1</a:t>
                </a:r>
                <a:r>
                  <a:rPr lang="en-US"/>
                  <a: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in"/>
        <c:minorTickMark val="none"/>
        <c:tickLblPos val="nextTo"/>
        <c:spPr>
          <a:noFill/>
          <a:ln>
            <a:solidFill>
              <a:schemeClr val="bg1">
                <a:lumMod val="85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7732722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pivotOptions>
    </c:ext>
    <c:ext xmlns:c16="http://schemas.microsoft.com/office/drawing/2014/chart" uri="{E28EC0CA-F0BB-4C9C-879D-F8772B89E7AC}">
      <c16:pivotOptions16>
        <c16:showExpandCollapseFieldButtons val="1"/>
      </c16:pivotOptions16>
    </c:ext>
  </c:extLst>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[Master File.xlsx]Graphs!PivotTable14</c:name>
    <c:fmtId val="-1"/>
  </c:pivotSource>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2018 Cover Crop Root Biomass</a:t>
            </a:r>
          </a:p>
        </c:rich>
      </c:tx>
      <c:overlay val="1"/>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ivotFmts>
      <c:pivotFmt>
        <c:idx val="0"/>
        <c:spPr>
          <a:solidFill>
            <a:schemeClr val="bg1">
              <a:lumMod val="65000"/>
            </a:schemeClr>
          </a:solidFill>
          <a:ln>
            <a:solidFill>
              <a:sysClr val="windowText" lastClr="000000"/>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bg1">
              <a:lumMod val="85000"/>
            </a:schemeClr>
          </a:solidFill>
          <a:ln>
            <a:solidFill>
              <a:sysClr val="windowText" lastClr="000000"/>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bg1">
              <a:lumMod val="6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3"/>
        <c:spPr>
          <a:solidFill>
            <a:schemeClr val="bg1">
              <a:lumMod val="8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B</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4"/>
        <c:spPr>
          <a:solidFill>
            <a:schemeClr val="bg1">
              <a:lumMod val="65000"/>
            </a:schemeClr>
          </a:solidFill>
          <a:ln>
            <a:solidFill>
              <a:sysClr val="windowText" lastClr="000000"/>
            </a:solidFill>
          </a:ln>
          <a:effectLst/>
        </c:spPr>
        <c:dLbl>
          <c:idx val="0"/>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en-US"/>
                  <a:t>A</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15:layout>
                <c:manualLayout>
                  <c:w val="3.3904890427384357E-2"/>
                  <c:h val="0.10616646360313503"/>
                </c:manualLayout>
              </c15:layout>
            </c:ext>
          </c:extLst>
        </c:dLbl>
      </c:pivotFmt>
      <c:pivotFmt>
        <c:idx val="5"/>
        <c:spPr>
          <a:solidFill>
            <a:schemeClr val="bg1">
              <a:lumMod val="8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6"/>
        <c:spPr>
          <a:solidFill>
            <a:schemeClr val="bg1">
              <a:lumMod val="6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7"/>
        <c:spPr>
          <a:solidFill>
            <a:schemeClr val="bg1">
              <a:lumMod val="8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B</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8"/>
        <c:spPr>
          <a:solidFill>
            <a:schemeClr val="bg1">
              <a:lumMod val="65000"/>
            </a:schemeClr>
          </a:solidFill>
          <a:ln>
            <a:solidFill>
              <a:sysClr val="windowText" lastClr="000000"/>
            </a:solidFill>
          </a:ln>
          <a:effectLst/>
        </c:spPr>
        <c:dLbl>
          <c:idx val="0"/>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en-US"/>
                  <a:t>A</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15:layout>
                <c:manualLayout>
                  <c:w val="3.7408845386791671E-2"/>
                  <c:h val="0.14782222322498517"/>
                </c:manualLayout>
              </c15:layout>
            </c:ext>
          </c:extLst>
        </c:dLbl>
      </c:pivotFmt>
      <c:pivotFmt>
        <c:idx val="9"/>
        <c:spPr>
          <a:solidFill>
            <a:schemeClr val="bg1">
              <a:lumMod val="8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0"/>
        <c:spPr>
          <a:solidFill>
            <a:schemeClr val="bg1">
              <a:lumMod val="65000"/>
            </a:schemeClr>
          </a:solidFill>
          <a:ln>
            <a:solidFill>
              <a:sysClr val="windowText" lastClr="000000"/>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1"/>
        <c:spPr>
          <a:solidFill>
            <a:schemeClr val="bg1">
              <a:lumMod val="6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2"/>
        <c:spPr>
          <a:solidFill>
            <a:schemeClr val="bg1">
              <a:lumMod val="65000"/>
            </a:schemeClr>
          </a:solidFill>
          <a:ln>
            <a:solidFill>
              <a:sysClr val="windowText" lastClr="000000"/>
            </a:solidFill>
          </a:ln>
          <a:effectLst/>
        </c:spPr>
        <c:dLbl>
          <c:idx val="0"/>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en-US"/>
                  <a:t>A</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15:layout>
                <c:manualLayout>
                  <c:w val="3.7408845386791671E-2"/>
                  <c:h val="0.14782222322498517"/>
                </c:manualLayout>
              </c15:layout>
            </c:ext>
          </c:extLst>
        </c:dLbl>
      </c:pivotFmt>
      <c:pivotFmt>
        <c:idx val="13"/>
        <c:spPr>
          <a:solidFill>
            <a:schemeClr val="bg1">
              <a:lumMod val="85000"/>
            </a:schemeClr>
          </a:solidFill>
          <a:ln>
            <a:solidFill>
              <a:sysClr val="windowText" lastClr="000000"/>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4"/>
        <c:spPr>
          <a:solidFill>
            <a:schemeClr val="bg1">
              <a:lumMod val="8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B</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5"/>
        <c:spPr>
          <a:solidFill>
            <a:schemeClr val="bg1">
              <a:lumMod val="8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6"/>
        <c:spPr>
          <a:solidFill>
            <a:schemeClr val="bg1">
              <a:lumMod val="65000"/>
            </a:schemeClr>
          </a:solidFill>
          <a:ln>
            <a:solidFill>
              <a:sysClr val="windowText" lastClr="000000"/>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7"/>
        <c:spPr>
          <a:solidFill>
            <a:schemeClr val="bg1">
              <a:lumMod val="6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8"/>
        <c:spPr>
          <a:solidFill>
            <a:schemeClr val="bg1">
              <a:lumMod val="65000"/>
            </a:schemeClr>
          </a:solidFill>
          <a:ln>
            <a:solidFill>
              <a:sysClr val="windowText" lastClr="000000"/>
            </a:solidFill>
          </a:ln>
          <a:effectLst/>
        </c:spPr>
        <c:dLbl>
          <c:idx val="0"/>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en-US"/>
                  <a:t>A</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15:layout>
                <c:manualLayout>
                  <c:w val="3.7408845386791671E-2"/>
                  <c:h val="0.14782222322498517"/>
                </c:manualLayout>
              </c15:layout>
            </c:ext>
          </c:extLst>
        </c:dLbl>
      </c:pivotFmt>
      <c:pivotFmt>
        <c:idx val="19"/>
        <c:spPr>
          <a:solidFill>
            <a:schemeClr val="bg1">
              <a:lumMod val="85000"/>
            </a:schemeClr>
          </a:solidFill>
          <a:ln>
            <a:solidFill>
              <a:sysClr val="windowText" lastClr="000000"/>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0"/>
        <c:spPr>
          <a:solidFill>
            <a:schemeClr val="bg1">
              <a:lumMod val="8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B</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1"/>
        <c:spPr>
          <a:solidFill>
            <a:schemeClr val="bg1">
              <a:lumMod val="8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Graphs!$B$92:$B$93</c:f>
              <c:strCache>
                <c:ptCount val="1"/>
                <c:pt idx="0">
                  <c:v>CP</c:v>
                </c:pt>
              </c:strCache>
            </c:strRef>
          </c:tx>
          <c:spPr>
            <a:solidFill>
              <a:schemeClr val="bg1">
                <a:lumMod val="65000"/>
              </a:schemeClr>
            </a:solidFill>
            <a:ln>
              <a:solidFill>
                <a:sysClr val="windowText" lastClr="000000"/>
              </a:solidFill>
            </a:ln>
            <a:effectLst/>
          </c:spPr>
          <c:invertIfNegative val="0"/>
          <c:dPt>
            <c:idx val="0"/>
            <c:invertIfNegative val="0"/>
            <c:bubble3D val="0"/>
            <c:extLst>
              <c:ext xmlns:c16="http://schemas.microsoft.com/office/drawing/2014/chart" uri="{C3380CC4-5D6E-409C-BE32-E72D297353CC}">
                <c16:uniqueId val="{00000000-343B-403F-9DF6-2B58A18939F3}"/>
              </c:ext>
            </c:extLst>
          </c:dPt>
          <c:dPt>
            <c:idx val="1"/>
            <c:invertIfNegative val="0"/>
            <c:bubble3D val="0"/>
            <c:extLst>
              <c:ext xmlns:c16="http://schemas.microsoft.com/office/drawing/2014/chart" uri="{C3380CC4-5D6E-409C-BE32-E72D297353CC}">
                <c16:uniqueId val="{00000001-343B-403F-9DF6-2B58A18939F3}"/>
              </c:ext>
            </c:extLst>
          </c:dPt>
          <c:dLbls>
            <c:dLbl>
              <c:idx val="0"/>
              <c:tx>
                <c:rich>
                  <a:bodyPr/>
                  <a:lstStyle/>
                  <a:p>
                    <a:r>
                      <a:rPr lang="en-US"/>
                      <a:t>A</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43B-403F-9DF6-2B58A18939F3}"/>
                </c:ext>
              </c:extLst>
            </c:dLbl>
            <c:dLbl>
              <c:idx val="1"/>
              <c:tx>
                <c:rich>
                  <a:bodyPr/>
                  <a:lstStyle/>
                  <a:p>
                    <a:r>
                      <a:rPr lang="en-US"/>
                      <a:t>A</a:t>
                    </a:r>
                  </a:p>
                </c:rich>
              </c:tx>
              <c:dLblPos val="outEnd"/>
              <c:showLegendKey val="0"/>
              <c:showVal val="1"/>
              <c:showCatName val="0"/>
              <c:showSerName val="0"/>
              <c:showPercent val="0"/>
              <c:showBubbleSize val="0"/>
              <c:extLst>
                <c:ext xmlns:c15="http://schemas.microsoft.com/office/drawing/2012/chart" uri="{CE6537A1-D6FC-4f65-9D91-7224C49458BB}">
                  <c15:layout>
                    <c:manualLayout>
                      <c:w val="3.7408845386791671E-2"/>
                      <c:h val="0.14782222322498517"/>
                    </c:manualLayout>
                  </c15:layout>
                </c:ext>
                <c:ext xmlns:c16="http://schemas.microsoft.com/office/drawing/2014/chart" uri="{C3380CC4-5D6E-409C-BE32-E72D297353CC}">
                  <c16:uniqueId val="{00000001-343B-403F-9DF6-2B58A18939F3}"/>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Graphs!$G$95:$G$96</c:f>
                <c:numCache>
                  <c:formatCode>General</c:formatCode>
                  <c:ptCount val="2"/>
                  <c:pt idx="0">
                    <c:v>1.1195869665900469E-2</c:v>
                  </c:pt>
                  <c:pt idx="1">
                    <c:v>4.1729966578622157E-2</c:v>
                  </c:pt>
                </c:numCache>
              </c:numRef>
            </c:plus>
            <c:minus>
              <c:numRef>
                <c:f>Graphs!$G$95:$G$96</c:f>
                <c:numCache>
                  <c:formatCode>General</c:formatCode>
                  <c:ptCount val="2"/>
                  <c:pt idx="0">
                    <c:v>1.1195869665900469E-2</c:v>
                  </c:pt>
                  <c:pt idx="1">
                    <c:v>4.1729966578622157E-2</c:v>
                  </c:pt>
                </c:numCache>
              </c:numRef>
            </c:minus>
            <c:spPr>
              <a:noFill/>
              <a:ln w="9525" cap="flat" cmpd="sng" algn="ctr">
                <a:solidFill>
                  <a:schemeClr val="tx1">
                    <a:lumMod val="65000"/>
                    <a:lumOff val="35000"/>
                  </a:schemeClr>
                </a:solidFill>
                <a:round/>
              </a:ln>
              <a:effectLst/>
            </c:spPr>
          </c:errBars>
          <c:cat>
            <c:strRef>
              <c:f>Graphs!$G$95:$G$96</c:f>
              <c:strCache>
                <c:ptCount val="2"/>
                <c:pt idx="0">
                  <c:v>Corn</c:v>
                </c:pt>
                <c:pt idx="1">
                  <c:v>Soybean</c:v>
                </c:pt>
              </c:strCache>
            </c:strRef>
          </c:cat>
          <c:val>
            <c:numRef>
              <c:f>Graphs!$G$95:$G$96</c:f>
              <c:numCache>
                <c:formatCode>General</c:formatCode>
                <c:ptCount val="2"/>
                <c:pt idx="0">
                  <c:v>0.51841323159643304</c:v>
                </c:pt>
                <c:pt idx="1">
                  <c:v>0.3430841031257918</c:v>
                </c:pt>
              </c:numCache>
            </c:numRef>
          </c:val>
          <c:extLst>
            <c:ext xmlns:c16="http://schemas.microsoft.com/office/drawing/2014/chart" uri="{C3380CC4-5D6E-409C-BE32-E72D297353CC}">
              <c16:uniqueId val="{00000002-343B-403F-9DF6-2B58A18939F3}"/>
            </c:ext>
          </c:extLst>
        </c:ser>
        <c:ser>
          <c:idx val="1"/>
          <c:order val="1"/>
          <c:tx>
            <c:strRef>
              <c:f>Graphs!$C$92:$C$93</c:f>
              <c:strCache>
                <c:ptCount val="1"/>
                <c:pt idx="0">
                  <c:v>NT</c:v>
                </c:pt>
              </c:strCache>
            </c:strRef>
          </c:tx>
          <c:spPr>
            <a:solidFill>
              <a:schemeClr val="bg1">
                <a:lumMod val="85000"/>
              </a:schemeClr>
            </a:solidFill>
            <a:ln>
              <a:solidFill>
                <a:sysClr val="windowText" lastClr="000000"/>
              </a:solidFill>
            </a:ln>
            <a:effectLst/>
          </c:spPr>
          <c:invertIfNegative val="0"/>
          <c:dPt>
            <c:idx val="0"/>
            <c:invertIfNegative val="0"/>
            <c:bubble3D val="0"/>
            <c:extLst>
              <c:ext xmlns:c16="http://schemas.microsoft.com/office/drawing/2014/chart" uri="{C3380CC4-5D6E-409C-BE32-E72D297353CC}">
                <c16:uniqueId val="{00000003-343B-403F-9DF6-2B58A18939F3}"/>
              </c:ext>
            </c:extLst>
          </c:dPt>
          <c:dPt>
            <c:idx val="1"/>
            <c:invertIfNegative val="0"/>
            <c:bubble3D val="0"/>
            <c:extLst>
              <c:ext xmlns:c16="http://schemas.microsoft.com/office/drawing/2014/chart" uri="{C3380CC4-5D6E-409C-BE32-E72D297353CC}">
                <c16:uniqueId val="{00000004-343B-403F-9DF6-2B58A18939F3}"/>
              </c:ext>
            </c:extLst>
          </c:dPt>
          <c:dLbls>
            <c:dLbl>
              <c:idx val="0"/>
              <c:tx>
                <c:rich>
                  <a:bodyPr/>
                  <a:lstStyle/>
                  <a:p>
                    <a:r>
                      <a:rPr lang="en-US"/>
                      <a:t>B</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43B-403F-9DF6-2B58A18939F3}"/>
                </c:ext>
              </c:extLst>
            </c:dLbl>
            <c:dLbl>
              <c:idx val="1"/>
              <c:tx>
                <c:rich>
                  <a:bodyPr/>
                  <a:lstStyle/>
                  <a:p>
                    <a:r>
                      <a:rPr lang="en-US"/>
                      <a:t>A</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43B-403F-9DF6-2B58A18939F3}"/>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Graphs!$J$95:$J$96</c:f>
                <c:numCache>
                  <c:formatCode>General</c:formatCode>
                  <c:ptCount val="2"/>
                  <c:pt idx="0">
                    <c:v>3.6794251068606237E-3</c:v>
                  </c:pt>
                  <c:pt idx="1">
                    <c:v>1.415468656982964E-2</c:v>
                  </c:pt>
                </c:numCache>
              </c:numRef>
            </c:plus>
            <c:minus>
              <c:numRef>
                <c:f>Graphs!$J$95:$J$96</c:f>
                <c:numCache>
                  <c:formatCode>General</c:formatCode>
                  <c:ptCount val="2"/>
                  <c:pt idx="0">
                    <c:v>3.6794251068606237E-3</c:v>
                  </c:pt>
                  <c:pt idx="1">
                    <c:v>1.415468656982964E-2</c:v>
                  </c:pt>
                </c:numCache>
              </c:numRef>
            </c:minus>
            <c:spPr>
              <a:noFill/>
              <a:ln w="9525" cap="flat" cmpd="sng" algn="ctr">
                <a:solidFill>
                  <a:schemeClr val="tx1">
                    <a:lumMod val="65000"/>
                    <a:lumOff val="35000"/>
                  </a:schemeClr>
                </a:solidFill>
                <a:round/>
              </a:ln>
              <a:effectLst/>
            </c:spPr>
          </c:errBars>
          <c:cat>
            <c:strRef>
              <c:f>Graphs!$G$95:$G$96</c:f>
              <c:strCache>
                <c:ptCount val="2"/>
                <c:pt idx="0">
                  <c:v>Corn</c:v>
                </c:pt>
                <c:pt idx="1">
                  <c:v>Soybean</c:v>
                </c:pt>
              </c:strCache>
            </c:strRef>
          </c:cat>
          <c:val>
            <c:numRef>
              <c:f>Graphs!$G$95:$G$96</c:f>
              <c:numCache>
                <c:formatCode>General</c:formatCode>
                <c:ptCount val="2"/>
                <c:pt idx="0">
                  <c:v>0.41335749980416714</c:v>
                </c:pt>
                <c:pt idx="1">
                  <c:v>0.31368347943348213</c:v>
                </c:pt>
              </c:numCache>
            </c:numRef>
          </c:val>
          <c:extLst>
            <c:ext xmlns:c16="http://schemas.microsoft.com/office/drawing/2014/chart" uri="{C3380CC4-5D6E-409C-BE32-E72D297353CC}">
              <c16:uniqueId val="{00000005-343B-403F-9DF6-2B58A18939F3}"/>
            </c:ext>
          </c:extLst>
        </c:ser>
        <c:dLbls>
          <c:dLblPos val="outEnd"/>
          <c:showLegendKey val="0"/>
          <c:showVal val="1"/>
          <c:showCatName val="0"/>
          <c:showSerName val="0"/>
          <c:showPercent val="0"/>
          <c:showBubbleSize val="0"/>
        </c:dLbls>
        <c:gapWidth val="219"/>
        <c:axId val="789343800"/>
        <c:axId val="789346360"/>
      </c:barChart>
      <c:catAx>
        <c:axId val="7893438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789346360"/>
        <c:crosses val="autoZero"/>
        <c:auto val="1"/>
        <c:lblAlgn val="ctr"/>
        <c:lblOffset val="100"/>
        <c:noMultiLvlLbl val="0"/>
      </c:catAx>
      <c:valAx>
        <c:axId val="789346360"/>
        <c:scaling>
          <c:orientation val="minMax"/>
          <c:max val="0.70000000000000007"/>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Winter Rye Root Biomass (tons*ac</a:t>
                </a:r>
                <a:r>
                  <a:rPr lang="en-US" baseline="30000"/>
                  <a:t>-1</a:t>
                </a:r>
                <a:r>
                  <a:rPr lang="en-US"/>
                  <a: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in"/>
        <c:minorTickMark val="none"/>
        <c:tickLblPos val="nextTo"/>
        <c:spPr>
          <a:noFill/>
          <a:ln>
            <a:solidFill>
              <a:schemeClr val="bg1">
                <a:lumMod val="85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789343800"/>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pivotOptions>
    </c:ext>
    <c:ext xmlns:c16="http://schemas.microsoft.com/office/drawing/2014/chart" uri="{E28EC0CA-F0BB-4C9C-879D-F8772B89E7AC}">
      <c16:pivotOptions16>
        <c16:showExpandCollapseFieldButtons val="1"/>
      </c16:pivotOptions16>
    </c:ext>
  </c:extLst>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2018</a:t>
            </a:r>
            <a:r>
              <a:rPr lang="en-US" baseline="0"/>
              <a:t> Economics</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'English Graphs'!$W$1</c:f>
              <c:strCache>
                <c:ptCount val="1"/>
                <c:pt idx="0">
                  <c:v> Input Costs ($*ac-1) </c:v>
                </c:pt>
              </c:strCache>
            </c:strRef>
          </c:tx>
          <c:spPr>
            <a:solidFill>
              <a:schemeClr val="bg1">
                <a:lumMod val="65000"/>
              </a:schemeClr>
            </a:solidFill>
            <a:ln>
              <a:solidFill>
                <a:sysClr val="windowText" lastClr="000000"/>
              </a:solidFill>
            </a:ln>
            <a:effectLst/>
          </c:spPr>
          <c:invertIfNegative val="0"/>
          <c:dLbls>
            <c:dLbl>
              <c:idx val="0"/>
              <c:tx>
                <c:rich>
                  <a:bodyPr/>
                  <a:lstStyle/>
                  <a:p>
                    <a:r>
                      <a:rPr lang="en-US"/>
                      <a:t>Aa</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6E1-4BD8-8E68-E8A8018BBB80}"/>
                </c:ext>
              </c:extLst>
            </c:dLbl>
            <c:dLbl>
              <c:idx val="1"/>
              <c:tx>
                <c:rich>
                  <a:bodyPr/>
                  <a:lstStyle/>
                  <a:p>
                    <a:r>
                      <a:rPr lang="en-US"/>
                      <a:t>Ba</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6E1-4BD8-8E68-E8A8018BBB80}"/>
                </c:ext>
              </c:extLst>
            </c:dLbl>
            <c:dLbl>
              <c:idx val="2"/>
              <c:tx>
                <c:rich>
                  <a:bodyPr/>
                  <a:lstStyle/>
                  <a:p>
                    <a:r>
                      <a:rPr lang="en-US"/>
                      <a:t>Ab</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6E1-4BD8-8E68-E8A8018BBB80}"/>
                </c:ext>
              </c:extLst>
            </c:dLbl>
            <c:dLbl>
              <c:idx val="3"/>
              <c:tx>
                <c:rich>
                  <a:bodyPr/>
                  <a:lstStyle/>
                  <a:p>
                    <a:r>
                      <a:rPr lang="en-US"/>
                      <a:t>Bb</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6E1-4BD8-8E68-E8A8018BBB80}"/>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stdErr"/>
            <c:noEndCap val="0"/>
            <c:spPr>
              <a:noFill/>
              <a:ln w="9525" cap="flat" cmpd="sng" algn="ctr">
                <a:solidFill>
                  <a:schemeClr val="tx1">
                    <a:lumMod val="65000"/>
                    <a:lumOff val="35000"/>
                  </a:schemeClr>
                </a:solidFill>
                <a:round/>
              </a:ln>
              <a:effectLst/>
            </c:spPr>
          </c:errBars>
          <c:cat>
            <c:multiLvlStrRef>
              <c:f>'English Graphs'!$T$6:$V$9</c:f>
              <c:multiLvlStrCache>
                <c:ptCount val="4"/>
                <c:lvl>
                  <c:pt idx="0">
                    <c:v>CC</c:v>
                  </c:pt>
                  <c:pt idx="1">
                    <c:v>NC</c:v>
                  </c:pt>
                  <c:pt idx="2">
                    <c:v>CC</c:v>
                  </c:pt>
                  <c:pt idx="3">
                    <c:v>NC</c:v>
                  </c:pt>
                </c:lvl>
                <c:lvl>
                  <c:pt idx="0">
                    <c:v>CP</c:v>
                  </c:pt>
                  <c:pt idx="2">
                    <c:v>NT</c:v>
                  </c:pt>
                </c:lvl>
                <c:lvl>
                  <c:pt idx="0">
                    <c:v>2018 Soybean</c:v>
                  </c:pt>
                </c:lvl>
              </c:multiLvlStrCache>
            </c:multiLvlStrRef>
          </c:cat>
          <c:val>
            <c:numRef>
              <c:f>'English Graphs'!$W$6:$W$9</c:f>
              <c:numCache>
                <c:formatCode>_("$"* #,##0.00_);_("$"* \(#,##0.00\);_("$"* "-"??_);_(@_)</c:formatCode>
                <c:ptCount val="4"/>
                <c:pt idx="0">
                  <c:v>466.64332475543597</c:v>
                </c:pt>
                <c:pt idx="1">
                  <c:v>435.24335023744362</c:v>
                </c:pt>
                <c:pt idx="2">
                  <c:v>443.7365093365824</c:v>
                </c:pt>
                <c:pt idx="3">
                  <c:v>412.04976994620841</c:v>
                </c:pt>
              </c:numCache>
            </c:numRef>
          </c:val>
          <c:extLst>
            <c:ext xmlns:c16="http://schemas.microsoft.com/office/drawing/2014/chart" uri="{C3380CC4-5D6E-409C-BE32-E72D297353CC}">
              <c16:uniqueId val="{00000004-E6E1-4BD8-8E68-E8A8018BBB80}"/>
            </c:ext>
          </c:extLst>
        </c:ser>
        <c:ser>
          <c:idx val="1"/>
          <c:order val="1"/>
          <c:tx>
            <c:strRef>
              <c:f>'English Graphs'!$Z$1</c:f>
              <c:strCache>
                <c:ptCount val="1"/>
                <c:pt idx="0">
                  <c:v> Economic Returns ($*ac-1) </c:v>
                </c:pt>
              </c:strCache>
            </c:strRef>
          </c:tx>
          <c:spPr>
            <a:solidFill>
              <a:schemeClr val="bg1">
                <a:lumMod val="85000"/>
              </a:schemeClr>
            </a:solidFill>
            <a:ln>
              <a:solidFill>
                <a:sysClr val="windowText" lastClr="000000"/>
              </a:solidFill>
            </a:ln>
            <a:effectLst/>
          </c:spPr>
          <c:invertIfNegative val="0"/>
          <c:dLbls>
            <c:dLbl>
              <c:idx val="0"/>
              <c:tx>
                <c:rich>
                  <a:bodyPr/>
                  <a:lstStyle/>
                  <a:p>
                    <a:r>
                      <a:rPr lang="en-US"/>
                      <a:t>Aa</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6E1-4BD8-8E68-E8A8018BBB80}"/>
                </c:ext>
              </c:extLst>
            </c:dLbl>
            <c:dLbl>
              <c:idx val="1"/>
              <c:tx>
                <c:rich>
                  <a:bodyPr/>
                  <a:lstStyle/>
                  <a:p>
                    <a:r>
                      <a:rPr lang="en-US"/>
                      <a:t>Aa</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6E1-4BD8-8E68-E8A8018BBB80}"/>
                </c:ext>
              </c:extLst>
            </c:dLbl>
            <c:dLbl>
              <c:idx val="2"/>
              <c:tx>
                <c:rich>
                  <a:bodyPr/>
                  <a:lstStyle/>
                  <a:p>
                    <a:r>
                      <a:rPr lang="en-US"/>
                      <a:t>Aa</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E6E1-4BD8-8E68-E8A8018BBB80}"/>
                </c:ext>
              </c:extLst>
            </c:dLbl>
            <c:dLbl>
              <c:idx val="3"/>
              <c:tx>
                <c:rich>
                  <a:bodyPr/>
                  <a:lstStyle/>
                  <a:p>
                    <a:r>
                      <a:rPr lang="en-US"/>
                      <a:t>Ab</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E6E1-4BD8-8E68-E8A8018BBB80}"/>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stdErr"/>
            <c:noEndCap val="0"/>
            <c:spPr>
              <a:noFill/>
              <a:ln w="9525" cap="flat" cmpd="sng" algn="ctr">
                <a:solidFill>
                  <a:schemeClr val="tx1">
                    <a:lumMod val="65000"/>
                    <a:lumOff val="35000"/>
                  </a:schemeClr>
                </a:solidFill>
                <a:round/>
              </a:ln>
              <a:effectLst/>
            </c:spPr>
          </c:errBars>
          <c:val>
            <c:numRef>
              <c:f>'English Graphs'!$Z$6:$Z$9</c:f>
              <c:numCache>
                <c:formatCode>_("$"* #,##0.00_);_("$"* \(#,##0.00\);_("$"* "-"??_);_(@_)</c:formatCode>
                <c:ptCount val="4"/>
                <c:pt idx="0">
                  <c:v>385.97962370758614</c:v>
                </c:pt>
                <c:pt idx="1">
                  <c:v>399.95332790068966</c:v>
                </c:pt>
                <c:pt idx="2">
                  <c:v>357.55965307586212</c:v>
                </c:pt>
                <c:pt idx="3">
                  <c:v>351.50007221241373</c:v>
                </c:pt>
              </c:numCache>
            </c:numRef>
          </c:val>
          <c:extLst>
            <c:ext xmlns:c16="http://schemas.microsoft.com/office/drawing/2014/chart" uri="{C3380CC4-5D6E-409C-BE32-E72D297353CC}">
              <c16:uniqueId val="{00000009-E6E1-4BD8-8E68-E8A8018BBB80}"/>
            </c:ext>
          </c:extLst>
        </c:ser>
        <c:dLbls>
          <c:dLblPos val="outEnd"/>
          <c:showLegendKey val="0"/>
          <c:showVal val="1"/>
          <c:showCatName val="0"/>
          <c:showSerName val="0"/>
          <c:showPercent val="0"/>
          <c:showBubbleSize val="0"/>
        </c:dLbls>
        <c:gapWidth val="219"/>
        <c:axId val="751736888"/>
        <c:axId val="751739128"/>
      </c:barChart>
      <c:catAx>
        <c:axId val="75173688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751739128"/>
        <c:crosses val="autoZero"/>
        <c:auto val="1"/>
        <c:lblAlgn val="ctr"/>
        <c:lblOffset val="100"/>
        <c:noMultiLvlLbl val="0"/>
      </c:catAx>
      <c:valAx>
        <c:axId val="751739128"/>
        <c:scaling>
          <c:orientation val="minMax"/>
          <c:max val="60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($*ac</a:t>
                </a:r>
                <a:r>
                  <a:rPr lang="en-US" baseline="30000"/>
                  <a:t>-1</a:t>
                </a:r>
                <a:r>
                  <a:rPr lang="en-US"/>
                  <a: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_(&quot;$&quot;* #,##0.00_);_(&quot;$&quot;* \(#,##0.00\);_(&quot;$&quot;* &quot;-&quot;??_);_(@_)" sourceLinked="1"/>
        <c:majorTickMark val="out"/>
        <c:minorTickMark val="none"/>
        <c:tickLblPos val="nextTo"/>
        <c:spPr>
          <a:noFill/>
          <a:ln>
            <a:solidFill>
              <a:schemeClr val="bg1">
                <a:lumMod val="85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7517368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2019</a:t>
            </a:r>
            <a:r>
              <a:rPr lang="en-US" baseline="0"/>
              <a:t> Economics</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'English Graphs'!$W$1</c:f>
              <c:strCache>
                <c:ptCount val="1"/>
                <c:pt idx="0">
                  <c:v> Input Costs ($*ac-1) </c:v>
                </c:pt>
              </c:strCache>
            </c:strRef>
          </c:tx>
          <c:spPr>
            <a:solidFill>
              <a:schemeClr val="bg1">
                <a:lumMod val="65000"/>
              </a:schemeClr>
            </a:solidFill>
            <a:ln>
              <a:solidFill>
                <a:sysClr val="windowText" lastClr="000000"/>
              </a:solidFill>
            </a:ln>
            <a:effectLst/>
          </c:spPr>
          <c:invertIfNegative val="0"/>
          <c:dLbls>
            <c:dLbl>
              <c:idx val="0"/>
              <c:tx>
                <c:rich>
                  <a:bodyPr/>
                  <a:lstStyle/>
                  <a:p>
                    <a:r>
                      <a:rPr lang="en-US"/>
                      <a:t>Aa</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8C2-4631-BA1E-913C0FCDCE3B}"/>
                </c:ext>
              </c:extLst>
            </c:dLbl>
            <c:dLbl>
              <c:idx val="1"/>
              <c:tx>
                <c:rich>
                  <a:bodyPr/>
                  <a:lstStyle/>
                  <a:p>
                    <a:r>
                      <a:rPr lang="en-US"/>
                      <a:t>Ba</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8C2-4631-BA1E-913C0FCDCE3B}"/>
                </c:ext>
              </c:extLst>
            </c:dLbl>
            <c:dLbl>
              <c:idx val="2"/>
              <c:tx>
                <c:rich>
                  <a:bodyPr/>
                  <a:lstStyle/>
                  <a:p>
                    <a:r>
                      <a:rPr lang="en-US"/>
                      <a:t>Ab</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8C2-4631-BA1E-913C0FCDCE3B}"/>
                </c:ext>
              </c:extLst>
            </c:dLbl>
            <c:dLbl>
              <c:idx val="3"/>
              <c:tx>
                <c:rich>
                  <a:bodyPr/>
                  <a:lstStyle/>
                  <a:p>
                    <a:r>
                      <a:rPr lang="en-US"/>
                      <a:t>Bb</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8C2-4631-BA1E-913C0FCDCE3B}"/>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stdErr"/>
            <c:noEndCap val="0"/>
            <c:spPr>
              <a:noFill/>
              <a:ln w="9525" cap="flat" cmpd="sng" algn="ctr">
                <a:solidFill>
                  <a:schemeClr val="tx1">
                    <a:lumMod val="65000"/>
                    <a:lumOff val="35000"/>
                  </a:schemeClr>
                </a:solidFill>
                <a:round/>
              </a:ln>
              <a:effectLst/>
            </c:spPr>
          </c:errBars>
          <c:cat>
            <c:multiLvlStrRef>
              <c:f>'English Graphs'!$T$14:$V$17</c:f>
              <c:multiLvlStrCache>
                <c:ptCount val="4"/>
                <c:lvl>
                  <c:pt idx="0">
                    <c:v>CC</c:v>
                  </c:pt>
                  <c:pt idx="1">
                    <c:v>NC</c:v>
                  </c:pt>
                  <c:pt idx="2">
                    <c:v>CC</c:v>
                  </c:pt>
                  <c:pt idx="3">
                    <c:v>NC</c:v>
                  </c:pt>
                </c:lvl>
                <c:lvl>
                  <c:pt idx="0">
                    <c:v>CP</c:v>
                  </c:pt>
                  <c:pt idx="2">
                    <c:v>NT</c:v>
                  </c:pt>
                </c:lvl>
                <c:lvl>
                  <c:pt idx="0">
                    <c:v>2019 Soybean</c:v>
                  </c:pt>
                </c:lvl>
              </c:multiLvlStrCache>
            </c:multiLvlStrRef>
          </c:cat>
          <c:val>
            <c:numRef>
              <c:f>'English Graphs'!$W$14:$W$17</c:f>
              <c:numCache>
                <c:formatCode>_("$"* #,##0.00_);_("$"* \(#,##0.00\);_("$"* "-"??_);_(@_)</c:formatCode>
                <c:ptCount val="4"/>
                <c:pt idx="0">
                  <c:v>470.07958737523813</c:v>
                </c:pt>
                <c:pt idx="1">
                  <c:v>436.18969193257152</c:v>
                </c:pt>
                <c:pt idx="2">
                  <c:v>441.53953011390473</c:v>
                </c:pt>
                <c:pt idx="3">
                  <c:v>407.81535279719361</c:v>
                </c:pt>
              </c:numCache>
            </c:numRef>
          </c:val>
          <c:extLst>
            <c:ext xmlns:c16="http://schemas.microsoft.com/office/drawing/2014/chart" uri="{C3380CC4-5D6E-409C-BE32-E72D297353CC}">
              <c16:uniqueId val="{00000004-C8C2-4631-BA1E-913C0FCDCE3B}"/>
            </c:ext>
          </c:extLst>
        </c:ser>
        <c:ser>
          <c:idx val="1"/>
          <c:order val="1"/>
          <c:tx>
            <c:strRef>
              <c:f>'English Graphs'!$Z$1</c:f>
              <c:strCache>
                <c:ptCount val="1"/>
                <c:pt idx="0">
                  <c:v> Economic Returns ($*ac-1) </c:v>
                </c:pt>
              </c:strCache>
            </c:strRef>
          </c:tx>
          <c:spPr>
            <a:solidFill>
              <a:schemeClr val="bg1">
                <a:lumMod val="85000"/>
              </a:schemeClr>
            </a:solidFill>
            <a:ln>
              <a:solidFill>
                <a:sysClr val="windowText" lastClr="000000"/>
              </a:solidFill>
            </a:ln>
            <a:effectLst/>
          </c:spPr>
          <c:invertIfNegative val="0"/>
          <c:dLbls>
            <c:dLbl>
              <c:idx val="0"/>
              <c:tx>
                <c:rich>
                  <a:bodyPr/>
                  <a:lstStyle/>
                  <a:p>
                    <a:r>
                      <a:rPr lang="en-US"/>
                      <a:t>Aa</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8C2-4631-BA1E-913C0FCDCE3B}"/>
                </c:ext>
              </c:extLst>
            </c:dLbl>
            <c:dLbl>
              <c:idx val="1"/>
              <c:tx>
                <c:rich>
                  <a:bodyPr/>
                  <a:lstStyle/>
                  <a:p>
                    <a:r>
                      <a:rPr lang="en-US"/>
                      <a:t>Ba</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8C2-4631-BA1E-913C0FCDCE3B}"/>
                </c:ext>
              </c:extLst>
            </c:dLbl>
            <c:dLbl>
              <c:idx val="2"/>
              <c:tx>
                <c:rich>
                  <a:bodyPr/>
                  <a:lstStyle/>
                  <a:p>
                    <a:r>
                      <a:rPr lang="en-US"/>
                      <a:t>Aa</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8C2-4631-BA1E-913C0FCDCE3B}"/>
                </c:ext>
              </c:extLst>
            </c:dLbl>
            <c:dLbl>
              <c:idx val="3"/>
              <c:tx>
                <c:rich>
                  <a:bodyPr/>
                  <a:lstStyle/>
                  <a:p>
                    <a:r>
                      <a:rPr lang="en-US"/>
                      <a:t>Ba</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C8C2-4631-BA1E-913C0FCDCE3B}"/>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stdErr"/>
            <c:noEndCap val="0"/>
            <c:spPr>
              <a:noFill/>
              <a:ln w="9525" cap="flat" cmpd="sng" algn="ctr">
                <a:solidFill>
                  <a:schemeClr val="tx1">
                    <a:lumMod val="65000"/>
                    <a:lumOff val="35000"/>
                  </a:schemeClr>
                </a:solidFill>
                <a:round/>
              </a:ln>
              <a:effectLst/>
            </c:spPr>
          </c:errBars>
          <c:val>
            <c:numRef>
              <c:f>'English Graphs'!$Z$14:$Z$17</c:f>
              <c:numCache>
                <c:formatCode>_("$"* #,##0.00_);_("$"* \(#,##0.00\);_("$"* "-"??_);_(@_)</c:formatCode>
                <c:ptCount val="4"/>
                <c:pt idx="0">
                  <c:v>477.06066390804608</c:v>
                </c:pt>
                <c:pt idx="1">
                  <c:v>441.42066744827588</c:v>
                </c:pt>
                <c:pt idx="2">
                  <c:v>453.7764308505748</c:v>
                </c:pt>
                <c:pt idx="3">
                  <c:v>430.19246289808433</c:v>
                </c:pt>
              </c:numCache>
            </c:numRef>
          </c:val>
          <c:extLst>
            <c:ext xmlns:c16="http://schemas.microsoft.com/office/drawing/2014/chart" uri="{C3380CC4-5D6E-409C-BE32-E72D297353CC}">
              <c16:uniqueId val="{00000009-C8C2-4631-BA1E-913C0FCDCE3B}"/>
            </c:ext>
          </c:extLst>
        </c:ser>
        <c:dLbls>
          <c:dLblPos val="outEnd"/>
          <c:showLegendKey val="0"/>
          <c:showVal val="1"/>
          <c:showCatName val="0"/>
          <c:showSerName val="0"/>
          <c:showPercent val="0"/>
          <c:showBubbleSize val="0"/>
        </c:dLbls>
        <c:gapWidth val="219"/>
        <c:axId val="624464376"/>
        <c:axId val="624464696"/>
      </c:barChart>
      <c:catAx>
        <c:axId val="6244643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24464696"/>
        <c:crosses val="autoZero"/>
        <c:auto val="1"/>
        <c:lblAlgn val="ctr"/>
        <c:lblOffset val="100"/>
        <c:noMultiLvlLbl val="0"/>
      </c:catAx>
      <c:valAx>
        <c:axId val="624464696"/>
        <c:scaling>
          <c:orientation val="minMax"/>
          <c:max val="600"/>
          <c:min val="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($*ac</a:t>
                </a:r>
                <a:r>
                  <a:rPr lang="en-US" baseline="30000"/>
                  <a:t>-1</a:t>
                </a:r>
                <a:r>
                  <a:rPr lang="en-US"/>
                  <a: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_(&quot;$&quot;* #,##0.00_);_(&quot;$&quot;* \(#,##0.00\);_(&quot;$&quot;* &quot;-&quot;??_);_(@_)" sourceLinked="1"/>
        <c:majorTickMark val="in"/>
        <c:minorTickMark val="none"/>
        <c:tickLblPos val="nextTo"/>
        <c:spPr>
          <a:noFill/>
          <a:ln>
            <a:solidFill>
              <a:schemeClr val="bg1">
                <a:lumMod val="85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244643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[Master File_SAS.xlsx]SoyOnly2!PivotTable31</c:name>
    <c:fmtId val="-1"/>
  </c:pivotSource>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4-mm Aggregates</a:t>
            </a:r>
          </a:p>
        </c:rich>
      </c:tx>
      <c:overlay val="1"/>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ivotFmts>
      <c:pivotFmt>
        <c:idx val="0"/>
        <c:spPr>
          <a:solidFill>
            <a:schemeClr val="bg1">
              <a:lumMod val="65000"/>
            </a:schemeClr>
          </a:solidFill>
          <a:ln>
            <a:solidFill>
              <a:sysClr val="windowText" lastClr="000000"/>
            </a:solidFill>
          </a:ln>
          <a:effectLst/>
        </c:spPr>
        <c:marker>
          <c:symbol val="none"/>
        </c:marker>
        <c:dLbl>
          <c:idx val="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bg1">
              <a:lumMod val="85000"/>
            </a:schemeClr>
          </a:solidFill>
          <a:ln>
            <a:solidFill>
              <a:sysClr val="windowText" lastClr="000000"/>
            </a:solidFill>
          </a:ln>
          <a:effectLst/>
        </c:spPr>
        <c:marker>
          <c:symbol val="none"/>
        </c:marker>
        <c:dLbl>
          <c:idx val="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bg1">
              <a:lumMod val="85000"/>
            </a:schemeClr>
          </a:solidFill>
          <a:ln>
            <a:solidFill>
              <a:sysClr val="windowText" lastClr="000000"/>
            </a:solidFill>
          </a:ln>
          <a:effectLst/>
        </c:spPr>
        <c:dLbl>
          <c:idx val="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bg1">
              <a:lumMod val="65000"/>
            </a:schemeClr>
          </a:solidFill>
          <a:ln>
            <a:solidFill>
              <a:sysClr val="windowText" lastClr="000000"/>
            </a:solidFill>
          </a:ln>
          <a:effectLst/>
        </c:spPr>
        <c:dLbl>
          <c:idx val="0"/>
          <c:tx>
            <c:rich>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r>
                  <a:rPr lang="en-US"/>
                  <a:t>Aa</a:t>
                </a:r>
              </a:p>
            </c:rich>
          </c:tx>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15:layout>
                <c:manualLayout>
                  <c:w val="8.0225987521213724E-2"/>
                  <c:h val="0.18974537270691505"/>
                </c:manualLayout>
              </c15:layout>
            </c:ext>
          </c:extLst>
        </c:dLbl>
      </c:pivotFmt>
      <c:pivotFmt>
        <c:idx val="4"/>
        <c:spPr>
          <a:solidFill>
            <a:schemeClr val="bg1">
              <a:lumMod val="85000"/>
            </a:schemeClr>
          </a:solidFill>
          <a:ln>
            <a:solidFill>
              <a:sysClr val="windowText" lastClr="000000"/>
            </a:solidFill>
          </a:ln>
          <a:effectLst/>
        </c:spPr>
        <c:dLbl>
          <c:idx val="0"/>
          <c:tx>
            <c:rich>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r>
                  <a:rPr lang="en-US"/>
                  <a:t>Aa</a:t>
                </a:r>
              </a:p>
            </c:rich>
          </c:tx>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15:layout>
                <c:manualLayout>
                  <c:w val="9.3481305826286429E-2"/>
                  <c:h val="0.28696768839092451"/>
                </c:manualLayout>
              </c15:layout>
            </c:ext>
          </c:extLst>
        </c:dLbl>
      </c:pivotFmt>
      <c:pivotFmt>
        <c:idx val="5"/>
        <c:spPr>
          <a:solidFill>
            <a:schemeClr val="bg1">
              <a:lumMod val="85000"/>
            </a:schemeClr>
          </a:solidFill>
          <a:ln>
            <a:solidFill>
              <a:sysClr val="windowText" lastClr="000000"/>
            </a:solidFill>
          </a:ln>
          <a:effectLst/>
        </c:spPr>
        <c:dLbl>
          <c:idx val="0"/>
          <c:layout>
            <c:manualLayout>
              <c:x val="-1.198823512220986E-3"/>
              <c:y val="-0.11378056667750823"/>
            </c:manualLayout>
          </c:layout>
          <c:tx>
            <c:rich>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r>
                  <a:rPr lang="en-US"/>
                  <a:t>Aa</a:t>
                </a:r>
              </a:p>
            </c:rich>
          </c:tx>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15:layout>
                <c:manualLayout>
                  <c:w val="8.2877051182228267E-2"/>
                  <c:h val="0.21752333740826721"/>
                </c:manualLayout>
              </c15:layout>
            </c:ext>
          </c:extLst>
        </c:dLbl>
      </c:pivotFmt>
      <c:pivotFmt>
        <c:idx val="6"/>
        <c:spPr>
          <a:solidFill>
            <a:schemeClr val="bg1">
              <a:lumMod val="65000"/>
            </a:schemeClr>
          </a:solidFill>
          <a:ln>
            <a:solidFill>
              <a:sysClr val="windowText" lastClr="000000"/>
            </a:solidFill>
          </a:ln>
          <a:effectLst/>
        </c:spPr>
        <c:dLbl>
          <c:idx val="0"/>
          <c:tx>
            <c:rich>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r>
                  <a:rPr lang="en-US"/>
                  <a:t>Aa</a:t>
                </a:r>
              </a:p>
            </c:rich>
          </c:tx>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15:layout>
                <c:manualLayout>
                  <c:w val="6.9621732877155548E-2"/>
                  <c:h val="0.24993065135388745"/>
                </c:manualLayout>
              </c15:layout>
            </c:ext>
          </c:extLst>
        </c:dLbl>
      </c:pivotFmt>
      <c:pivotFmt>
        <c:idx val="7"/>
        <c:spPr>
          <a:solidFill>
            <a:schemeClr val="bg1">
              <a:lumMod val="85000"/>
            </a:schemeClr>
          </a:solidFill>
          <a:ln>
            <a:solidFill>
              <a:sysClr val="windowText" lastClr="000000"/>
            </a:solidFill>
          </a:ln>
          <a:effectLst/>
        </c:spPr>
        <c:dLbl>
          <c:idx val="0"/>
          <c:tx>
            <c:rich>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r>
                  <a:rPr lang="en-US"/>
                  <a:t>Aa</a:t>
                </a:r>
              </a:p>
            </c:rich>
          </c:tx>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15:layout>
                <c:manualLayout>
                  <c:w val="7.757492386019918E-2"/>
                  <c:h val="0.18511602346264708"/>
                </c:manualLayout>
              </c15:layout>
            </c:ext>
          </c:extLst>
        </c:dLbl>
      </c:pivotFmt>
      <c:pivotFmt>
        <c:idx val="8"/>
        <c:spPr>
          <a:solidFill>
            <a:schemeClr val="bg1">
              <a:lumMod val="65000"/>
            </a:schemeClr>
          </a:solidFill>
          <a:ln>
            <a:solidFill>
              <a:sysClr val="windowText" lastClr="000000"/>
            </a:solidFill>
          </a:ln>
          <a:effectLst/>
        </c:spPr>
        <c:dLbl>
          <c:idx val="0"/>
          <c:tx>
            <c:rich>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r>
                  <a:rPr lang="en-US"/>
                  <a:t>Aa</a:t>
                </a:r>
              </a:p>
            </c:rich>
          </c:tx>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15:layout>
                <c:manualLayout>
                  <c:w val="8.0225987521213724E-2"/>
                  <c:h val="0.34252324394647998"/>
                </c:manualLayout>
              </c15:layout>
            </c:ext>
          </c:extLst>
        </c:dLbl>
      </c:pivotFmt>
      <c:pivotFmt>
        <c:idx val="9"/>
        <c:spPr>
          <a:solidFill>
            <a:schemeClr val="bg1">
              <a:lumMod val="85000"/>
            </a:schemeClr>
          </a:solidFill>
          <a:ln>
            <a:solidFill>
              <a:sysClr val="windowText" lastClr="000000"/>
            </a:solidFill>
          </a:ln>
          <a:effectLst/>
        </c:spPr>
        <c:dLbl>
          <c:idx val="0"/>
          <c:tx>
            <c:rich>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r>
                  <a:rPr lang="en-US"/>
                  <a:t>Aa</a:t>
                </a:r>
              </a:p>
            </c:rich>
          </c:tx>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0"/>
        <c:spPr>
          <a:solidFill>
            <a:schemeClr val="bg1">
              <a:lumMod val="85000"/>
            </a:schemeClr>
          </a:solidFill>
          <a:ln>
            <a:solidFill>
              <a:sysClr val="windowText" lastClr="000000"/>
            </a:solidFill>
          </a:ln>
          <a:effectLst/>
        </c:spPr>
        <c:dLbl>
          <c:idx val="0"/>
          <c:tx>
            <c:rich>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r>
                  <a:rPr lang="en-US"/>
                  <a:t>Aa</a:t>
                </a:r>
              </a:p>
            </c:rich>
          </c:tx>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1"/>
        <c:spPr>
          <a:solidFill>
            <a:schemeClr val="bg1">
              <a:lumMod val="65000"/>
            </a:schemeClr>
          </a:solidFill>
          <a:ln>
            <a:solidFill>
              <a:sysClr val="windowText" lastClr="000000"/>
            </a:solidFill>
          </a:ln>
          <a:effectLst/>
        </c:spPr>
        <c:dLbl>
          <c:idx val="0"/>
          <c:tx>
            <c:rich>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r>
                  <a:rPr lang="en-US"/>
                  <a:t>Aa</a:t>
                </a:r>
              </a:p>
            </c:rich>
          </c:tx>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2"/>
        <c:spPr>
          <a:solidFill>
            <a:schemeClr val="bg1">
              <a:lumMod val="65000"/>
            </a:schemeClr>
          </a:solidFill>
          <a:ln>
            <a:solidFill>
              <a:sysClr val="windowText" lastClr="000000"/>
            </a:solidFill>
          </a:ln>
          <a:effectLst/>
        </c:spPr>
        <c:dLbl>
          <c:idx val="0"/>
          <c:tx>
            <c:rich>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r>
                  <a:rPr lang="en-US"/>
                  <a:t>Aa</a:t>
                </a:r>
              </a:p>
            </c:rich>
          </c:tx>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15:layout>
                <c:manualLayout>
                  <c:w val="9.6132369487300973E-2"/>
                  <c:h val="0.11567129863284098"/>
                </c:manualLayout>
              </c15:layout>
            </c:ext>
          </c:extLst>
        </c:dLbl>
      </c:pivotFmt>
      <c:pivotFmt>
        <c:idx val="13"/>
        <c:spPr>
          <a:solidFill>
            <a:schemeClr val="bg1">
              <a:lumMod val="65000"/>
            </a:schemeClr>
          </a:solidFill>
          <a:ln>
            <a:solidFill>
              <a:sysClr val="windowText" lastClr="000000"/>
            </a:solidFill>
          </a:ln>
          <a:effectLst/>
        </c:spPr>
        <c:dLbl>
          <c:idx val="0"/>
          <c:tx>
            <c:rich>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r>
                  <a:rPr lang="en-US"/>
                  <a:t>Aa</a:t>
                </a:r>
              </a:p>
            </c:rich>
          </c:tx>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15:layout>
                <c:manualLayout>
                  <c:w val="8.5528114843242811E-2"/>
                  <c:h val="0.19900481888974875"/>
                </c:manualLayout>
              </c15:layout>
            </c:ext>
          </c:extLst>
        </c:dLbl>
      </c:pivotFmt>
      <c:pivotFmt>
        <c:idx val="14"/>
        <c:spPr>
          <a:solidFill>
            <a:schemeClr val="bg1">
              <a:lumMod val="65000"/>
            </a:schemeClr>
          </a:solidFill>
          <a:ln>
            <a:solidFill>
              <a:sysClr val="windowText" lastClr="000000"/>
            </a:solidFill>
          </a:ln>
          <a:effectLst/>
        </c:spPr>
        <c:dLbl>
          <c:idx val="0"/>
          <c:tx>
            <c:rich>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r>
                  <a:rPr lang="en-US"/>
                  <a:t>Aa</a:t>
                </a:r>
              </a:p>
            </c:rich>
          </c:tx>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15:layout>
                <c:manualLayout>
                  <c:w val="7.2272796538170092E-2"/>
                  <c:h val="0.11104194938857299"/>
                </c:manualLayout>
              </c15:layout>
            </c:ext>
          </c:extLst>
        </c:dLbl>
      </c:pivotFmt>
      <c:pivotFmt>
        <c:idx val="15"/>
        <c:spPr>
          <a:solidFill>
            <a:schemeClr val="bg1">
              <a:lumMod val="85000"/>
            </a:schemeClr>
          </a:solidFill>
          <a:ln>
            <a:solidFill>
              <a:sysClr val="windowText" lastClr="000000"/>
            </a:solidFill>
          </a:ln>
          <a:effectLst/>
        </c:spPr>
        <c:dLbl>
          <c:idx val="0"/>
          <c:tx>
            <c:rich>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r>
                  <a:rPr lang="en-US"/>
                  <a:t>Aa</a:t>
                </a:r>
              </a:p>
            </c:rich>
          </c:tx>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15:layout>
                <c:manualLayout>
                  <c:w val="0.10143449680933006"/>
                  <c:h val="0.14807898642561002"/>
                </c:manualLayout>
              </c15:layout>
            </c:ext>
          </c:extLst>
        </c:dLbl>
      </c:pivotFmt>
      <c:pivotFmt>
        <c:idx val="16"/>
        <c:spPr>
          <a:solidFill>
            <a:schemeClr val="bg1">
              <a:lumMod val="85000"/>
            </a:schemeClr>
          </a:solidFill>
          <a:ln>
            <a:solidFill>
              <a:sysClr val="windowText" lastClr="000000"/>
            </a:solidFill>
          </a:ln>
          <a:effectLst/>
        </c:spPr>
        <c:dLbl>
          <c:idx val="0"/>
          <c:tx>
            <c:rich>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r>
                  <a:rPr lang="en-US"/>
                  <a:t>Aa</a:t>
                </a:r>
              </a:p>
            </c:rich>
          </c:tx>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15:layout>
                <c:manualLayout>
                  <c:w val="7.757492386019918E-2"/>
                  <c:h val="0.12493074481567466"/>
                </c:manualLayout>
              </c15:layout>
            </c:ext>
          </c:extLst>
        </c:dLbl>
      </c:pivotFmt>
      <c:pivotFmt>
        <c:idx val="17"/>
        <c:spPr>
          <a:solidFill>
            <a:schemeClr val="bg1">
              <a:lumMod val="85000"/>
            </a:schemeClr>
          </a:solidFill>
          <a:ln>
            <a:solidFill>
              <a:sysClr val="windowText" lastClr="000000"/>
            </a:solidFill>
          </a:ln>
          <a:effectLst/>
        </c:spPr>
        <c:dLbl>
          <c:idx val="0"/>
          <c:tx>
            <c:rich>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r>
                  <a:rPr lang="en-US"/>
                  <a:t>Aa</a:t>
                </a:r>
              </a:p>
            </c:rich>
          </c:tx>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8"/>
        <c:spPr>
          <a:solidFill>
            <a:schemeClr val="bg1">
              <a:lumMod val="65000"/>
            </a:schemeClr>
          </a:solidFill>
          <a:ln>
            <a:solidFill>
              <a:sysClr val="windowText" lastClr="000000"/>
            </a:solidFill>
          </a:ln>
          <a:effectLst/>
        </c:spPr>
        <c:dLbl>
          <c:idx val="0"/>
          <c:tx>
            <c:rich>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r>
                  <a:rPr lang="en-US"/>
                  <a:t>Aa</a:t>
                </a:r>
              </a:p>
            </c:rich>
          </c:tx>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9"/>
        <c:spPr>
          <a:solidFill>
            <a:schemeClr val="bg1">
              <a:lumMod val="65000"/>
            </a:schemeClr>
          </a:solidFill>
          <a:ln>
            <a:solidFill>
              <a:sysClr val="windowText" lastClr="000000"/>
            </a:solidFill>
          </a:ln>
          <a:effectLst/>
        </c:spPr>
        <c:marker>
          <c:symbol val="none"/>
        </c:marker>
        <c:dLbl>
          <c:idx val="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0"/>
        <c:spPr>
          <a:solidFill>
            <a:schemeClr val="bg1">
              <a:lumMod val="65000"/>
            </a:schemeClr>
          </a:solidFill>
          <a:ln>
            <a:solidFill>
              <a:sysClr val="windowText" lastClr="000000"/>
            </a:solidFill>
          </a:ln>
          <a:effectLst/>
        </c:spPr>
        <c:dLbl>
          <c:idx val="0"/>
          <c:tx>
            <c:rich>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r>
                  <a:rPr lang="en-US"/>
                  <a:t>Aa</a:t>
                </a:r>
              </a:p>
            </c:rich>
          </c:tx>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15:layout>
                <c:manualLayout>
                  <c:w val="8.0225987521213724E-2"/>
                  <c:h val="0.18974537270691505"/>
                </c:manualLayout>
              </c15:layout>
            </c:ext>
          </c:extLst>
        </c:dLbl>
      </c:pivotFmt>
      <c:pivotFmt>
        <c:idx val="21"/>
        <c:spPr>
          <a:solidFill>
            <a:schemeClr val="bg1">
              <a:lumMod val="65000"/>
            </a:schemeClr>
          </a:solidFill>
          <a:ln>
            <a:solidFill>
              <a:sysClr val="windowText" lastClr="000000"/>
            </a:solidFill>
          </a:ln>
          <a:effectLst/>
        </c:spPr>
        <c:dLbl>
          <c:idx val="0"/>
          <c:tx>
            <c:rich>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r>
                  <a:rPr lang="en-US"/>
                  <a:t>Aa</a:t>
                </a:r>
              </a:p>
            </c:rich>
          </c:tx>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2"/>
        <c:spPr>
          <a:solidFill>
            <a:schemeClr val="bg1">
              <a:lumMod val="65000"/>
            </a:schemeClr>
          </a:solidFill>
          <a:ln>
            <a:solidFill>
              <a:sysClr val="windowText" lastClr="000000"/>
            </a:solidFill>
          </a:ln>
          <a:effectLst/>
        </c:spPr>
        <c:dLbl>
          <c:idx val="0"/>
          <c:tx>
            <c:rich>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r>
                  <a:rPr lang="en-US"/>
                  <a:t>Aa</a:t>
                </a:r>
              </a:p>
            </c:rich>
          </c:tx>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15:layout>
                <c:manualLayout>
                  <c:w val="7.2272796538170092E-2"/>
                  <c:h val="0.11104194938857299"/>
                </c:manualLayout>
              </c15:layout>
            </c:ext>
          </c:extLst>
        </c:dLbl>
      </c:pivotFmt>
      <c:pivotFmt>
        <c:idx val="23"/>
        <c:spPr>
          <a:solidFill>
            <a:schemeClr val="bg1">
              <a:lumMod val="65000"/>
            </a:schemeClr>
          </a:solidFill>
          <a:ln>
            <a:solidFill>
              <a:sysClr val="windowText" lastClr="000000"/>
            </a:solidFill>
          </a:ln>
          <a:effectLst/>
        </c:spPr>
        <c:dLbl>
          <c:idx val="0"/>
          <c:tx>
            <c:rich>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r>
                  <a:rPr lang="en-US"/>
                  <a:t>Aa</a:t>
                </a:r>
              </a:p>
            </c:rich>
          </c:tx>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15:layout>
                <c:manualLayout>
                  <c:w val="8.5528114843242811E-2"/>
                  <c:h val="0.19900481888974875"/>
                </c:manualLayout>
              </c15:layout>
            </c:ext>
          </c:extLst>
        </c:dLbl>
      </c:pivotFmt>
      <c:pivotFmt>
        <c:idx val="24"/>
        <c:spPr>
          <a:solidFill>
            <a:schemeClr val="bg1">
              <a:lumMod val="65000"/>
            </a:schemeClr>
          </a:solidFill>
          <a:ln>
            <a:solidFill>
              <a:sysClr val="windowText" lastClr="000000"/>
            </a:solidFill>
          </a:ln>
          <a:effectLst/>
        </c:spPr>
        <c:dLbl>
          <c:idx val="0"/>
          <c:tx>
            <c:rich>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r>
                  <a:rPr lang="en-US"/>
                  <a:t>Aa</a:t>
                </a:r>
              </a:p>
            </c:rich>
          </c:tx>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5"/>
        <c:spPr>
          <a:solidFill>
            <a:schemeClr val="bg1">
              <a:lumMod val="65000"/>
            </a:schemeClr>
          </a:solidFill>
          <a:ln>
            <a:solidFill>
              <a:sysClr val="windowText" lastClr="000000"/>
            </a:solidFill>
          </a:ln>
          <a:effectLst/>
        </c:spPr>
        <c:dLbl>
          <c:idx val="0"/>
          <c:tx>
            <c:rich>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r>
                  <a:rPr lang="en-US"/>
                  <a:t>Aa</a:t>
                </a:r>
              </a:p>
            </c:rich>
          </c:tx>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15:layout>
                <c:manualLayout>
                  <c:w val="9.6132369487300973E-2"/>
                  <c:h val="0.11567129863284098"/>
                </c:manualLayout>
              </c15:layout>
            </c:ext>
          </c:extLst>
        </c:dLbl>
      </c:pivotFmt>
      <c:pivotFmt>
        <c:idx val="26"/>
        <c:spPr>
          <a:solidFill>
            <a:schemeClr val="bg1">
              <a:lumMod val="65000"/>
            </a:schemeClr>
          </a:solidFill>
          <a:ln>
            <a:solidFill>
              <a:sysClr val="windowText" lastClr="000000"/>
            </a:solidFill>
          </a:ln>
          <a:effectLst/>
        </c:spPr>
        <c:dLbl>
          <c:idx val="0"/>
          <c:tx>
            <c:rich>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r>
                  <a:rPr lang="en-US"/>
                  <a:t>Aa</a:t>
                </a:r>
              </a:p>
            </c:rich>
          </c:tx>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15:layout>
                <c:manualLayout>
                  <c:w val="8.0225987521213724E-2"/>
                  <c:h val="0.34252324394647998"/>
                </c:manualLayout>
              </c15:layout>
            </c:ext>
          </c:extLst>
        </c:dLbl>
      </c:pivotFmt>
      <c:pivotFmt>
        <c:idx val="27"/>
        <c:spPr>
          <a:solidFill>
            <a:schemeClr val="bg1">
              <a:lumMod val="65000"/>
            </a:schemeClr>
          </a:solidFill>
          <a:ln>
            <a:solidFill>
              <a:sysClr val="windowText" lastClr="000000"/>
            </a:solidFill>
          </a:ln>
          <a:effectLst/>
        </c:spPr>
        <c:dLbl>
          <c:idx val="0"/>
          <c:tx>
            <c:rich>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r>
                  <a:rPr lang="en-US"/>
                  <a:t>Aa</a:t>
                </a:r>
              </a:p>
            </c:rich>
          </c:tx>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15:layout>
                <c:manualLayout>
                  <c:w val="6.9621732877155548E-2"/>
                  <c:h val="0.24993065135388745"/>
                </c:manualLayout>
              </c15:layout>
            </c:ext>
          </c:extLst>
        </c:dLbl>
      </c:pivotFmt>
      <c:pivotFmt>
        <c:idx val="28"/>
        <c:spPr>
          <a:solidFill>
            <a:schemeClr val="bg1">
              <a:lumMod val="85000"/>
            </a:schemeClr>
          </a:solidFill>
          <a:ln>
            <a:solidFill>
              <a:sysClr val="windowText" lastClr="000000"/>
            </a:solidFill>
          </a:ln>
          <a:effectLst/>
        </c:spPr>
        <c:marker>
          <c:symbol val="none"/>
        </c:marker>
        <c:dLbl>
          <c:idx val="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9"/>
        <c:spPr>
          <a:solidFill>
            <a:schemeClr val="bg1">
              <a:lumMod val="85000"/>
            </a:schemeClr>
          </a:solidFill>
          <a:ln>
            <a:solidFill>
              <a:sysClr val="windowText" lastClr="000000"/>
            </a:solidFill>
          </a:ln>
          <a:effectLst/>
        </c:spPr>
        <c:dLbl>
          <c:idx val="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0"/>
        <c:spPr>
          <a:solidFill>
            <a:schemeClr val="bg1">
              <a:lumMod val="85000"/>
            </a:schemeClr>
          </a:solidFill>
          <a:ln>
            <a:solidFill>
              <a:sysClr val="windowText" lastClr="000000"/>
            </a:solidFill>
          </a:ln>
          <a:effectLst/>
        </c:spPr>
        <c:dLbl>
          <c:idx val="0"/>
          <c:tx>
            <c:rich>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r>
                  <a:rPr lang="en-US"/>
                  <a:t>Aa</a:t>
                </a:r>
              </a:p>
            </c:rich>
          </c:tx>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31"/>
        <c:spPr>
          <a:solidFill>
            <a:schemeClr val="bg1">
              <a:lumMod val="85000"/>
            </a:schemeClr>
          </a:solidFill>
          <a:ln>
            <a:solidFill>
              <a:sysClr val="windowText" lastClr="000000"/>
            </a:solidFill>
          </a:ln>
          <a:effectLst/>
        </c:spPr>
        <c:dLbl>
          <c:idx val="0"/>
          <c:tx>
            <c:rich>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r>
                  <a:rPr lang="en-US"/>
                  <a:t>Aa</a:t>
                </a:r>
              </a:p>
            </c:rich>
          </c:tx>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15:layout>
                <c:manualLayout>
                  <c:w val="7.757492386019918E-2"/>
                  <c:h val="0.12493074481567466"/>
                </c:manualLayout>
              </c15:layout>
            </c:ext>
          </c:extLst>
        </c:dLbl>
      </c:pivotFmt>
      <c:pivotFmt>
        <c:idx val="32"/>
        <c:spPr>
          <a:solidFill>
            <a:schemeClr val="bg1">
              <a:lumMod val="85000"/>
            </a:schemeClr>
          </a:solidFill>
          <a:ln>
            <a:solidFill>
              <a:sysClr val="windowText" lastClr="000000"/>
            </a:solidFill>
          </a:ln>
          <a:effectLst/>
        </c:spPr>
        <c:dLbl>
          <c:idx val="0"/>
          <c:tx>
            <c:rich>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r>
                  <a:rPr lang="en-US"/>
                  <a:t>Aa</a:t>
                </a:r>
              </a:p>
            </c:rich>
          </c:tx>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15:layout>
                <c:manualLayout>
                  <c:w val="0.10143449680933006"/>
                  <c:h val="0.14807898642561002"/>
                </c:manualLayout>
              </c15:layout>
            </c:ext>
          </c:extLst>
        </c:dLbl>
      </c:pivotFmt>
      <c:pivotFmt>
        <c:idx val="33"/>
        <c:spPr>
          <a:solidFill>
            <a:schemeClr val="bg1">
              <a:lumMod val="85000"/>
            </a:schemeClr>
          </a:solidFill>
          <a:ln>
            <a:solidFill>
              <a:sysClr val="windowText" lastClr="000000"/>
            </a:solidFill>
          </a:ln>
          <a:effectLst/>
        </c:spPr>
        <c:dLbl>
          <c:idx val="0"/>
          <c:tx>
            <c:rich>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r>
                  <a:rPr lang="en-US"/>
                  <a:t>Aa</a:t>
                </a:r>
              </a:p>
            </c:rich>
          </c:tx>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15:layout>
                <c:manualLayout>
                  <c:w val="9.3481305826286429E-2"/>
                  <c:h val="0.28696768839092451"/>
                </c:manualLayout>
              </c15:layout>
            </c:ext>
          </c:extLst>
        </c:dLbl>
      </c:pivotFmt>
      <c:pivotFmt>
        <c:idx val="34"/>
        <c:spPr>
          <a:solidFill>
            <a:schemeClr val="bg1">
              <a:lumMod val="85000"/>
            </a:schemeClr>
          </a:solidFill>
          <a:ln>
            <a:solidFill>
              <a:sysClr val="windowText" lastClr="000000"/>
            </a:solidFill>
          </a:ln>
          <a:effectLst/>
        </c:spPr>
        <c:dLbl>
          <c:idx val="0"/>
          <c:tx>
            <c:rich>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r>
                  <a:rPr lang="en-US"/>
                  <a:t>Aa</a:t>
                </a:r>
              </a:p>
            </c:rich>
          </c:tx>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35"/>
        <c:spPr>
          <a:solidFill>
            <a:schemeClr val="bg1">
              <a:lumMod val="85000"/>
            </a:schemeClr>
          </a:solidFill>
          <a:ln>
            <a:solidFill>
              <a:sysClr val="windowText" lastClr="000000"/>
            </a:solidFill>
          </a:ln>
          <a:effectLst/>
        </c:spPr>
        <c:dLbl>
          <c:idx val="0"/>
          <c:tx>
            <c:rich>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r>
                  <a:rPr lang="en-US"/>
                  <a:t>Aa</a:t>
                </a:r>
              </a:p>
            </c:rich>
          </c:tx>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36"/>
        <c:spPr>
          <a:solidFill>
            <a:schemeClr val="bg1">
              <a:lumMod val="85000"/>
            </a:schemeClr>
          </a:solidFill>
          <a:ln>
            <a:solidFill>
              <a:sysClr val="windowText" lastClr="000000"/>
            </a:solidFill>
          </a:ln>
          <a:effectLst/>
        </c:spPr>
        <c:dLbl>
          <c:idx val="0"/>
          <c:layout>
            <c:manualLayout>
              <c:x val="-1.198823512220986E-3"/>
              <c:y val="-0.11378056667750823"/>
            </c:manualLayout>
          </c:layout>
          <c:tx>
            <c:rich>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r>
                  <a:rPr lang="en-US"/>
                  <a:t>Aa</a:t>
                </a:r>
              </a:p>
            </c:rich>
          </c:tx>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15:layout>
                <c:manualLayout>
                  <c:w val="8.2877051182228267E-2"/>
                  <c:h val="0.21752333740826721"/>
                </c:manualLayout>
              </c15:layout>
            </c:ext>
          </c:extLst>
        </c:dLbl>
      </c:pivotFmt>
      <c:pivotFmt>
        <c:idx val="37"/>
        <c:spPr>
          <a:solidFill>
            <a:schemeClr val="bg1">
              <a:lumMod val="85000"/>
            </a:schemeClr>
          </a:solidFill>
          <a:ln>
            <a:solidFill>
              <a:sysClr val="windowText" lastClr="000000"/>
            </a:solidFill>
          </a:ln>
          <a:effectLst/>
        </c:spPr>
        <c:dLbl>
          <c:idx val="0"/>
          <c:tx>
            <c:rich>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r>
                  <a:rPr lang="en-US"/>
                  <a:t>Aa</a:t>
                </a:r>
              </a:p>
            </c:rich>
          </c:tx>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15:layout>
                <c:manualLayout>
                  <c:w val="7.757492386019918E-2"/>
                  <c:h val="0.18511602346264708"/>
                </c:manualLayout>
              </c15:layout>
            </c:ext>
          </c:extLst>
        </c:dLbl>
      </c:pivotFmt>
      <c:pivotFmt>
        <c:idx val="38"/>
        <c:spPr>
          <a:solidFill>
            <a:schemeClr val="bg1">
              <a:lumMod val="65000"/>
            </a:schemeClr>
          </a:solidFill>
          <a:ln>
            <a:solidFill>
              <a:sysClr val="windowText" lastClr="000000"/>
            </a:solidFill>
          </a:ln>
          <a:effectLst/>
        </c:spPr>
        <c:marker>
          <c:symbol val="none"/>
        </c:marker>
        <c:dLbl>
          <c:idx val="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39"/>
        <c:spPr>
          <a:solidFill>
            <a:schemeClr val="bg1">
              <a:lumMod val="65000"/>
            </a:schemeClr>
          </a:solidFill>
          <a:ln>
            <a:solidFill>
              <a:sysClr val="windowText" lastClr="000000"/>
            </a:solidFill>
          </a:ln>
          <a:effectLst/>
        </c:spPr>
        <c:dLbl>
          <c:idx val="0"/>
          <c:tx>
            <c:rich>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r>
                  <a:rPr lang="en-US"/>
                  <a:t>Aa</a:t>
                </a:r>
              </a:p>
            </c:rich>
          </c:tx>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15:layout>
                <c:manualLayout>
                  <c:w val="8.0225987521213724E-2"/>
                  <c:h val="0.18974537270691505"/>
                </c:manualLayout>
              </c15:layout>
            </c:ext>
          </c:extLst>
        </c:dLbl>
      </c:pivotFmt>
      <c:pivotFmt>
        <c:idx val="40"/>
        <c:spPr>
          <a:solidFill>
            <a:schemeClr val="bg1">
              <a:lumMod val="65000"/>
            </a:schemeClr>
          </a:solidFill>
          <a:ln>
            <a:solidFill>
              <a:sysClr val="windowText" lastClr="000000"/>
            </a:solidFill>
          </a:ln>
          <a:effectLst/>
        </c:spPr>
        <c:dLbl>
          <c:idx val="0"/>
          <c:tx>
            <c:rich>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r>
                  <a:rPr lang="en-US"/>
                  <a:t>Aa</a:t>
                </a:r>
              </a:p>
            </c:rich>
          </c:tx>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41"/>
        <c:spPr>
          <a:solidFill>
            <a:schemeClr val="bg1">
              <a:lumMod val="65000"/>
            </a:schemeClr>
          </a:solidFill>
          <a:ln>
            <a:solidFill>
              <a:sysClr val="windowText" lastClr="000000"/>
            </a:solidFill>
          </a:ln>
          <a:effectLst/>
        </c:spPr>
        <c:dLbl>
          <c:idx val="0"/>
          <c:tx>
            <c:rich>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r>
                  <a:rPr lang="en-US"/>
                  <a:t>Aa</a:t>
                </a:r>
              </a:p>
            </c:rich>
          </c:tx>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15:layout>
                <c:manualLayout>
                  <c:w val="7.2272796538170092E-2"/>
                  <c:h val="0.11104194938857299"/>
                </c:manualLayout>
              </c15:layout>
            </c:ext>
          </c:extLst>
        </c:dLbl>
      </c:pivotFmt>
      <c:pivotFmt>
        <c:idx val="42"/>
        <c:spPr>
          <a:solidFill>
            <a:schemeClr val="bg1">
              <a:lumMod val="65000"/>
            </a:schemeClr>
          </a:solidFill>
          <a:ln>
            <a:solidFill>
              <a:sysClr val="windowText" lastClr="000000"/>
            </a:solidFill>
          </a:ln>
          <a:effectLst/>
        </c:spPr>
        <c:dLbl>
          <c:idx val="0"/>
          <c:tx>
            <c:rich>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r>
                  <a:rPr lang="en-US"/>
                  <a:t>Aa</a:t>
                </a:r>
              </a:p>
            </c:rich>
          </c:tx>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15:layout>
                <c:manualLayout>
                  <c:w val="8.5528114843242811E-2"/>
                  <c:h val="0.19900481888974875"/>
                </c:manualLayout>
              </c15:layout>
            </c:ext>
          </c:extLst>
        </c:dLbl>
      </c:pivotFmt>
      <c:pivotFmt>
        <c:idx val="43"/>
        <c:spPr>
          <a:solidFill>
            <a:schemeClr val="bg1">
              <a:lumMod val="65000"/>
            </a:schemeClr>
          </a:solidFill>
          <a:ln>
            <a:solidFill>
              <a:sysClr val="windowText" lastClr="000000"/>
            </a:solidFill>
          </a:ln>
          <a:effectLst/>
        </c:spPr>
        <c:dLbl>
          <c:idx val="0"/>
          <c:tx>
            <c:rich>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r>
                  <a:rPr lang="en-US"/>
                  <a:t>Aa</a:t>
                </a:r>
              </a:p>
            </c:rich>
          </c:tx>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44"/>
        <c:spPr>
          <a:solidFill>
            <a:schemeClr val="bg1">
              <a:lumMod val="65000"/>
            </a:schemeClr>
          </a:solidFill>
          <a:ln>
            <a:solidFill>
              <a:sysClr val="windowText" lastClr="000000"/>
            </a:solidFill>
          </a:ln>
          <a:effectLst/>
        </c:spPr>
        <c:dLbl>
          <c:idx val="0"/>
          <c:tx>
            <c:rich>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r>
                  <a:rPr lang="en-US"/>
                  <a:t>Aa</a:t>
                </a:r>
              </a:p>
            </c:rich>
          </c:tx>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15:layout>
                <c:manualLayout>
                  <c:w val="9.6132369487300973E-2"/>
                  <c:h val="0.11567129863284098"/>
                </c:manualLayout>
              </c15:layout>
            </c:ext>
          </c:extLst>
        </c:dLbl>
      </c:pivotFmt>
      <c:pivotFmt>
        <c:idx val="45"/>
        <c:spPr>
          <a:solidFill>
            <a:schemeClr val="bg1">
              <a:lumMod val="65000"/>
            </a:schemeClr>
          </a:solidFill>
          <a:ln>
            <a:solidFill>
              <a:sysClr val="windowText" lastClr="000000"/>
            </a:solidFill>
          </a:ln>
          <a:effectLst/>
        </c:spPr>
        <c:dLbl>
          <c:idx val="0"/>
          <c:tx>
            <c:rich>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r>
                  <a:rPr lang="en-US"/>
                  <a:t>Aa</a:t>
                </a:r>
              </a:p>
            </c:rich>
          </c:tx>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15:layout>
                <c:manualLayout>
                  <c:w val="8.0225987521213724E-2"/>
                  <c:h val="0.34252324394647998"/>
                </c:manualLayout>
              </c15:layout>
            </c:ext>
          </c:extLst>
        </c:dLbl>
      </c:pivotFmt>
      <c:pivotFmt>
        <c:idx val="46"/>
        <c:spPr>
          <a:solidFill>
            <a:schemeClr val="bg1">
              <a:lumMod val="65000"/>
            </a:schemeClr>
          </a:solidFill>
          <a:ln>
            <a:solidFill>
              <a:sysClr val="windowText" lastClr="000000"/>
            </a:solidFill>
          </a:ln>
          <a:effectLst/>
        </c:spPr>
        <c:dLbl>
          <c:idx val="0"/>
          <c:tx>
            <c:rich>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r>
                  <a:rPr lang="en-US"/>
                  <a:t>Aa</a:t>
                </a:r>
              </a:p>
            </c:rich>
          </c:tx>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15:layout>
                <c:manualLayout>
                  <c:w val="6.9621732877155548E-2"/>
                  <c:h val="0.24993065135388745"/>
                </c:manualLayout>
              </c15:layout>
            </c:ext>
          </c:extLst>
        </c:dLbl>
      </c:pivotFmt>
      <c:pivotFmt>
        <c:idx val="47"/>
        <c:spPr>
          <a:solidFill>
            <a:schemeClr val="bg1">
              <a:lumMod val="85000"/>
            </a:schemeClr>
          </a:solidFill>
          <a:ln>
            <a:solidFill>
              <a:sysClr val="windowText" lastClr="000000"/>
            </a:solidFill>
          </a:ln>
          <a:effectLst/>
        </c:spPr>
        <c:marker>
          <c:symbol val="none"/>
        </c:marker>
        <c:dLbl>
          <c:idx val="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48"/>
        <c:spPr>
          <a:solidFill>
            <a:schemeClr val="bg1">
              <a:lumMod val="85000"/>
            </a:schemeClr>
          </a:solidFill>
          <a:ln>
            <a:solidFill>
              <a:sysClr val="windowText" lastClr="000000"/>
            </a:solidFill>
          </a:ln>
          <a:effectLst/>
        </c:spPr>
        <c:dLbl>
          <c:idx val="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9"/>
        <c:spPr>
          <a:solidFill>
            <a:schemeClr val="bg1">
              <a:lumMod val="85000"/>
            </a:schemeClr>
          </a:solidFill>
          <a:ln>
            <a:solidFill>
              <a:sysClr val="windowText" lastClr="000000"/>
            </a:solidFill>
          </a:ln>
          <a:effectLst/>
        </c:spPr>
        <c:dLbl>
          <c:idx val="0"/>
          <c:tx>
            <c:rich>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r>
                  <a:rPr lang="en-US"/>
                  <a:t>Aa</a:t>
                </a:r>
              </a:p>
            </c:rich>
          </c:tx>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50"/>
        <c:spPr>
          <a:solidFill>
            <a:schemeClr val="bg1">
              <a:lumMod val="85000"/>
            </a:schemeClr>
          </a:solidFill>
          <a:ln>
            <a:solidFill>
              <a:sysClr val="windowText" lastClr="000000"/>
            </a:solidFill>
          </a:ln>
          <a:effectLst/>
        </c:spPr>
        <c:dLbl>
          <c:idx val="0"/>
          <c:tx>
            <c:rich>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r>
                  <a:rPr lang="en-US"/>
                  <a:t>Aa</a:t>
                </a:r>
              </a:p>
            </c:rich>
          </c:tx>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15:layout>
                <c:manualLayout>
                  <c:w val="7.757492386019918E-2"/>
                  <c:h val="0.12493074481567466"/>
                </c:manualLayout>
              </c15:layout>
            </c:ext>
          </c:extLst>
        </c:dLbl>
      </c:pivotFmt>
      <c:pivotFmt>
        <c:idx val="51"/>
        <c:spPr>
          <a:solidFill>
            <a:schemeClr val="bg1">
              <a:lumMod val="85000"/>
            </a:schemeClr>
          </a:solidFill>
          <a:ln>
            <a:solidFill>
              <a:sysClr val="windowText" lastClr="000000"/>
            </a:solidFill>
          </a:ln>
          <a:effectLst/>
        </c:spPr>
        <c:dLbl>
          <c:idx val="0"/>
          <c:tx>
            <c:rich>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r>
                  <a:rPr lang="en-US"/>
                  <a:t>Aa</a:t>
                </a:r>
              </a:p>
            </c:rich>
          </c:tx>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15:layout>
                <c:manualLayout>
                  <c:w val="0.10143449680933006"/>
                  <c:h val="0.14807898642561002"/>
                </c:manualLayout>
              </c15:layout>
            </c:ext>
          </c:extLst>
        </c:dLbl>
      </c:pivotFmt>
      <c:pivotFmt>
        <c:idx val="52"/>
        <c:spPr>
          <a:solidFill>
            <a:schemeClr val="bg1">
              <a:lumMod val="85000"/>
            </a:schemeClr>
          </a:solidFill>
          <a:ln>
            <a:solidFill>
              <a:sysClr val="windowText" lastClr="000000"/>
            </a:solidFill>
          </a:ln>
          <a:effectLst/>
        </c:spPr>
        <c:dLbl>
          <c:idx val="0"/>
          <c:tx>
            <c:rich>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r>
                  <a:rPr lang="en-US"/>
                  <a:t>Aa</a:t>
                </a:r>
              </a:p>
            </c:rich>
          </c:tx>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15:layout>
                <c:manualLayout>
                  <c:w val="9.3481305826286429E-2"/>
                  <c:h val="0.28696768839092451"/>
                </c:manualLayout>
              </c15:layout>
            </c:ext>
          </c:extLst>
        </c:dLbl>
      </c:pivotFmt>
      <c:pivotFmt>
        <c:idx val="53"/>
        <c:spPr>
          <a:solidFill>
            <a:schemeClr val="bg1">
              <a:lumMod val="85000"/>
            </a:schemeClr>
          </a:solidFill>
          <a:ln>
            <a:solidFill>
              <a:sysClr val="windowText" lastClr="000000"/>
            </a:solidFill>
          </a:ln>
          <a:effectLst/>
        </c:spPr>
        <c:dLbl>
          <c:idx val="0"/>
          <c:tx>
            <c:rich>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r>
                  <a:rPr lang="en-US"/>
                  <a:t>Aa</a:t>
                </a:r>
              </a:p>
            </c:rich>
          </c:tx>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54"/>
        <c:spPr>
          <a:solidFill>
            <a:schemeClr val="bg1">
              <a:lumMod val="85000"/>
            </a:schemeClr>
          </a:solidFill>
          <a:ln>
            <a:solidFill>
              <a:sysClr val="windowText" lastClr="000000"/>
            </a:solidFill>
          </a:ln>
          <a:effectLst/>
        </c:spPr>
        <c:dLbl>
          <c:idx val="0"/>
          <c:tx>
            <c:rich>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r>
                  <a:rPr lang="en-US"/>
                  <a:t>Aa</a:t>
                </a:r>
              </a:p>
            </c:rich>
          </c:tx>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55"/>
        <c:spPr>
          <a:solidFill>
            <a:schemeClr val="bg1">
              <a:lumMod val="85000"/>
            </a:schemeClr>
          </a:solidFill>
          <a:ln>
            <a:solidFill>
              <a:sysClr val="windowText" lastClr="000000"/>
            </a:solidFill>
          </a:ln>
          <a:effectLst/>
        </c:spPr>
        <c:dLbl>
          <c:idx val="0"/>
          <c:layout>
            <c:manualLayout>
              <c:x val="-1.198823512220986E-3"/>
              <c:y val="-0.11378056667750823"/>
            </c:manualLayout>
          </c:layout>
          <c:tx>
            <c:rich>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r>
                  <a:rPr lang="en-US"/>
                  <a:t>Aa</a:t>
                </a:r>
              </a:p>
            </c:rich>
          </c:tx>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15:layout>
                <c:manualLayout>
                  <c:w val="8.2877051182228267E-2"/>
                  <c:h val="0.21752333740826721"/>
                </c:manualLayout>
              </c15:layout>
            </c:ext>
          </c:extLst>
        </c:dLbl>
      </c:pivotFmt>
      <c:pivotFmt>
        <c:idx val="56"/>
        <c:spPr>
          <a:solidFill>
            <a:schemeClr val="bg1">
              <a:lumMod val="85000"/>
            </a:schemeClr>
          </a:solidFill>
          <a:ln>
            <a:solidFill>
              <a:sysClr val="windowText" lastClr="000000"/>
            </a:solidFill>
          </a:ln>
          <a:effectLst/>
        </c:spPr>
        <c:dLbl>
          <c:idx val="0"/>
          <c:tx>
            <c:rich>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r>
                  <a:rPr lang="en-US"/>
                  <a:t>Aa</a:t>
                </a:r>
              </a:p>
            </c:rich>
          </c:tx>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15:layout>
                <c:manualLayout>
                  <c:w val="7.757492386019918E-2"/>
                  <c:h val="0.18511602346264708"/>
                </c:manualLayout>
              </c15:layout>
            </c:ext>
          </c:extLst>
        </c:dLbl>
      </c:pivotFmt>
    </c:pivotFmts>
    <c:plotArea>
      <c:layout/>
      <c:barChart>
        <c:barDir val="col"/>
        <c:grouping val="clustered"/>
        <c:varyColors val="0"/>
        <c:ser>
          <c:idx val="0"/>
          <c:order val="0"/>
          <c:tx>
            <c:strRef>
              <c:f>SoyOnly2!$W$22:$W$23</c:f>
              <c:strCache>
                <c:ptCount val="1"/>
                <c:pt idx="0">
                  <c:v>CC</c:v>
                </c:pt>
              </c:strCache>
            </c:strRef>
          </c:tx>
          <c:spPr>
            <a:solidFill>
              <a:schemeClr val="bg1">
                <a:lumMod val="65000"/>
              </a:schemeClr>
            </a:solidFill>
            <a:ln>
              <a:solidFill>
                <a:sysClr val="windowText" lastClr="000000"/>
              </a:solidFill>
            </a:ln>
            <a:effectLst/>
          </c:spPr>
          <c:invertIfNegative val="0"/>
          <c:dLbls>
            <c:dLbl>
              <c:idx val="1"/>
              <c:layout>
                <c:manualLayout>
                  <c:x val="-2.4208532348539269E-17"/>
                  <c:y val="-9.7678174843529621E-3"/>
                </c:manualLayout>
              </c:layout>
              <c:tx>
                <c:rich>
                  <a:bodyPr/>
                  <a:lstStyle/>
                  <a:p>
                    <a:r>
                      <a:rPr lang="en-US"/>
                      <a:t>Aa</a:t>
                    </a:r>
                  </a:p>
                </c:rich>
              </c:tx>
              <c:dLblPos val="outEnd"/>
              <c:showLegendKey val="0"/>
              <c:showVal val="1"/>
              <c:showCatName val="0"/>
              <c:showSerName val="0"/>
              <c:showPercent val="0"/>
              <c:showBubbleSize val="0"/>
              <c:extLst>
                <c:ext xmlns:c15="http://schemas.microsoft.com/office/drawing/2012/chart" uri="{CE6537A1-D6FC-4f65-9D91-7224C49458BB}">
                  <c15:layout>
                    <c:manualLayout>
                      <c:w val="8.0225987521213724E-2"/>
                      <c:h val="0.18974537270691505"/>
                    </c:manualLayout>
                  </c15:layout>
                </c:ext>
                <c:ext xmlns:c16="http://schemas.microsoft.com/office/drawing/2014/chart" uri="{C3380CC4-5D6E-409C-BE32-E72D297353CC}">
                  <c16:uniqueId val="{00000000-2C13-4517-BF07-E6261FB2A368}"/>
                </c:ext>
              </c:extLst>
            </c:dLbl>
            <c:dLbl>
              <c:idx val="2"/>
              <c:tx>
                <c:rich>
                  <a:bodyPr/>
                  <a:lstStyle/>
                  <a:p>
                    <a:r>
                      <a:rPr lang="en-US"/>
                      <a:t>Aa</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C13-4517-BF07-E6261FB2A368}"/>
                </c:ext>
              </c:extLst>
            </c:dLbl>
            <c:dLbl>
              <c:idx val="3"/>
              <c:tx>
                <c:rich>
                  <a:bodyPr/>
                  <a:lstStyle/>
                  <a:p>
                    <a:r>
                      <a:rPr lang="en-US"/>
                      <a:t>Aa</a:t>
                    </a:r>
                  </a:p>
                </c:rich>
              </c:tx>
              <c:dLblPos val="outEnd"/>
              <c:showLegendKey val="0"/>
              <c:showVal val="1"/>
              <c:showCatName val="0"/>
              <c:showSerName val="0"/>
              <c:showPercent val="0"/>
              <c:showBubbleSize val="0"/>
              <c:extLst>
                <c:ext xmlns:c15="http://schemas.microsoft.com/office/drawing/2012/chart" uri="{CE6537A1-D6FC-4f65-9D91-7224C49458BB}">
                  <c15:layout>
                    <c:manualLayout>
                      <c:w val="7.2272796538170092E-2"/>
                      <c:h val="0.11104194938857299"/>
                    </c:manualLayout>
                  </c15:layout>
                </c:ext>
                <c:ext xmlns:c16="http://schemas.microsoft.com/office/drawing/2014/chart" uri="{C3380CC4-5D6E-409C-BE32-E72D297353CC}">
                  <c16:uniqueId val="{00000002-2C13-4517-BF07-E6261FB2A368}"/>
                </c:ext>
              </c:extLst>
            </c:dLbl>
            <c:dLbl>
              <c:idx val="4"/>
              <c:layout>
                <c:manualLayout>
                  <c:x val="-9.6834129394157077E-17"/>
                  <c:y val="-1.9536019536019536E-2"/>
                </c:manualLayout>
              </c:layout>
              <c:tx>
                <c:rich>
                  <a:bodyPr/>
                  <a:lstStyle/>
                  <a:p>
                    <a:endParaRPr lang="en-US"/>
                  </a:p>
                  <a:p>
                    <a:r>
                      <a:rPr lang="en-US"/>
                      <a:t>Aa</a:t>
                    </a:r>
                  </a:p>
                  <a:p>
                    <a:endParaRPr lang="en-US"/>
                  </a:p>
                  <a:p>
                    <a:endParaRPr lang="en-US"/>
                  </a:p>
                </c:rich>
              </c:tx>
              <c:dLblPos val="outEnd"/>
              <c:showLegendKey val="0"/>
              <c:showVal val="1"/>
              <c:showCatName val="0"/>
              <c:showSerName val="0"/>
              <c:showPercent val="0"/>
              <c:showBubbleSize val="0"/>
              <c:extLst>
                <c:ext xmlns:c15="http://schemas.microsoft.com/office/drawing/2012/chart" uri="{CE6537A1-D6FC-4f65-9D91-7224C49458BB}">
                  <c15:layout>
                    <c:manualLayout>
                      <c:w val="8.5528114843242811E-2"/>
                      <c:h val="0.19900481888974875"/>
                    </c:manualLayout>
                  </c15:layout>
                </c:ext>
                <c:ext xmlns:c16="http://schemas.microsoft.com/office/drawing/2014/chart" uri="{C3380CC4-5D6E-409C-BE32-E72D297353CC}">
                  <c16:uniqueId val="{00000003-2C13-4517-BF07-E6261FB2A368}"/>
                </c:ext>
              </c:extLst>
            </c:dLbl>
            <c:dLbl>
              <c:idx val="5"/>
              <c:tx>
                <c:rich>
                  <a:bodyPr/>
                  <a:lstStyle/>
                  <a:p>
                    <a:r>
                      <a:rPr lang="en-US"/>
                      <a:t>Aa</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C13-4517-BF07-E6261FB2A368}"/>
                </c:ext>
              </c:extLst>
            </c:dLbl>
            <c:dLbl>
              <c:idx val="6"/>
              <c:tx>
                <c:rich>
                  <a:bodyPr/>
                  <a:lstStyle/>
                  <a:p>
                    <a:r>
                      <a:rPr lang="en-US"/>
                      <a:t>Aa</a:t>
                    </a:r>
                  </a:p>
                </c:rich>
              </c:tx>
              <c:dLblPos val="outEnd"/>
              <c:showLegendKey val="0"/>
              <c:showVal val="1"/>
              <c:showCatName val="0"/>
              <c:showSerName val="0"/>
              <c:showPercent val="0"/>
              <c:showBubbleSize val="0"/>
              <c:extLst>
                <c:ext xmlns:c15="http://schemas.microsoft.com/office/drawing/2012/chart" uri="{CE6537A1-D6FC-4f65-9D91-7224C49458BB}">
                  <c15:layout>
                    <c:manualLayout>
                      <c:w val="9.6132369487300973E-2"/>
                      <c:h val="0.11567129863284098"/>
                    </c:manualLayout>
                  </c15:layout>
                </c:ext>
                <c:ext xmlns:c16="http://schemas.microsoft.com/office/drawing/2014/chart" uri="{C3380CC4-5D6E-409C-BE32-E72D297353CC}">
                  <c16:uniqueId val="{00000005-2C13-4517-BF07-E6261FB2A368}"/>
                </c:ext>
              </c:extLst>
            </c:dLbl>
            <c:dLbl>
              <c:idx val="7"/>
              <c:tx>
                <c:rich>
                  <a:bodyPr/>
                  <a:lstStyle/>
                  <a:p>
                    <a:r>
                      <a:rPr lang="en-US"/>
                      <a:t>Aa</a:t>
                    </a:r>
                  </a:p>
                  <a:p>
                    <a:endParaRPr lang="en-US"/>
                  </a:p>
                  <a:p>
                    <a:endParaRPr lang="en-US"/>
                  </a:p>
                </c:rich>
              </c:tx>
              <c:dLblPos val="outEnd"/>
              <c:showLegendKey val="0"/>
              <c:showVal val="1"/>
              <c:showCatName val="0"/>
              <c:showSerName val="0"/>
              <c:showPercent val="0"/>
              <c:showBubbleSize val="0"/>
              <c:extLst>
                <c:ext xmlns:c15="http://schemas.microsoft.com/office/drawing/2012/chart" uri="{CE6537A1-D6FC-4f65-9D91-7224C49458BB}">
                  <c15:layout>
                    <c:manualLayout>
                      <c:w val="8.0225958154279964E-2"/>
                      <c:h val="0.36205935796486971"/>
                    </c:manualLayout>
                  </c15:layout>
                </c:ext>
                <c:ext xmlns:c16="http://schemas.microsoft.com/office/drawing/2014/chart" uri="{C3380CC4-5D6E-409C-BE32-E72D297353CC}">
                  <c16:uniqueId val="{00000006-2C13-4517-BF07-E6261FB2A368}"/>
                </c:ext>
              </c:extLst>
            </c:dLbl>
            <c:dLbl>
              <c:idx val="8"/>
              <c:tx>
                <c:rich>
                  <a:bodyPr/>
                  <a:lstStyle/>
                  <a:p>
                    <a:r>
                      <a:rPr lang="en-US"/>
                      <a:t>Aa</a:t>
                    </a:r>
                  </a:p>
                  <a:p>
                    <a:endParaRPr lang="en-US"/>
                  </a:p>
                </c:rich>
              </c:tx>
              <c:dLblPos val="outEnd"/>
              <c:showLegendKey val="0"/>
              <c:showVal val="1"/>
              <c:showCatName val="0"/>
              <c:showSerName val="0"/>
              <c:showPercent val="0"/>
              <c:showBubbleSize val="0"/>
              <c:extLst>
                <c:ext xmlns:c15="http://schemas.microsoft.com/office/drawing/2012/chart" uri="{CE6537A1-D6FC-4f65-9D91-7224C49458BB}">
                  <c15:layout>
                    <c:manualLayout>
                      <c:w val="6.9621732877155548E-2"/>
                      <c:h val="0.24993065135388745"/>
                    </c:manualLayout>
                  </c15:layout>
                </c:ext>
                <c:ext xmlns:c16="http://schemas.microsoft.com/office/drawing/2014/chart" uri="{C3380CC4-5D6E-409C-BE32-E72D297353CC}">
                  <c16:uniqueId val="{00000007-2C13-4517-BF07-E6261FB2A368}"/>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SoyOnly2!$AD$24:$AD$32</c:f>
                <c:numCache>
                  <c:formatCode>General</c:formatCode>
                  <c:ptCount val="9"/>
                  <c:pt idx="1">
                    <c:v>2.1795353406323348</c:v>
                  </c:pt>
                  <c:pt idx="2">
                    <c:v>0.15422182035785012</c:v>
                  </c:pt>
                  <c:pt idx="3">
                    <c:v>1.1431060069783705</c:v>
                  </c:pt>
                  <c:pt idx="4">
                    <c:v>2.5374922774060256</c:v>
                  </c:pt>
                  <c:pt idx="5">
                    <c:v>0.25376745015070856</c:v>
                  </c:pt>
                  <c:pt idx="6">
                    <c:v>1.2582039557437352</c:v>
                  </c:pt>
                  <c:pt idx="7">
                    <c:v>4.7277174332708629</c:v>
                  </c:pt>
                  <c:pt idx="8">
                    <c:v>2.9866134864431242</c:v>
                  </c:pt>
                </c:numCache>
              </c:numRef>
            </c:plus>
            <c:minus>
              <c:numRef>
                <c:f>SoyOnly2!$AD$24:$AD$32</c:f>
                <c:numCache>
                  <c:formatCode>General</c:formatCode>
                  <c:ptCount val="9"/>
                  <c:pt idx="1">
                    <c:v>2.1795353406323348</c:v>
                  </c:pt>
                  <c:pt idx="2">
                    <c:v>0.15422182035785012</c:v>
                  </c:pt>
                  <c:pt idx="3">
                    <c:v>1.1431060069783705</c:v>
                  </c:pt>
                  <c:pt idx="4">
                    <c:v>2.5374922774060256</c:v>
                  </c:pt>
                  <c:pt idx="5">
                    <c:v>0.25376745015070856</c:v>
                  </c:pt>
                  <c:pt idx="6">
                    <c:v>1.2582039557437352</c:v>
                  </c:pt>
                  <c:pt idx="7">
                    <c:v>4.7277174332708629</c:v>
                  </c:pt>
                  <c:pt idx="8">
                    <c:v>2.9866134864431242</c:v>
                  </c:pt>
                </c:numCache>
              </c:numRef>
            </c:minus>
            <c:spPr>
              <a:noFill/>
              <a:ln w="9525" cap="flat" cmpd="sng" algn="ctr">
                <a:solidFill>
                  <a:schemeClr val="tx1">
                    <a:lumMod val="65000"/>
                    <a:lumOff val="35000"/>
                  </a:schemeClr>
                </a:solidFill>
                <a:round/>
              </a:ln>
              <a:effectLst/>
            </c:spPr>
          </c:errBars>
          <c:cat>
            <c:multiLvlStrRef>
              <c:f>SoyOnly2!$AD$24:$AD$32</c:f>
              <c:multiLvlStrCache>
                <c:ptCount val="9"/>
                <c:lvl>
                  <c:pt idx="0">
                    <c:v> </c:v>
                  </c:pt>
                  <c:pt idx="1">
                    <c:v>CP</c:v>
                  </c:pt>
                  <c:pt idx="2">
                    <c:v>NT</c:v>
                  </c:pt>
                  <c:pt idx="3">
                    <c:v>CP</c:v>
                  </c:pt>
                  <c:pt idx="4">
                    <c:v>NT</c:v>
                  </c:pt>
                  <c:pt idx="5">
                    <c:v>CP</c:v>
                  </c:pt>
                  <c:pt idx="6">
                    <c:v>NT</c:v>
                  </c:pt>
                  <c:pt idx="7">
                    <c:v>CP</c:v>
                  </c:pt>
                  <c:pt idx="8">
                    <c:v>NT</c:v>
                  </c:pt>
                </c:lvl>
                <c:lvl>
                  <c:pt idx="0">
                    <c:v>Fall</c:v>
                  </c:pt>
                  <c:pt idx="1">
                    <c:v>Spring</c:v>
                  </c:pt>
                  <c:pt idx="3">
                    <c:v>Fall</c:v>
                  </c:pt>
                  <c:pt idx="5">
                    <c:v>Spring</c:v>
                  </c:pt>
                  <c:pt idx="7">
                    <c:v>Fall</c:v>
                  </c:pt>
                </c:lvl>
                <c:lvl>
                  <c:pt idx="0">
                    <c:v>2017</c:v>
                  </c:pt>
                  <c:pt idx="1">
                    <c:v>2018</c:v>
                  </c:pt>
                  <c:pt idx="5">
                    <c:v>2019</c:v>
                  </c:pt>
                </c:lvl>
              </c:multiLvlStrCache>
            </c:multiLvlStrRef>
          </c:cat>
          <c:val>
            <c:numRef>
              <c:f>SoyOnly2!$AD$24:$AD$32</c:f>
              <c:numCache>
                <c:formatCode>General</c:formatCode>
                <c:ptCount val="9"/>
                <c:pt idx="1">
                  <c:v>4.5106122099530319</c:v>
                </c:pt>
                <c:pt idx="2">
                  <c:v>1.6337030646458561</c:v>
                </c:pt>
                <c:pt idx="3">
                  <c:v>6.5494476098580092</c:v>
                </c:pt>
                <c:pt idx="4">
                  <c:v>5.7815383260162276</c:v>
                </c:pt>
                <c:pt idx="5">
                  <c:v>2.7826783532294921</c:v>
                </c:pt>
                <c:pt idx="6">
                  <c:v>3.3497402803604293</c:v>
                </c:pt>
                <c:pt idx="7">
                  <c:v>8.6508303006937677</c:v>
                </c:pt>
                <c:pt idx="8">
                  <c:v>10.116833040013491</c:v>
                </c:pt>
              </c:numCache>
            </c:numRef>
          </c:val>
          <c:extLst>
            <c:ext xmlns:c16="http://schemas.microsoft.com/office/drawing/2014/chart" uri="{C3380CC4-5D6E-409C-BE32-E72D297353CC}">
              <c16:uniqueId val="{00000008-2C13-4517-BF07-E6261FB2A368}"/>
            </c:ext>
          </c:extLst>
        </c:ser>
        <c:ser>
          <c:idx val="1"/>
          <c:order val="1"/>
          <c:tx>
            <c:strRef>
              <c:f>SoyOnly2!$X$22:$X$23</c:f>
              <c:strCache>
                <c:ptCount val="1"/>
                <c:pt idx="0">
                  <c:v>NC</c:v>
                </c:pt>
              </c:strCache>
            </c:strRef>
          </c:tx>
          <c:spPr>
            <a:solidFill>
              <a:schemeClr val="bg1">
                <a:lumMod val="85000"/>
              </a:schemeClr>
            </a:solidFill>
            <a:ln>
              <a:solidFill>
                <a:sysClr val="windowText" lastClr="000000"/>
              </a:solid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9-2C13-4517-BF07-E6261FB2A368}"/>
                </c:ext>
              </c:extLst>
            </c:dLbl>
            <c:dLbl>
              <c:idx val="1"/>
              <c:tx>
                <c:rich>
                  <a:bodyPr/>
                  <a:lstStyle/>
                  <a:p>
                    <a:r>
                      <a:rPr lang="en-US"/>
                      <a:t>Aa</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2C13-4517-BF07-E6261FB2A368}"/>
                </c:ext>
              </c:extLst>
            </c:dLbl>
            <c:dLbl>
              <c:idx val="2"/>
              <c:layout>
                <c:manualLayout>
                  <c:x val="0"/>
                  <c:y val="-1.9536019536019536E-2"/>
                </c:manualLayout>
              </c:layout>
              <c:tx>
                <c:rich>
                  <a:bodyPr/>
                  <a:lstStyle/>
                  <a:p>
                    <a:r>
                      <a:rPr lang="en-US"/>
                      <a:t>Aa</a:t>
                    </a:r>
                  </a:p>
                </c:rich>
              </c:tx>
              <c:dLblPos val="outEnd"/>
              <c:showLegendKey val="0"/>
              <c:showVal val="1"/>
              <c:showCatName val="0"/>
              <c:showSerName val="0"/>
              <c:showPercent val="0"/>
              <c:showBubbleSize val="0"/>
              <c:extLst>
                <c:ext xmlns:c15="http://schemas.microsoft.com/office/drawing/2012/chart" uri="{CE6537A1-D6FC-4f65-9D91-7224C49458BB}">
                  <c15:layout>
                    <c:manualLayout>
                      <c:w val="7.7575015258309926E-2"/>
                      <c:h val="0.11027890744426178"/>
                    </c:manualLayout>
                  </c15:layout>
                </c:ext>
                <c:ext xmlns:c16="http://schemas.microsoft.com/office/drawing/2014/chart" uri="{C3380CC4-5D6E-409C-BE32-E72D297353CC}">
                  <c16:uniqueId val="{0000000B-2C13-4517-BF07-E6261FB2A368}"/>
                </c:ext>
              </c:extLst>
            </c:dLbl>
            <c:dLbl>
              <c:idx val="3"/>
              <c:layout>
                <c:manualLayout>
                  <c:x val="1.039748547695513E-7"/>
                  <c:y val="-2.9304029304029304E-2"/>
                </c:manualLayout>
              </c:layout>
              <c:tx>
                <c:rich>
                  <a:bodyPr/>
                  <a:lstStyle/>
                  <a:p>
                    <a:r>
                      <a:rPr lang="en-US"/>
                      <a:t>Aa</a:t>
                    </a:r>
                  </a:p>
                </c:rich>
              </c:tx>
              <c:dLblPos val="outEnd"/>
              <c:showLegendKey val="0"/>
              <c:showVal val="1"/>
              <c:showCatName val="0"/>
              <c:showSerName val="0"/>
              <c:showPercent val="0"/>
              <c:showBubbleSize val="0"/>
              <c:extLst>
                <c:ext xmlns:c15="http://schemas.microsoft.com/office/drawing/2012/chart" uri="{CE6537A1-D6FC-4f65-9D91-7224C49458BB}">
                  <c15:layout>
                    <c:manualLayout>
                      <c:w val="6.9743005351585757E-2"/>
                      <c:h val="0.11877476853854807"/>
                    </c:manualLayout>
                  </c15:layout>
                </c:ext>
                <c:ext xmlns:c16="http://schemas.microsoft.com/office/drawing/2014/chart" uri="{C3380CC4-5D6E-409C-BE32-E72D297353CC}">
                  <c16:uniqueId val="{0000000C-2C13-4517-BF07-E6261FB2A368}"/>
                </c:ext>
              </c:extLst>
            </c:dLbl>
            <c:dLbl>
              <c:idx val="4"/>
              <c:layout>
                <c:manualLayout>
                  <c:x val="-1.320480654958405E-3"/>
                  <c:y val="-5.1282243565708131E-2"/>
                </c:manualLayout>
              </c:layout>
              <c:tx>
                <c:rich>
                  <a:bodyPr/>
                  <a:lstStyle/>
                  <a:p>
                    <a:r>
                      <a:rPr lang="en-US"/>
                      <a:t>Aa</a:t>
                    </a:r>
                  </a:p>
                  <a:p>
                    <a:endParaRPr lang="en-US"/>
                  </a:p>
                </c:rich>
              </c:tx>
              <c:dLblPos val="outEnd"/>
              <c:showLegendKey val="0"/>
              <c:showVal val="1"/>
              <c:showCatName val="0"/>
              <c:showSerName val="0"/>
              <c:showPercent val="0"/>
              <c:showBubbleSize val="0"/>
              <c:extLst>
                <c:ext xmlns:c15="http://schemas.microsoft.com/office/drawing/2012/chart" uri="{CE6537A1-D6FC-4f65-9D91-7224C49458BB}">
                  <c15:layout>
                    <c:manualLayout>
                      <c:w val="8.0276489933674436E-2"/>
                      <c:h val="0.17463547825752548"/>
                    </c:manualLayout>
                  </c15:layout>
                </c:ext>
                <c:ext xmlns:c16="http://schemas.microsoft.com/office/drawing/2014/chart" uri="{C3380CC4-5D6E-409C-BE32-E72D297353CC}">
                  <c16:uniqueId val="{0000000D-2C13-4517-BF07-E6261FB2A368}"/>
                </c:ext>
              </c:extLst>
            </c:dLbl>
            <c:dLbl>
              <c:idx val="5"/>
              <c:tx>
                <c:rich>
                  <a:bodyPr/>
                  <a:lstStyle/>
                  <a:p>
                    <a:r>
                      <a:rPr lang="en-US"/>
                      <a:t>Aa</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2C13-4517-BF07-E6261FB2A368}"/>
                </c:ext>
              </c:extLst>
            </c:dLbl>
            <c:dLbl>
              <c:idx val="6"/>
              <c:tx>
                <c:rich>
                  <a:bodyPr/>
                  <a:lstStyle/>
                  <a:p>
                    <a:r>
                      <a:rPr lang="en-US"/>
                      <a:t>Aa</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2C13-4517-BF07-E6261FB2A368}"/>
                </c:ext>
              </c:extLst>
            </c:dLbl>
            <c:dLbl>
              <c:idx val="7"/>
              <c:layout>
                <c:manualLayout>
                  <c:x val="-1.1986221252254293E-3"/>
                  <c:y val="-0.14331708536432947"/>
                </c:manualLayout>
              </c:layout>
              <c:tx>
                <c:rich>
                  <a:bodyPr/>
                  <a:lstStyle/>
                  <a:p>
                    <a:r>
                      <a:rPr lang="en-US"/>
                      <a:t>Aa</a:t>
                    </a:r>
                  </a:p>
                  <a:p>
                    <a:endParaRPr lang="en-US"/>
                  </a:p>
                  <a:p>
                    <a:endParaRPr lang="en-US"/>
                  </a:p>
                </c:rich>
              </c:tx>
              <c:dLblPos val="outEnd"/>
              <c:showLegendKey val="0"/>
              <c:showVal val="1"/>
              <c:showCatName val="0"/>
              <c:showSerName val="0"/>
              <c:showPercent val="0"/>
              <c:showBubbleSize val="0"/>
              <c:extLst>
                <c:ext xmlns:c15="http://schemas.microsoft.com/office/drawing/2012/chart" uri="{CE6537A1-D6FC-4f65-9D91-7224C49458BB}">
                  <c15:layout>
                    <c:manualLayout>
                      <c:w val="8.2877108999959453E-2"/>
                      <c:h val="0.16379914049205388"/>
                    </c:manualLayout>
                  </c15:layout>
                </c:ext>
                <c:ext xmlns:c16="http://schemas.microsoft.com/office/drawing/2014/chart" uri="{C3380CC4-5D6E-409C-BE32-E72D297353CC}">
                  <c16:uniqueId val="{00000010-2C13-4517-BF07-E6261FB2A368}"/>
                </c:ext>
              </c:extLst>
            </c:dLbl>
            <c:dLbl>
              <c:idx val="8"/>
              <c:tx>
                <c:rich>
                  <a:bodyPr/>
                  <a:lstStyle/>
                  <a:p>
                    <a:r>
                      <a:rPr lang="en-US"/>
                      <a:t>Aa</a:t>
                    </a:r>
                  </a:p>
                </c:rich>
              </c:tx>
              <c:dLblPos val="outEnd"/>
              <c:showLegendKey val="0"/>
              <c:showVal val="1"/>
              <c:showCatName val="0"/>
              <c:showSerName val="0"/>
              <c:showPercent val="0"/>
              <c:showBubbleSize val="0"/>
              <c:extLst>
                <c:ext xmlns:c15="http://schemas.microsoft.com/office/drawing/2012/chart" uri="{CE6537A1-D6FC-4f65-9D91-7224C49458BB}">
                  <c15:layout>
                    <c:manualLayout>
                      <c:w val="7.757492386019918E-2"/>
                      <c:h val="0.18511602346264708"/>
                    </c:manualLayout>
                  </c15:layout>
                </c:ext>
                <c:ext xmlns:c16="http://schemas.microsoft.com/office/drawing/2014/chart" uri="{C3380CC4-5D6E-409C-BE32-E72D297353CC}">
                  <c16:uniqueId val="{00000011-2C13-4517-BF07-E6261FB2A368}"/>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SoyOnly2!$AG$24:$AG$32</c:f>
                <c:numCache>
                  <c:formatCode>General</c:formatCode>
                  <c:ptCount val="9"/>
                  <c:pt idx="0">
                    <c:v>0.19154658415374126</c:v>
                  </c:pt>
                  <c:pt idx="1">
                    <c:v>0.30424421298698479</c:v>
                  </c:pt>
                  <c:pt idx="2">
                    <c:v>1.4899993256444055</c:v>
                  </c:pt>
                  <c:pt idx="3">
                    <c:v>1.8222108686498777</c:v>
                  </c:pt>
                  <c:pt idx="4">
                    <c:v>3.5932515463148627</c:v>
                  </c:pt>
                  <c:pt idx="5">
                    <c:v>0.31290919639849946</c:v>
                  </c:pt>
                  <c:pt idx="6">
                    <c:v>0.52555804108619864</c:v>
                  </c:pt>
                  <c:pt idx="7">
                    <c:v>5.5728774851922038</c:v>
                  </c:pt>
                  <c:pt idx="8">
                    <c:v>1.8748683380968119</c:v>
                  </c:pt>
                </c:numCache>
              </c:numRef>
            </c:plus>
            <c:minus>
              <c:numRef>
                <c:f>SoyOnly2!$AG$24:$AG$32</c:f>
                <c:numCache>
                  <c:formatCode>General</c:formatCode>
                  <c:ptCount val="9"/>
                  <c:pt idx="0">
                    <c:v>0.19154658415374126</c:v>
                  </c:pt>
                  <c:pt idx="1">
                    <c:v>0.30424421298698479</c:v>
                  </c:pt>
                  <c:pt idx="2">
                    <c:v>1.4899993256444055</c:v>
                  </c:pt>
                  <c:pt idx="3">
                    <c:v>1.8222108686498777</c:v>
                  </c:pt>
                  <c:pt idx="4">
                    <c:v>3.5932515463148627</c:v>
                  </c:pt>
                  <c:pt idx="5">
                    <c:v>0.31290919639849946</c:v>
                  </c:pt>
                  <c:pt idx="6">
                    <c:v>0.52555804108619864</c:v>
                  </c:pt>
                  <c:pt idx="7">
                    <c:v>5.5728774851922038</c:v>
                  </c:pt>
                  <c:pt idx="8">
                    <c:v>1.8748683380968119</c:v>
                  </c:pt>
                </c:numCache>
              </c:numRef>
            </c:minus>
            <c:spPr>
              <a:noFill/>
              <a:ln w="9525" cap="flat" cmpd="sng" algn="ctr">
                <a:solidFill>
                  <a:schemeClr val="tx1">
                    <a:lumMod val="65000"/>
                    <a:lumOff val="35000"/>
                  </a:schemeClr>
                </a:solidFill>
                <a:round/>
              </a:ln>
              <a:effectLst/>
            </c:spPr>
          </c:errBars>
          <c:cat>
            <c:multiLvlStrRef>
              <c:f>SoyOnly2!$AD$24:$AD$32</c:f>
              <c:multiLvlStrCache>
                <c:ptCount val="9"/>
                <c:lvl>
                  <c:pt idx="0">
                    <c:v> </c:v>
                  </c:pt>
                  <c:pt idx="1">
                    <c:v>CP</c:v>
                  </c:pt>
                  <c:pt idx="2">
                    <c:v>NT</c:v>
                  </c:pt>
                  <c:pt idx="3">
                    <c:v>CP</c:v>
                  </c:pt>
                  <c:pt idx="4">
                    <c:v>NT</c:v>
                  </c:pt>
                  <c:pt idx="5">
                    <c:v>CP</c:v>
                  </c:pt>
                  <c:pt idx="6">
                    <c:v>NT</c:v>
                  </c:pt>
                  <c:pt idx="7">
                    <c:v>CP</c:v>
                  </c:pt>
                  <c:pt idx="8">
                    <c:v>NT</c:v>
                  </c:pt>
                </c:lvl>
                <c:lvl>
                  <c:pt idx="0">
                    <c:v>Fall</c:v>
                  </c:pt>
                  <c:pt idx="1">
                    <c:v>Spring</c:v>
                  </c:pt>
                  <c:pt idx="3">
                    <c:v>Fall</c:v>
                  </c:pt>
                  <c:pt idx="5">
                    <c:v>Spring</c:v>
                  </c:pt>
                  <c:pt idx="7">
                    <c:v>Fall</c:v>
                  </c:pt>
                </c:lvl>
                <c:lvl>
                  <c:pt idx="0">
                    <c:v>2017</c:v>
                  </c:pt>
                  <c:pt idx="1">
                    <c:v>2018</c:v>
                  </c:pt>
                  <c:pt idx="5">
                    <c:v>2019</c:v>
                  </c:pt>
                </c:lvl>
              </c:multiLvlStrCache>
            </c:multiLvlStrRef>
          </c:cat>
          <c:val>
            <c:numRef>
              <c:f>SoyOnly2!$AD$24:$AD$32</c:f>
              <c:numCache>
                <c:formatCode>General</c:formatCode>
                <c:ptCount val="9"/>
                <c:pt idx="0">
                  <c:v>1.5360833333333346</c:v>
                </c:pt>
                <c:pt idx="1">
                  <c:v>1.1874676582428996</c:v>
                </c:pt>
                <c:pt idx="2">
                  <c:v>3.2209223552051909</c:v>
                </c:pt>
                <c:pt idx="3">
                  <c:v>3.5523651482997405</c:v>
                </c:pt>
                <c:pt idx="4">
                  <c:v>8.275624255658256</c:v>
                </c:pt>
                <c:pt idx="5">
                  <c:v>1.7958169843937917</c:v>
                </c:pt>
                <c:pt idx="6">
                  <c:v>2.5265894813048573</c:v>
                </c:pt>
                <c:pt idx="7">
                  <c:v>9.4684143617553307</c:v>
                </c:pt>
                <c:pt idx="8">
                  <c:v>7.9783221370842412</c:v>
                </c:pt>
              </c:numCache>
            </c:numRef>
          </c:val>
          <c:extLst>
            <c:ext xmlns:c16="http://schemas.microsoft.com/office/drawing/2014/chart" uri="{C3380CC4-5D6E-409C-BE32-E72D297353CC}">
              <c16:uniqueId val="{00000012-2C13-4517-BF07-E6261FB2A368}"/>
            </c:ext>
          </c:extLst>
        </c:ser>
        <c:dLbls>
          <c:dLblPos val="outEnd"/>
          <c:showLegendKey val="0"/>
          <c:showVal val="1"/>
          <c:showCatName val="0"/>
          <c:showSerName val="0"/>
          <c:showPercent val="0"/>
          <c:showBubbleSize val="0"/>
        </c:dLbls>
        <c:gapWidth val="100"/>
        <c:axId val="676016584"/>
        <c:axId val="676017224"/>
      </c:barChart>
      <c:catAx>
        <c:axId val="6760165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76017224"/>
        <c:crosses val="autoZero"/>
        <c:auto val="1"/>
        <c:lblAlgn val="ctr"/>
        <c:lblOffset val="100"/>
        <c:noMultiLvlLbl val="0"/>
      </c:catAx>
      <c:valAx>
        <c:axId val="676017224"/>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 of Fraction</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in"/>
        <c:minorTickMark val="none"/>
        <c:tickLblPos val="nextTo"/>
        <c:spPr>
          <a:noFill/>
          <a:ln>
            <a:solidFill>
              <a:schemeClr val="bg1">
                <a:lumMod val="85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7601658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pivotOptions>
    </c:ext>
    <c:ext xmlns:c16="http://schemas.microsoft.com/office/drawing/2014/chart" uri="{E28EC0CA-F0BB-4C9C-879D-F8772B89E7AC}">
      <c16:pivotOptions16>
        <c16:showExpandCollapseFieldButtons val="1"/>
      </c16:pivotOptions16>
    </c:ext>
  </c:extLst>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[Master File_SAS.xlsx]SoyOnly2!PivotTable32</c:name>
    <c:fmtId val="-1"/>
  </c:pivotSource>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2-mm Aggregates</a:t>
            </a:r>
          </a:p>
        </c:rich>
      </c:tx>
      <c:overlay val="1"/>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ivotFmts>
      <c:pivotFmt>
        <c:idx val="0"/>
        <c:spPr>
          <a:solidFill>
            <a:schemeClr val="bg1">
              <a:lumMod val="65000"/>
            </a:schemeClr>
          </a:solidFill>
          <a:ln>
            <a:solidFill>
              <a:sysClr val="windowText" lastClr="000000"/>
            </a:solidFill>
          </a:ln>
          <a:effectLst/>
        </c:spPr>
        <c:marker>
          <c:symbol val="none"/>
        </c:marker>
        <c:dLbl>
          <c:idx val="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bg1">
              <a:lumMod val="85000"/>
            </a:schemeClr>
          </a:solidFill>
          <a:ln>
            <a:solidFill>
              <a:sysClr val="windowText" lastClr="000000"/>
            </a:solidFill>
          </a:ln>
          <a:effectLst/>
        </c:spPr>
        <c:marker>
          <c:symbol val="none"/>
        </c:marker>
        <c:dLbl>
          <c:idx val="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bg1">
              <a:lumMod val="85000"/>
            </a:schemeClr>
          </a:solidFill>
          <a:ln>
            <a:solidFill>
              <a:sysClr val="windowText" lastClr="000000"/>
            </a:solidFill>
          </a:ln>
          <a:effectLst/>
        </c:spPr>
        <c:dLbl>
          <c:idx val="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bg1">
              <a:lumMod val="65000"/>
            </a:schemeClr>
          </a:solidFill>
          <a:ln>
            <a:solidFill>
              <a:sysClr val="windowText" lastClr="000000"/>
            </a:solidFill>
          </a:ln>
          <a:effectLst/>
        </c:spPr>
        <c:dLbl>
          <c:idx val="0"/>
          <c:tx>
            <c:rich>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r>
                  <a:rPr lang="en-US"/>
                  <a:t>Aa</a:t>
                </a:r>
              </a:p>
            </c:rich>
          </c:tx>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15:layout>
                <c:manualLayout>
                  <c:w val="9.3032151979963826E-2"/>
                  <c:h val="0.13823938114815232"/>
                </c:manualLayout>
              </c15:layout>
            </c:ext>
          </c:extLst>
        </c:dLbl>
      </c:pivotFmt>
      <c:pivotFmt>
        <c:idx val="4"/>
        <c:spPr>
          <a:solidFill>
            <a:schemeClr val="bg1">
              <a:lumMod val="85000"/>
            </a:schemeClr>
          </a:solidFill>
          <a:ln>
            <a:solidFill>
              <a:sysClr val="windowText" lastClr="000000"/>
            </a:solidFill>
          </a:ln>
          <a:effectLst/>
        </c:spPr>
        <c:dLbl>
          <c:idx val="0"/>
          <c:tx>
            <c:rich>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r>
                  <a:rPr lang="en-US"/>
                  <a:t>Aa</a:t>
                </a:r>
              </a:p>
            </c:rich>
          </c:tx>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5"/>
        <c:spPr>
          <a:solidFill>
            <a:schemeClr val="bg1">
              <a:lumMod val="85000"/>
            </a:schemeClr>
          </a:solidFill>
          <a:ln>
            <a:solidFill>
              <a:sysClr val="windowText" lastClr="000000"/>
            </a:solidFill>
          </a:ln>
          <a:effectLst/>
        </c:spPr>
        <c:dLbl>
          <c:idx val="0"/>
          <c:tx>
            <c:rich>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r>
                  <a:rPr lang="en-US"/>
                  <a:t>Aa</a:t>
                </a:r>
              </a:p>
            </c:rich>
          </c:tx>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15:layout>
                <c:manualLayout>
                  <c:w val="7.0810556745008732E-2"/>
                  <c:h val="0.10596738780562483"/>
                </c:manualLayout>
              </c15:layout>
            </c:ext>
          </c:extLst>
        </c:dLbl>
      </c:pivotFmt>
      <c:pivotFmt>
        <c:idx val="6"/>
        <c:spPr>
          <a:solidFill>
            <a:schemeClr val="bg1">
              <a:lumMod val="65000"/>
            </a:schemeClr>
          </a:solidFill>
          <a:ln>
            <a:solidFill>
              <a:sysClr val="windowText" lastClr="000000"/>
            </a:solidFill>
          </a:ln>
          <a:effectLst/>
        </c:spPr>
        <c:dLbl>
          <c:idx val="0"/>
          <c:tx>
            <c:rich>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r>
                  <a:rPr lang="en-US"/>
                  <a:t>Aa</a:t>
                </a:r>
              </a:p>
            </c:rich>
          </c:tx>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15:layout>
                <c:manualLayout>
                  <c:w val="9.0254452575594432E-2"/>
                  <c:h val="9.6746818279188393E-2"/>
                </c:manualLayout>
              </c15:layout>
            </c:ext>
          </c:extLst>
        </c:dLbl>
      </c:pivotFmt>
      <c:pivotFmt>
        <c:idx val="7"/>
        <c:spPr>
          <a:solidFill>
            <a:schemeClr val="bg1">
              <a:lumMod val="65000"/>
            </a:schemeClr>
          </a:solidFill>
          <a:ln>
            <a:solidFill>
              <a:sysClr val="windowText" lastClr="000000"/>
            </a:solidFill>
          </a:ln>
          <a:effectLst/>
        </c:spPr>
        <c:dLbl>
          <c:idx val="0"/>
          <c:tx>
            <c:rich>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r>
                  <a:rPr lang="en-US"/>
                  <a:t>Aa</a:t>
                </a:r>
              </a:p>
            </c:rich>
          </c:tx>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15:layout>
                <c:manualLayout>
                  <c:w val="9.0254452575594432E-2"/>
                  <c:h val="0.13823938114815232"/>
                </c:manualLayout>
              </c15:layout>
            </c:ext>
          </c:extLst>
        </c:dLbl>
      </c:pivotFmt>
      <c:pivotFmt>
        <c:idx val="8"/>
        <c:spPr>
          <a:solidFill>
            <a:schemeClr val="bg1">
              <a:lumMod val="85000"/>
            </a:schemeClr>
          </a:solidFill>
          <a:ln>
            <a:solidFill>
              <a:sysClr val="windowText" lastClr="000000"/>
            </a:solidFill>
          </a:ln>
          <a:effectLst/>
        </c:spPr>
        <c:dLbl>
          <c:idx val="0"/>
          <c:tx>
            <c:rich>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r>
                  <a:rPr lang="en-US"/>
                  <a:t>Aa</a:t>
                </a:r>
              </a:p>
            </c:rich>
          </c:tx>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9"/>
        <c:spPr>
          <a:solidFill>
            <a:schemeClr val="bg1">
              <a:lumMod val="85000"/>
            </a:schemeClr>
          </a:solidFill>
          <a:ln>
            <a:solidFill>
              <a:sysClr val="windowText" lastClr="000000"/>
            </a:solidFill>
          </a:ln>
          <a:effectLst/>
        </c:spPr>
        <c:dLbl>
          <c:idx val="0"/>
          <c:tx>
            <c:rich>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r>
                  <a:rPr lang="en-US"/>
                  <a:t>Aa</a:t>
                </a:r>
              </a:p>
            </c:rich>
          </c:tx>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15:layout>
                <c:manualLayout>
                  <c:w val="8.4699053766855659E-2"/>
                  <c:h val="0.14745995067458875"/>
                </c:manualLayout>
              </c15:layout>
            </c:ext>
          </c:extLst>
        </c:dLbl>
      </c:pivotFmt>
      <c:pivotFmt>
        <c:idx val="10"/>
        <c:spPr>
          <a:solidFill>
            <a:schemeClr val="bg1">
              <a:lumMod val="65000"/>
            </a:schemeClr>
          </a:solidFill>
          <a:ln>
            <a:solidFill>
              <a:sysClr val="windowText" lastClr="000000"/>
            </a:solidFill>
          </a:ln>
          <a:effectLst/>
        </c:spPr>
        <c:dLbl>
          <c:idx val="0"/>
          <c:tx>
            <c:rich>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r>
                  <a:rPr lang="en-US"/>
                  <a:t>Aa</a:t>
                </a:r>
              </a:p>
            </c:rich>
          </c:tx>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1"/>
        <c:spPr>
          <a:solidFill>
            <a:schemeClr val="bg1">
              <a:lumMod val="65000"/>
            </a:schemeClr>
          </a:solidFill>
          <a:ln>
            <a:solidFill>
              <a:sysClr val="windowText" lastClr="000000"/>
            </a:solidFill>
          </a:ln>
          <a:effectLst/>
        </c:spPr>
        <c:dLbl>
          <c:idx val="0"/>
          <c:tx>
            <c:rich>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r>
                  <a:rPr lang="en-US"/>
                  <a:t>Aa</a:t>
                </a:r>
              </a:p>
            </c:rich>
          </c:tx>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15:layout>
                <c:manualLayout>
                  <c:w val="7.6365955553747492E-2"/>
                  <c:h val="9.6746818279188393E-2"/>
                </c:manualLayout>
              </c15:layout>
            </c:ext>
          </c:extLst>
        </c:dLbl>
      </c:pivotFmt>
      <c:pivotFmt>
        <c:idx val="12"/>
        <c:spPr>
          <a:solidFill>
            <a:schemeClr val="bg1">
              <a:lumMod val="85000"/>
            </a:schemeClr>
          </a:solidFill>
          <a:ln>
            <a:solidFill>
              <a:sysClr val="windowText" lastClr="000000"/>
            </a:solidFill>
          </a:ln>
          <a:effectLst/>
        </c:spPr>
        <c:dLbl>
          <c:idx val="0"/>
          <c:tx>
            <c:rich>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r>
                  <a:rPr lang="en-US"/>
                  <a:t>Aa</a:t>
                </a:r>
              </a:p>
            </c:rich>
          </c:tx>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3"/>
        <c:spPr>
          <a:solidFill>
            <a:schemeClr val="bg1">
              <a:lumMod val="85000"/>
            </a:schemeClr>
          </a:solidFill>
          <a:ln>
            <a:solidFill>
              <a:sysClr val="windowText" lastClr="000000"/>
            </a:solidFill>
          </a:ln>
          <a:effectLst/>
        </c:spPr>
        <c:dLbl>
          <c:idx val="0"/>
          <c:tx>
            <c:rich>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r>
                  <a:rPr lang="en-US"/>
                  <a:t>Aa</a:t>
                </a:r>
              </a:p>
            </c:rich>
          </c:tx>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4"/>
        <c:spPr>
          <a:solidFill>
            <a:schemeClr val="bg1">
              <a:lumMod val="65000"/>
            </a:schemeClr>
          </a:solidFill>
          <a:ln>
            <a:solidFill>
              <a:sysClr val="windowText" lastClr="000000"/>
            </a:solidFill>
          </a:ln>
          <a:effectLst/>
        </c:spPr>
        <c:dLbl>
          <c:idx val="0"/>
          <c:tx>
            <c:rich>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r>
                  <a:rPr lang="en-US"/>
                  <a:t>Aa</a:t>
                </a:r>
              </a:p>
            </c:rich>
          </c:tx>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5"/>
        <c:spPr>
          <a:solidFill>
            <a:schemeClr val="bg1">
              <a:lumMod val="65000"/>
            </a:schemeClr>
          </a:solidFill>
          <a:ln>
            <a:solidFill>
              <a:sysClr val="windowText" lastClr="000000"/>
            </a:solidFill>
          </a:ln>
          <a:effectLst/>
        </c:spPr>
        <c:dLbl>
          <c:idx val="0"/>
          <c:tx>
            <c:rich>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r>
                  <a:rPr lang="en-US"/>
                  <a:t>Aa</a:t>
                </a:r>
              </a:p>
            </c:rich>
          </c:tx>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15:layout>
                <c:manualLayout>
                  <c:w val="7.0810556745008732E-2"/>
                  <c:h val="0.21200393735964371"/>
                </c:manualLayout>
              </c15:layout>
            </c:ext>
          </c:extLst>
        </c:dLbl>
      </c:pivotFmt>
      <c:pivotFmt>
        <c:idx val="16"/>
        <c:spPr>
          <a:solidFill>
            <a:schemeClr val="bg1">
              <a:lumMod val="85000"/>
            </a:schemeClr>
          </a:solidFill>
          <a:ln>
            <a:solidFill>
              <a:sysClr val="windowText" lastClr="000000"/>
            </a:solidFill>
          </a:ln>
          <a:effectLst/>
        </c:spPr>
        <c:dLbl>
          <c:idx val="0"/>
          <c:tx>
            <c:rich>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r>
                  <a:rPr lang="en-US"/>
                  <a:t>Aa</a:t>
                </a:r>
              </a:p>
            </c:rich>
          </c:tx>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15:layout>
                <c:manualLayout>
                  <c:w val="7.9143654958116885E-2"/>
                  <c:h val="0.10135710304240662"/>
                </c:manualLayout>
              </c15:layout>
            </c:ext>
          </c:extLst>
        </c:dLbl>
      </c:pivotFmt>
      <c:pivotFmt>
        <c:idx val="17"/>
        <c:spPr>
          <a:solidFill>
            <a:schemeClr val="bg1">
              <a:lumMod val="85000"/>
            </a:schemeClr>
          </a:solidFill>
          <a:ln>
            <a:solidFill>
              <a:sysClr val="windowText" lastClr="000000"/>
            </a:solidFill>
          </a:ln>
          <a:effectLst/>
        </c:spPr>
        <c:dLbl>
          <c:idx val="0"/>
          <c:tx>
            <c:rich>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r>
                  <a:rPr lang="en-US"/>
                  <a:t>Aa</a:t>
                </a:r>
              </a:p>
            </c:rich>
          </c:tx>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15:layout>
                <c:manualLayout>
                  <c:w val="9.0254452575594432E-2"/>
                  <c:h val="0.11057767256884304"/>
                </c:manualLayout>
              </c15:layout>
            </c:ext>
          </c:extLst>
        </c:dLbl>
      </c:pivotFmt>
      <c:pivotFmt>
        <c:idx val="18"/>
        <c:spPr>
          <a:solidFill>
            <a:schemeClr val="bg1">
              <a:lumMod val="65000"/>
            </a:schemeClr>
          </a:solidFill>
          <a:ln>
            <a:solidFill>
              <a:sysClr val="windowText" lastClr="000000"/>
            </a:solidFill>
          </a:ln>
          <a:effectLst/>
        </c:spPr>
        <c:dLbl>
          <c:idx val="0"/>
          <c:tx>
            <c:rich>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r>
                  <a:rPr lang="en-US"/>
                  <a:t>Aa</a:t>
                </a:r>
              </a:p>
            </c:rich>
          </c:tx>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9"/>
        <c:spPr>
          <a:solidFill>
            <a:schemeClr val="bg1">
              <a:lumMod val="65000"/>
            </a:schemeClr>
          </a:solidFill>
          <a:ln>
            <a:solidFill>
              <a:sysClr val="windowText" lastClr="000000"/>
            </a:solidFill>
          </a:ln>
          <a:effectLst/>
        </c:spPr>
        <c:marker>
          <c:symbol val="none"/>
        </c:marker>
        <c:dLbl>
          <c:idx val="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0"/>
        <c:spPr>
          <a:solidFill>
            <a:schemeClr val="bg1">
              <a:lumMod val="65000"/>
            </a:schemeClr>
          </a:solidFill>
          <a:ln>
            <a:solidFill>
              <a:sysClr val="windowText" lastClr="000000"/>
            </a:solidFill>
          </a:ln>
          <a:effectLst/>
        </c:spPr>
        <c:dLbl>
          <c:idx val="0"/>
          <c:tx>
            <c:rich>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r>
                  <a:rPr lang="en-US"/>
                  <a:t>Aa</a:t>
                </a:r>
              </a:p>
            </c:rich>
          </c:tx>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15:layout>
                <c:manualLayout>
                  <c:w val="9.3032151979963826E-2"/>
                  <c:h val="0.13823938114815232"/>
                </c:manualLayout>
              </c15:layout>
            </c:ext>
          </c:extLst>
        </c:dLbl>
      </c:pivotFmt>
      <c:pivotFmt>
        <c:idx val="21"/>
        <c:spPr>
          <a:solidFill>
            <a:schemeClr val="bg1">
              <a:lumMod val="65000"/>
            </a:schemeClr>
          </a:solidFill>
          <a:ln>
            <a:solidFill>
              <a:sysClr val="windowText" lastClr="000000"/>
            </a:solidFill>
          </a:ln>
          <a:effectLst/>
        </c:spPr>
        <c:dLbl>
          <c:idx val="0"/>
          <c:tx>
            <c:rich>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r>
                  <a:rPr lang="en-US"/>
                  <a:t>Aa</a:t>
                </a:r>
              </a:p>
            </c:rich>
          </c:tx>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15:layout>
                <c:manualLayout>
                  <c:w val="9.0254452575594432E-2"/>
                  <c:h val="9.6746818279188393E-2"/>
                </c:manualLayout>
              </c15:layout>
            </c:ext>
          </c:extLst>
        </c:dLbl>
      </c:pivotFmt>
      <c:pivotFmt>
        <c:idx val="22"/>
        <c:spPr>
          <a:solidFill>
            <a:schemeClr val="bg1">
              <a:lumMod val="65000"/>
            </a:schemeClr>
          </a:solidFill>
          <a:ln>
            <a:solidFill>
              <a:sysClr val="windowText" lastClr="000000"/>
            </a:solidFill>
          </a:ln>
          <a:effectLst/>
        </c:spPr>
        <c:dLbl>
          <c:idx val="0"/>
          <c:tx>
            <c:rich>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r>
                  <a:rPr lang="en-US"/>
                  <a:t>Aa</a:t>
                </a:r>
              </a:p>
            </c:rich>
          </c:tx>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15:layout>
                <c:manualLayout>
                  <c:w val="9.0254452575594432E-2"/>
                  <c:h val="0.13823938114815232"/>
                </c:manualLayout>
              </c15:layout>
            </c:ext>
          </c:extLst>
        </c:dLbl>
      </c:pivotFmt>
      <c:pivotFmt>
        <c:idx val="23"/>
        <c:spPr>
          <a:solidFill>
            <a:schemeClr val="bg1">
              <a:lumMod val="65000"/>
            </a:schemeClr>
          </a:solidFill>
          <a:ln>
            <a:solidFill>
              <a:sysClr val="windowText" lastClr="000000"/>
            </a:solidFill>
          </a:ln>
          <a:effectLst/>
        </c:spPr>
        <c:dLbl>
          <c:idx val="0"/>
          <c:tx>
            <c:rich>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r>
                  <a:rPr lang="en-US"/>
                  <a:t>Aa</a:t>
                </a:r>
              </a:p>
            </c:rich>
          </c:tx>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4"/>
        <c:spPr>
          <a:solidFill>
            <a:schemeClr val="bg1">
              <a:lumMod val="65000"/>
            </a:schemeClr>
          </a:solidFill>
          <a:ln>
            <a:solidFill>
              <a:sysClr val="windowText" lastClr="000000"/>
            </a:solidFill>
          </a:ln>
          <a:effectLst/>
        </c:spPr>
        <c:dLbl>
          <c:idx val="0"/>
          <c:tx>
            <c:rich>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r>
                  <a:rPr lang="en-US"/>
                  <a:t>Aa</a:t>
                </a:r>
              </a:p>
            </c:rich>
          </c:tx>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15:layout>
                <c:manualLayout>
                  <c:w val="7.6365955553747492E-2"/>
                  <c:h val="9.6746818279188393E-2"/>
                </c:manualLayout>
              </c15:layout>
            </c:ext>
          </c:extLst>
        </c:dLbl>
      </c:pivotFmt>
      <c:pivotFmt>
        <c:idx val="25"/>
        <c:spPr>
          <a:solidFill>
            <a:schemeClr val="bg1">
              <a:lumMod val="65000"/>
            </a:schemeClr>
          </a:solidFill>
          <a:ln>
            <a:solidFill>
              <a:sysClr val="windowText" lastClr="000000"/>
            </a:solidFill>
          </a:ln>
          <a:effectLst/>
        </c:spPr>
        <c:dLbl>
          <c:idx val="0"/>
          <c:tx>
            <c:rich>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r>
                  <a:rPr lang="en-US"/>
                  <a:t>Aa</a:t>
                </a:r>
              </a:p>
            </c:rich>
          </c:tx>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6"/>
        <c:spPr>
          <a:solidFill>
            <a:schemeClr val="bg1">
              <a:lumMod val="65000"/>
            </a:schemeClr>
          </a:solidFill>
          <a:ln>
            <a:solidFill>
              <a:sysClr val="windowText" lastClr="000000"/>
            </a:solidFill>
          </a:ln>
          <a:effectLst/>
        </c:spPr>
        <c:dLbl>
          <c:idx val="0"/>
          <c:tx>
            <c:rich>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r>
                  <a:rPr lang="en-US"/>
                  <a:t>Aa</a:t>
                </a:r>
              </a:p>
            </c:rich>
          </c:tx>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15:layout>
                <c:manualLayout>
                  <c:w val="7.0810556745008732E-2"/>
                  <c:h val="0.21200393735964371"/>
                </c:manualLayout>
              </c15:layout>
            </c:ext>
          </c:extLst>
        </c:dLbl>
      </c:pivotFmt>
      <c:pivotFmt>
        <c:idx val="27"/>
        <c:spPr>
          <a:solidFill>
            <a:schemeClr val="bg1">
              <a:lumMod val="65000"/>
            </a:schemeClr>
          </a:solidFill>
          <a:ln>
            <a:solidFill>
              <a:sysClr val="windowText" lastClr="000000"/>
            </a:solidFill>
          </a:ln>
          <a:effectLst/>
        </c:spPr>
        <c:dLbl>
          <c:idx val="0"/>
          <c:tx>
            <c:rich>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r>
                  <a:rPr lang="en-US"/>
                  <a:t>Aa</a:t>
                </a:r>
              </a:p>
            </c:rich>
          </c:tx>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8"/>
        <c:spPr>
          <a:solidFill>
            <a:schemeClr val="bg1">
              <a:lumMod val="85000"/>
            </a:schemeClr>
          </a:solidFill>
          <a:ln>
            <a:solidFill>
              <a:sysClr val="windowText" lastClr="000000"/>
            </a:solidFill>
          </a:ln>
          <a:effectLst/>
        </c:spPr>
        <c:marker>
          <c:symbol val="none"/>
        </c:marker>
        <c:dLbl>
          <c:idx val="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9"/>
        <c:spPr>
          <a:solidFill>
            <a:schemeClr val="bg1">
              <a:lumMod val="85000"/>
            </a:schemeClr>
          </a:solidFill>
          <a:ln>
            <a:solidFill>
              <a:sysClr val="windowText" lastClr="000000"/>
            </a:solidFill>
          </a:ln>
          <a:effectLst/>
        </c:spPr>
        <c:dLbl>
          <c:idx val="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0"/>
        <c:spPr>
          <a:solidFill>
            <a:schemeClr val="bg1">
              <a:lumMod val="85000"/>
            </a:schemeClr>
          </a:solidFill>
          <a:ln>
            <a:solidFill>
              <a:sysClr val="windowText" lastClr="000000"/>
            </a:solidFill>
          </a:ln>
          <a:effectLst/>
        </c:spPr>
        <c:dLbl>
          <c:idx val="0"/>
          <c:tx>
            <c:rich>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r>
                  <a:rPr lang="en-US"/>
                  <a:t>Aa</a:t>
                </a:r>
              </a:p>
            </c:rich>
          </c:tx>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31"/>
        <c:spPr>
          <a:solidFill>
            <a:schemeClr val="bg1">
              <a:lumMod val="85000"/>
            </a:schemeClr>
          </a:solidFill>
          <a:ln>
            <a:solidFill>
              <a:sysClr val="windowText" lastClr="000000"/>
            </a:solidFill>
          </a:ln>
          <a:effectLst/>
        </c:spPr>
        <c:dLbl>
          <c:idx val="0"/>
          <c:tx>
            <c:rich>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r>
                  <a:rPr lang="en-US"/>
                  <a:t>Aa</a:t>
                </a:r>
              </a:p>
            </c:rich>
          </c:tx>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15:layout>
                <c:manualLayout>
                  <c:w val="7.0810556745008732E-2"/>
                  <c:h val="0.10596738780562483"/>
                </c:manualLayout>
              </c15:layout>
            </c:ext>
          </c:extLst>
        </c:dLbl>
      </c:pivotFmt>
      <c:pivotFmt>
        <c:idx val="32"/>
        <c:spPr>
          <a:solidFill>
            <a:schemeClr val="bg1">
              <a:lumMod val="85000"/>
            </a:schemeClr>
          </a:solidFill>
          <a:ln>
            <a:solidFill>
              <a:sysClr val="windowText" lastClr="000000"/>
            </a:solidFill>
          </a:ln>
          <a:effectLst/>
        </c:spPr>
        <c:dLbl>
          <c:idx val="0"/>
          <c:tx>
            <c:rich>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r>
                  <a:rPr lang="en-US"/>
                  <a:t>Aa</a:t>
                </a:r>
              </a:p>
            </c:rich>
          </c:tx>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33"/>
        <c:spPr>
          <a:solidFill>
            <a:schemeClr val="bg1">
              <a:lumMod val="85000"/>
            </a:schemeClr>
          </a:solidFill>
          <a:ln>
            <a:solidFill>
              <a:sysClr val="windowText" lastClr="000000"/>
            </a:solidFill>
          </a:ln>
          <a:effectLst/>
        </c:spPr>
        <c:dLbl>
          <c:idx val="0"/>
          <c:tx>
            <c:rich>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r>
                  <a:rPr lang="en-US"/>
                  <a:t>Aa</a:t>
                </a:r>
              </a:p>
            </c:rich>
          </c:tx>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15:layout>
                <c:manualLayout>
                  <c:w val="8.4699053766855659E-2"/>
                  <c:h val="0.14745995067458875"/>
                </c:manualLayout>
              </c15:layout>
            </c:ext>
          </c:extLst>
        </c:dLbl>
      </c:pivotFmt>
      <c:pivotFmt>
        <c:idx val="34"/>
        <c:spPr>
          <a:solidFill>
            <a:schemeClr val="bg1">
              <a:lumMod val="85000"/>
            </a:schemeClr>
          </a:solidFill>
          <a:ln>
            <a:solidFill>
              <a:sysClr val="windowText" lastClr="000000"/>
            </a:solidFill>
          </a:ln>
          <a:effectLst/>
        </c:spPr>
        <c:dLbl>
          <c:idx val="0"/>
          <c:tx>
            <c:rich>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r>
                  <a:rPr lang="en-US"/>
                  <a:t>Aa</a:t>
                </a:r>
              </a:p>
            </c:rich>
          </c:tx>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35"/>
        <c:spPr>
          <a:solidFill>
            <a:schemeClr val="bg1">
              <a:lumMod val="85000"/>
            </a:schemeClr>
          </a:solidFill>
          <a:ln>
            <a:solidFill>
              <a:sysClr val="windowText" lastClr="000000"/>
            </a:solidFill>
          </a:ln>
          <a:effectLst/>
        </c:spPr>
        <c:dLbl>
          <c:idx val="0"/>
          <c:tx>
            <c:rich>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r>
                  <a:rPr lang="en-US"/>
                  <a:t>Aa</a:t>
                </a:r>
              </a:p>
            </c:rich>
          </c:tx>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36"/>
        <c:spPr>
          <a:solidFill>
            <a:schemeClr val="bg1">
              <a:lumMod val="85000"/>
            </a:schemeClr>
          </a:solidFill>
          <a:ln>
            <a:solidFill>
              <a:sysClr val="windowText" lastClr="000000"/>
            </a:solidFill>
          </a:ln>
          <a:effectLst/>
        </c:spPr>
        <c:dLbl>
          <c:idx val="0"/>
          <c:tx>
            <c:rich>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r>
                  <a:rPr lang="en-US"/>
                  <a:t>Aa</a:t>
                </a:r>
              </a:p>
            </c:rich>
          </c:tx>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15:layout>
                <c:manualLayout>
                  <c:w val="7.9143654958116885E-2"/>
                  <c:h val="0.10135710304240662"/>
                </c:manualLayout>
              </c15:layout>
            </c:ext>
          </c:extLst>
        </c:dLbl>
      </c:pivotFmt>
      <c:pivotFmt>
        <c:idx val="37"/>
        <c:spPr>
          <a:solidFill>
            <a:schemeClr val="bg1">
              <a:lumMod val="85000"/>
            </a:schemeClr>
          </a:solidFill>
          <a:ln>
            <a:solidFill>
              <a:sysClr val="windowText" lastClr="000000"/>
            </a:solidFill>
          </a:ln>
          <a:effectLst/>
        </c:spPr>
        <c:dLbl>
          <c:idx val="0"/>
          <c:tx>
            <c:rich>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r>
                  <a:rPr lang="en-US"/>
                  <a:t>Aa</a:t>
                </a:r>
              </a:p>
            </c:rich>
          </c:tx>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15:layout>
                <c:manualLayout>
                  <c:w val="9.0254452575594432E-2"/>
                  <c:h val="0.11057767256884304"/>
                </c:manualLayout>
              </c15:layout>
            </c:ext>
          </c:extLst>
        </c:dLbl>
      </c:pivotFmt>
      <c:pivotFmt>
        <c:idx val="38"/>
        <c:spPr>
          <a:solidFill>
            <a:schemeClr val="bg1">
              <a:lumMod val="65000"/>
            </a:schemeClr>
          </a:solidFill>
          <a:ln>
            <a:solidFill>
              <a:sysClr val="windowText" lastClr="000000"/>
            </a:solidFill>
          </a:ln>
          <a:effectLst/>
        </c:spPr>
        <c:marker>
          <c:symbol val="none"/>
        </c:marker>
        <c:dLbl>
          <c:idx val="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39"/>
        <c:spPr>
          <a:solidFill>
            <a:schemeClr val="bg1">
              <a:lumMod val="65000"/>
            </a:schemeClr>
          </a:solidFill>
          <a:ln>
            <a:solidFill>
              <a:sysClr val="windowText" lastClr="000000"/>
            </a:solidFill>
          </a:ln>
          <a:effectLst/>
        </c:spPr>
        <c:dLbl>
          <c:idx val="0"/>
          <c:tx>
            <c:rich>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r>
                  <a:rPr lang="en-US"/>
                  <a:t>Aa</a:t>
                </a:r>
              </a:p>
            </c:rich>
          </c:tx>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15:layout>
                <c:manualLayout>
                  <c:w val="9.3032151979963826E-2"/>
                  <c:h val="0.13823938114815232"/>
                </c:manualLayout>
              </c15:layout>
            </c:ext>
          </c:extLst>
        </c:dLbl>
      </c:pivotFmt>
      <c:pivotFmt>
        <c:idx val="40"/>
        <c:spPr>
          <a:solidFill>
            <a:schemeClr val="bg1">
              <a:lumMod val="65000"/>
            </a:schemeClr>
          </a:solidFill>
          <a:ln>
            <a:solidFill>
              <a:sysClr val="windowText" lastClr="000000"/>
            </a:solidFill>
          </a:ln>
          <a:effectLst/>
        </c:spPr>
        <c:dLbl>
          <c:idx val="0"/>
          <c:tx>
            <c:rich>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r>
                  <a:rPr lang="en-US"/>
                  <a:t>Aa</a:t>
                </a:r>
              </a:p>
            </c:rich>
          </c:tx>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15:layout>
                <c:manualLayout>
                  <c:w val="9.0254452575594432E-2"/>
                  <c:h val="9.6746818279188393E-2"/>
                </c:manualLayout>
              </c15:layout>
            </c:ext>
          </c:extLst>
        </c:dLbl>
      </c:pivotFmt>
      <c:pivotFmt>
        <c:idx val="41"/>
        <c:spPr>
          <a:solidFill>
            <a:schemeClr val="bg1">
              <a:lumMod val="65000"/>
            </a:schemeClr>
          </a:solidFill>
          <a:ln>
            <a:solidFill>
              <a:sysClr val="windowText" lastClr="000000"/>
            </a:solidFill>
          </a:ln>
          <a:effectLst/>
        </c:spPr>
        <c:dLbl>
          <c:idx val="0"/>
          <c:tx>
            <c:rich>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r>
                  <a:rPr lang="en-US"/>
                  <a:t>Aa</a:t>
                </a:r>
              </a:p>
            </c:rich>
          </c:tx>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15:layout>
                <c:manualLayout>
                  <c:w val="9.0254452575594432E-2"/>
                  <c:h val="0.13823938114815232"/>
                </c:manualLayout>
              </c15:layout>
            </c:ext>
          </c:extLst>
        </c:dLbl>
      </c:pivotFmt>
      <c:pivotFmt>
        <c:idx val="42"/>
        <c:spPr>
          <a:solidFill>
            <a:schemeClr val="bg1">
              <a:lumMod val="65000"/>
            </a:schemeClr>
          </a:solidFill>
          <a:ln>
            <a:solidFill>
              <a:sysClr val="windowText" lastClr="000000"/>
            </a:solidFill>
          </a:ln>
          <a:effectLst/>
        </c:spPr>
        <c:dLbl>
          <c:idx val="0"/>
          <c:tx>
            <c:rich>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r>
                  <a:rPr lang="en-US"/>
                  <a:t>Aa</a:t>
                </a:r>
              </a:p>
            </c:rich>
          </c:tx>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43"/>
        <c:spPr>
          <a:solidFill>
            <a:schemeClr val="bg1">
              <a:lumMod val="65000"/>
            </a:schemeClr>
          </a:solidFill>
          <a:ln>
            <a:solidFill>
              <a:sysClr val="windowText" lastClr="000000"/>
            </a:solidFill>
          </a:ln>
          <a:effectLst/>
        </c:spPr>
        <c:dLbl>
          <c:idx val="0"/>
          <c:tx>
            <c:rich>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r>
                  <a:rPr lang="en-US"/>
                  <a:t>Aa</a:t>
                </a:r>
              </a:p>
            </c:rich>
          </c:tx>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15:layout>
                <c:manualLayout>
                  <c:w val="7.6365955553747492E-2"/>
                  <c:h val="9.6746818279188393E-2"/>
                </c:manualLayout>
              </c15:layout>
            </c:ext>
          </c:extLst>
        </c:dLbl>
      </c:pivotFmt>
      <c:pivotFmt>
        <c:idx val="44"/>
        <c:spPr>
          <a:solidFill>
            <a:schemeClr val="bg1">
              <a:lumMod val="65000"/>
            </a:schemeClr>
          </a:solidFill>
          <a:ln>
            <a:solidFill>
              <a:sysClr val="windowText" lastClr="000000"/>
            </a:solidFill>
          </a:ln>
          <a:effectLst/>
        </c:spPr>
        <c:dLbl>
          <c:idx val="0"/>
          <c:tx>
            <c:rich>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r>
                  <a:rPr lang="en-US"/>
                  <a:t>Aa</a:t>
                </a:r>
              </a:p>
            </c:rich>
          </c:tx>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45"/>
        <c:spPr>
          <a:solidFill>
            <a:schemeClr val="bg1">
              <a:lumMod val="65000"/>
            </a:schemeClr>
          </a:solidFill>
          <a:ln>
            <a:solidFill>
              <a:sysClr val="windowText" lastClr="000000"/>
            </a:solidFill>
          </a:ln>
          <a:effectLst/>
        </c:spPr>
        <c:dLbl>
          <c:idx val="0"/>
          <c:tx>
            <c:rich>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r>
                  <a:rPr lang="en-US"/>
                  <a:t>Aa</a:t>
                </a:r>
              </a:p>
            </c:rich>
          </c:tx>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15:layout>
                <c:manualLayout>
                  <c:w val="7.0810556745008732E-2"/>
                  <c:h val="0.21200393735964371"/>
                </c:manualLayout>
              </c15:layout>
            </c:ext>
          </c:extLst>
        </c:dLbl>
      </c:pivotFmt>
      <c:pivotFmt>
        <c:idx val="46"/>
        <c:spPr>
          <a:solidFill>
            <a:schemeClr val="bg1">
              <a:lumMod val="65000"/>
            </a:schemeClr>
          </a:solidFill>
          <a:ln>
            <a:solidFill>
              <a:sysClr val="windowText" lastClr="000000"/>
            </a:solidFill>
          </a:ln>
          <a:effectLst/>
        </c:spPr>
        <c:dLbl>
          <c:idx val="0"/>
          <c:tx>
            <c:rich>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r>
                  <a:rPr lang="en-US"/>
                  <a:t>Aa</a:t>
                </a:r>
              </a:p>
            </c:rich>
          </c:tx>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47"/>
        <c:spPr>
          <a:solidFill>
            <a:schemeClr val="bg1">
              <a:lumMod val="85000"/>
            </a:schemeClr>
          </a:solidFill>
          <a:ln>
            <a:solidFill>
              <a:sysClr val="windowText" lastClr="000000"/>
            </a:solidFill>
          </a:ln>
          <a:effectLst/>
        </c:spPr>
        <c:marker>
          <c:symbol val="none"/>
        </c:marker>
        <c:dLbl>
          <c:idx val="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48"/>
        <c:spPr>
          <a:solidFill>
            <a:schemeClr val="bg1">
              <a:lumMod val="85000"/>
            </a:schemeClr>
          </a:solidFill>
          <a:ln>
            <a:solidFill>
              <a:sysClr val="windowText" lastClr="000000"/>
            </a:solidFill>
          </a:ln>
          <a:effectLst/>
        </c:spPr>
        <c:dLbl>
          <c:idx val="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9"/>
        <c:spPr>
          <a:solidFill>
            <a:schemeClr val="bg1">
              <a:lumMod val="85000"/>
            </a:schemeClr>
          </a:solidFill>
          <a:ln>
            <a:solidFill>
              <a:sysClr val="windowText" lastClr="000000"/>
            </a:solidFill>
          </a:ln>
          <a:effectLst/>
        </c:spPr>
        <c:dLbl>
          <c:idx val="0"/>
          <c:tx>
            <c:rich>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r>
                  <a:rPr lang="en-US"/>
                  <a:t>Aa</a:t>
                </a:r>
              </a:p>
            </c:rich>
          </c:tx>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50"/>
        <c:spPr>
          <a:solidFill>
            <a:schemeClr val="bg1">
              <a:lumMod val="85000"/>
            </a:schemeClr>
          </a:solidFill>
          <a:ln>
            <a:solidFill>
              <a:sysClr val="windowText" lastClr="000000"/>
            </a:solidFill>
          </a:ln>
          <a:effectLst/>
        </c:spPr>
        <c:dLbl>
          <c:idx val="0"/>
          <c:tx>
            <c:rich>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r>
                  <a:rPr lang="en-US"/>
                  <a:t>Aa</a:t>
                </a:r>
              </a:p>
            </c:rich>
          </c:tx>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15:layout>
                <c:manualLayout>
                  <c:w val="7.0810556745008732E-2"/>
                  <c:h val="0.10596738780562483"/>
                </c:manualLayout>
              </c15:layout>
            </c:ext>
          </c:extLst>
        </c:dLbl>
      </c:pivotFmt>
      <c:pivotFmt>
        <c:idx val="51"/>
        <c:spPr>
          <a:solidFill>
            <a:schemeClr val="bg1">
              <a:lumMod val="85000"/>
            </a:schemeClr>
          </a:solidFill>
          <a:ln>
            <a:solidFill>
              <a:sysClr val="windowText" lastClr="000000"/>
            </a:solidFill>
          </a:ln>
          <a:effectLst/>
        </c:spPr>
        <c:dLbl>
          <c:idx val="0"/>
          <c:tx>
            <c:rich>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r>
                  <a:rPr lang="en-US"/>
                  <a:t>Aa</a:t>
                </a:r>
              </a:p>
            </c:rich>
          </c:tx>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52"/>
        <c:spPr>
          <a:solidFill>
            <a:schemeClr val="bg1">
              <a:lumMod val="85000"/>
            </a:schemeClr>
          </a:solidFill>
          <a:ln>
            <a:solidFill>
              <a:sysClr val="windowText" lastClr="000000"/>
            </a:solidFill>
          </a:ln>
          <a:effectLst/>
        </c:spPr>
        <c:dLbl>
          <c:idx val="0"/>
          <c:tx>
            <c:rich>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r>
                  <a:rPr lang="en-US"/>
                  <a:t>Aa</a:t>
                </a:r>
              </a:p>
            </c:rich>
          </c:tx>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15:layout>
                <c:manualLayout>
                  <c:w val="8.4699053766855659E-2"/>
                  <c:h val="0.14745995067458875"/>
                </c:manualLayout>
              </c15:layout>
            </c:ext>
          </c:extLst>
        </c:dLbl>
      </c:pivotFmt>
      <c:pivotFmt>
        <c:idx val="53"/>
        <c:spPr>
          <a:solidFill>
            <a:schemeClr val="bg1">
              <a:lumMod val="85000"/>
            </a:schemeClr>
          </a:solidFill>
          <a:ln>
            <a:solidFill>
              <a:sysClr val="windowText" lastClr="000000"/>
            </a:solidFill>
          </a:ln>
          <a:effectLst/>
        </c:spPr>
        <c:dLbl>
          <c:idx val="0"/>
          <c:tx>
            <c:rich>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r>
                  <a:rPr lang="en-US"/>
                  <a:t>Aa</a:t>
                </a:r>
              </a:p>
            </c:rich>
          </c:tx>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54"/>
        <c:spPr>
          <a:solidFill>
            <a:schemeClr val="bg1">
              <a:lumMod val="85000"/>
            </a:schemeClr>
          </a:solidFill>
          <a:ln>
            <a:solidFill>
              <a:sysClr val="windowText" lastClr="000000"/>
            </a:solidFill>
          </a:ln>
          <a:effectLst/>
        </c:spPr>
        <c:dLbl>
          <c:idx val="0"/>
          <c:tx>
            <c:rich>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r>
                  <a:rPr lang="en-US"/>
                  <a:t>Aa</a:t>
                </a:r>
              </a:p>
            </c:rich>
          </c:tx>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55"/>
        <c:spPr>
          <a:solidFill>
            <a:schemeClr val="bg1">
              <a:lumMod val="85000"/>
            </a:schemeClr>
          </a:solidFill>
          <a:ln>
            <a:solidFill>
              <a:sysClr val="windowText" lastClr="000000"/>
            </a:solidFill>
          </a:ln>
          <a:effectLst/>
        </c:spPr>
        <c:dLbl>
          <c:idx val="0"/>
          <c:tx>
            <c:rich>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r>
                  <a:rPr lang="en-US"/>
                  <a:t>Aa</a:t>
                </a:r>
              </a:p>
            </c:rich>
          </c:tx>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15:layout>
                <c:manualLayout>
                  <c:w val="7.9143654958116885E-2"/>
                  <c:h val="0.10135710304240662"/>
                </c:manualLayout>
              </c15:layout>
            </c:ext>
          </c:extLst>
        </c:dLbl>
      </c:pivotFmt>
      <c:pivotFmt>
        <c:idx val="56"/>
        <c:spPr>
          <a:solidFill>
            <a:schemeClr val="bg1">
              <a:lumMod val="85000"/>
            </a:schemeClr>
          </a:solidFill>
          <a:ln>
            <a:solidFill>
              <a:sysClr val="windowText" lastClr="000000"/>
            </a:solidFill>
          </a:ln>
          <a:effectLst/>
        </c:spPr>
        <c:dLbl>
          <c:idx val="0"/>
          <c:tx>
            <c:rich>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r>
                  <a:rPr lang="en-US"/>
                  <a:t>Aa</a:t>
                </a:r>
              </a:p>
            </c:rich>
          </c:tx>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15:layout>
                <c:manualLayout>
                  <c:w val="9.0254452575594432E-2"/>
                  <c:h val="0.11057767256884304"/>
                </c:manualLayout>
              </c15:layout>
            </c:ext>
          </c:extLst>
        </c:dLbl>
      </c:pivotFmt>
    </c:pivotFmts>
    <c:plotArea>
      <c:layout/>
      <c:barChart>
        <c:barDir val="col"/>
        <c:grouping val="clustered"/>
        <c:varyColors val="0"/>
        <c:ser>
          <c:idx val="0"/>
          <c:order val="0"/>
          <c:tx>
            <c:strRef>
              <c:f>SoyOnly2!$W$43:$W$44</c:f>
              <c:strCache>
                <c:ptCount val="1"/>
                <c:pt idx="0">
                  <c:v>CC</c:v>
                </c:pt>
              </c:strCache>
            </c:strRef>
          </c:tx>
          <c:spPr>
            <a:solidFill>
              <a:schemeClr val="bg1">
                <a:lumMod val="65000"/>
              </a:schemeClr>
            </a:solidFill>
            <a:ln>
              <a:solidFill>
                <a:sysClr val="windowText" lastClr="000000"/>
              </a:solidFill>
            </a:ln>
            <a:effectLst/>
          </c:spPr>
          <c:invertIfNegative val="0"/>
          <c:dLbls>
            <c:dLbl>
              <c:idx val="1"/>
              <c:tx>
                <c:rich>
                  <a:bodyPr/>
                  <a:lstStyle/>
                  <a:p>
                    <a:r>
                      <a:rPr lang="en-US"/>
                      <a:t>Aa</a:t>
                    </a:r>
                  </a:p>
                </c:rich>
              </c:tx>
              <c:dLblPos val="outEnd"/>
              <c:showLegendKey val="0"/>
              <c:showVal val="1"/>
              <c:showCatName val="0"/>
              <c:showSerName val="0"/>
              <c:showPercent val="0"/>
              <c:showBubbleSize val="0"/>
              <c:extLst>
                <c:ext xmlns:c15="http://schemas.microsoft.com/office/drawing/2012/chart" uri="{CE6537A1-D6FC-4f65-9D91-7224C49458BB}">
                  <c15:layout>
                    <c:manualLayout>
                      <c:w val="9.3032095054508213E-2"/>
                      <c:h val="0.15286647189579119"/>
                    </c:manualLayout>
                  </c15:layout>
                </c:ext>
                <c:ext xmlns:c16="http://schemas.microsoft.com/office/drawing/2014/chart" uri="{C3380CC4-5D6E-409C-BE32-E72D297353CC}">
                  <c16:uniqueId val="{00000000-08EF-488B-90B9-85E7429F5CD0}"/>
                </c:ext>
              </c:extLst>
            </c:dLbl>
            <c:dLbl>
              <c:idx val="2"/>
              <c:tx>
                <c:rich>
                  <a:bodyPr/>
                  <a:lstStyle/>
                  <a:p>
                    <a:r>
                      <a:rPr lang="en-US"/>
                      <a:t>Aa</a:t>
                    </a:r>
                  </a:p>
                </c:rich>
              </c:tx>
              <c:dLblPos val="outEnd"/>
              <c:showLegendKey val="0"/>
              <c:showVal val="1"/>
              <c:showCatName val="0"/>
              <c:showSerName val="0"/>
              <c:showPercent val="0"/>
              <c:showBubbleSize val="0"/>
              <c:extLst>
                <c:ext xmlns:c15="http://schemas.microsoft.com/office/drawing/2012/chart" uri="{CE6537A1-D6FC-4f65-9D91-7224C49458BB}">
                  <c15:layout>
                    <c:manualLayout>
                      <c:w val="9.0254452575594432E-2"/>
                      <c:h val="9.6746818279188393E-2"/>
                    </c:manualLayout>
                  </c15:layout>
                </c:ext>
                <c:ext xmlns:c16="http://schemas.microsoft.com/office/drawing/2014/chart" uri="{C3380CC4-5D6E-409C-BE32-E72D297353CC}">
                  <c16:uniqueId val="{00000001-08EF-488B-90B9-85E7429F5CD0}"/>
                </c:ext>
              </c:extLst>
            </c:dLbl>
            <c:dLbl>
              <c:idx val="3"/>
              <c:tx>
                <c:rich>
                  <a:bodyPr/>
                  <a:lstStyle/>
                  <a:p>
                    <a:r>
                      <a:rPr lang="en-US"/>
                      <a:t>Aa</a:t>
                    </a:r>
                  </a:p>
                </c:rich>
              </c:tx>
              <c:dLblPos val="outEnd"/>
              <c:showLegendKey val="0"/>
              <c:showVal val="1"/>
              <c:showCatName val="0"/>
              <c:showSerName val="0"/>
              <c:showPercent val="0"/>
              <c:showBubbleSize val="0"/>
              <c:extLst>
                <c:ext xmlns:c15="http://schemas.microsoft.com/office/drawing/2012/chart" uri="{CE6537A1-D6FC-4f65-9D91-7224C49458BB}">
                  <c15:layout>
                    <c:manualLayout>
                      <c:w val="9.0254516940569143E-2"/>
                      <c:h val="0.15286647189579119"/>
                    </c:manualLayout>
                  </c15:layout>
                </c:ext>
                <c:ext xmlns:c16="http://schemas.microsoft.com/office/drawing/2014/chart" uri="{C3380CC4-5D6E-409C-BE32-E72D297353CC}">
                  <c16:uniqueId val="{00000002-08EF-488B-90B9-85E7429F5CD0}"/>
                </c:ext>
              </c:extLst>
            </c:dLbl>
            <c:dLbl>
              <c:idx val="4"/>
              <c:tx>
                <c:rich>
                  <a:bodyPr/>
                  <a:lstStyle/>
                  <a:p>
                    <a:r>
                      <a:rPr lang="en-US"/>
                      <a:t>Aa</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8EF-488B-90B9-85E7429F5CD0}"/>
                </c:ext>
              </c:extLst>
            </c:dLbl>
            <c:dLbl>
              <c:idx val="5"/>
              <c:layout>
                <c:manualLayout>
                  <c:x val="1.0890754828075031E-7"/>
                  <c:y val="-1.4627011214041931E-2"/>
                </c:manualLayout>
              </c:layout>
              <c:tx>
                <c:rich>
                  <a:bodyPr/>
                  <a:lstStyle/>
                  <a:p>
                    <a:r>
                      <a:rPr lang="en-US"/>
                      <a:t>Aa</a:t>
                    </a:r>
                  </a:p>
                </c:rich>
              </c:tx>
              <c:dLblPos val="outEnd"/>
              <c:showLegendKey val="0"/>
              <c:showVal val="1"/>
              <c:showCatName val="0"/>
              <c:showSerName val="0"/>
              <c:showPercent val="0"/>
              <c:showBubbleSize val="0"/>
              <c:extLst>
                <c:ext xmlns:c15="http://schemas.microsoft.com/office/drawing/2012/chart" uri="{CE6537A1-D6FC-4f65-9D91-7224C49458BB}">
                  <c15:layout>
                    <c:manualLayout>
                      <c:w val="7.6365955553747492E-2"/>
                      <c:h val="9.6746818279188393E-2"/>
                    </c:manualLayout>
                  </c15:layout>
                </c:ext>
                <c:ext xmlns:c16="http://schemas.microsoft.com/office/drawing/2014/chart" uri="{C3380CC4-5D6E-409C-BE32-E72D297353CC}">
                  <c16:uniqueId val="{00000004-08EF-488B-90B9-85E7429F5CD0}"/>
                </c:ext>
              </c:extLst>
            </c:dLbl>
            <c:dLbl>
              <c:idx val="6"/>
              <c:layout>
                <c:manualLayout>
                  <c:x val="-2.7662517289073307E-3"/>
                  <c:y val="-1.4627011214041931E-2"/>
                </c:manualLayout>
              </c:layout>
              <c:tx>
                <c:rich>
                  <a:bodyPr/>
                  <a:lstStyle/>
                  <a:p>
                    <a:r>
                      <a:rPr lang="en-US"/>
                      <a:t>Aa</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8EF-488B-90B9-85E7429F5CD0}"/>
                </c:ext>
              </c:extLst>
            </c:dLbl>
            <c:dLbl>
              <c:idx val="7"/>
              <c:layout>
                <c:manualLayout>
                  <c:x val="1.0890754828075031E-7"/>
                  <c:y val="-1.9502681618722574E-2"/>
                </c:manualLayout>
              </c:layout>
              <c:tx>
                <c:rich>
                  <a:bodyPr/>
                  <a:lstStyle/>
                  <a:p>
                    <a:r>
                      <a:rPr lang="en-US"/>
                      <a:t>Aa</a:t>
                    </a:r>
                  </a:p>
                </c:rich>
              </c:tx>
              <c:dLblPos val="outEnd"/>
              <c:showLegendKey val="0"/>
              <c:showVal val="1"/>
              <c:showCatName val="0"/>
              <c:showSerName val="0"/>
              <c:showPercent val="0"/>
              <c:showBubbleSize val="0"/>
              <c:extLst>
                <c:ext xmlns:c15="http://schemas.microsoft.com/office/drawing/2012/chart" uri="{CE6537A1-D6FC-4f65-9D91-7224C49458BB}">
                  <c15:layout>
                    <c:manualLayout>
                      <c:w val="7.0810556745008732E-2"/>
                      <c:h val="0.21200393735964371"/>
                    </c:manualLayout>
                  </c15:layout>
                </c:ext>
                <c:ext xmlns:c16="http://schemas.microsoft.com/office/drawing/2014/chart" uri="{C3380CC4-5D6E-409C-BE32-E72D297353CC}">
                  <c16:uniqueId val="{00000006-08EF-488B-90B9-85E7429F5CD0}"/>
                </c:ext>
              </c:extLst>
            </c:dLbl>
            <c:dLbl>
              <c:idx val="8"/>
              <c:tx>
                <c:rich>
                  <a:bodyPr/>
                  <a:lstStyle/>
                  <a:p>
                    <a:r>
                      <a:rPr lang="en-US"/>
                      <a:t>Aa</a:t>
                    </a:r>
                  </a:p>
                </c:rich>
              </c:tx>
              <c:dLblPos val="outEnd"/>
              <c:showLegendKey val="0"/>
              <c:showVal val="1"/>
              <c:showCatName val="0"/>
              <c:showSerName val="0"/>
              <c:showPercent val="0"/>
              <c:showBubbleSize val="0"/>
              <c:extLst>
                <c:ext xmlns:c15="http://schemas.microsoft.com/office/drawing/2012/chart" uri="{CE6537A1-D6FC-4f65-9D91-7224C49458BB}">
                  <c15:layout>
                    <c:manualLayout>
                      <c:w val="4.5629431175874799E-2"/>
                      <c:h val="8.9444365529394151E-2"/>
                    </c:manualLayout>
                  </c15:layout>
                </c:ext>
                <c:ext xmlns:c16="http://schemas.microsoft.com/office/drawing/2014/chart" uri="{C3380CC4-5D6E-409C-BE32-E72D297353CC}">
                  <c16:uniqueId val="{00000007-08EF-488B-90B9-85E7429F5CD0}"/>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SoyOnly2!$AD$45:$AD$53</c:f>
                <c:numCache>
                  <c:formatCode>General</c:formatCode>
                  <c:ptCount val="9"/>
                  <c:pt idx="1">
                    <c:v>0.90307041944643585</c:v>
                  </c:pt>
                  <c:pt idx="2">
                    <c:v>0.51927011806585477</c:v>
                  </c:pt>
                  <c:pt idx="3">
                    <c:v>0.91000816470603418</c:v>
                  </c:pt>
                  <c:pt idx="4">
                    <c:v>0.20295316613481368</c:v>
                  </c:pt>
                  <c:pt idx="5">
                    <c:v>0.61730778070700076</c:v>
                  </c:pt>
                  <c:pt idx="6">
                    <c:v>0.39304553922466007</c:v>
                  </c:pt>
                  <c:pt idx="7">
                    <c:v>1.5552307763872395</c:v>
                  </c:pt>
                  <c:pt idx="8">
                    <c:v>0.44249713519684453</c:v>
                  </c:pt>
                </c:numCache>
              </c:numRef>
            </c:plus>
            <c:minus>
              <c:numRef>
                <c:f>SoyOnly2!$AD$45:$AD$53</c:f>
                <c:numCache>
                  <c:formatCode>General</c:formatCode>
                  <c:ptCount val="9"/>
                  <c:pt idx="1">
                    <c:v>0.90307041944643585</c:v>
                  </c:pt>
                  <c:pt idx="2">
                    <c:v>0.51927011806585477</c:v>
                  </c:pt>
                  <c:pt idx="3">
                    <c:v>0.91000816470603418</c:v>
                  </c:pt>
                  <c:pt idx="4">
                    <c:v>0.20295316613481368</c:v>
                  </c:pt>
                  <c:pt idx="5">
                    <c:v>0.61730778070700076</c:v>
                  </c:pt>
                  <c:pt idx="6">
                    <c:v>0.39304553922466007</c:v>
                  </c:pt>
                  <c:pt idx="7">
                    <c:v>1.5552307763872395</c:v>
                  </c:pt>
                  <c:pt idx="8">
                    <c:v>0.44249713519684453</c:v>
                  </c:pt>
                </c:numCache>
              </c:numRef>
            </c:minus>
            <c:spPr>
              <a:noFill/>
              <a:ln w="9525" cap="flat" cmpd="sng" algn="ctr">
                <a:solidFill>
                  <a:schemeClr val="tx1">
                    <a:lumMod val="65000"/>
                    <a:lumOff val="35000"/>
                  </a:schemeClr>
                </a:solidFill>
                <a:round/>
              </a:ln>
              <a:effectLst/>
            </c:spPr>
          </c:errBars>
          <c:cat>
            <c:multiLvlStrRef>
              <c:f>SoyOnly2!$AD$45:$AD$53</c:f>
              <c:multiLvlStrCache>
                <c:ptCount val="9"/>
                <c:lvl>
                  <c:pt idx="0">
                    <c:v> </c:v>
                  </c:pt>
                  <c:pt idx="1">
                    <c:v>CP</c:v>
                  </c:pt>
                  <c:pt idx="2">
                    <c:v>NT</c:v>
                  </c:pt>
                  <c:pt idx="3">
                    <c:v>CP</c:v>
                  </c:pt>
                  <c:pt idx="4">
                    <c:v>NT</c:v>
                  </c:pt>
                  <c:pt idx="5">
                    <c:v>CP</c:v>
                  </c:pt>
                  <c:pt idx="6">
                    <c:v>NT</c:v>
                  </c:pt>
                  <c:pt idx="7">
                    <c:v>CP</c:v>
                  </c:pt>
                  <c:pt idx="8">
                    <c:v>NT</c:v>
                  </c:pt>
                </c:lvl>
                <c:lvl>
                  <c:pt idx="0">
                    <c:v>Fall</c:v>
                  </c:pt>
                  <c:pt idx="1">
                    <c:v>Spring</c:v>
                  </c:pt>
                  <c:pt idx="3">
                    <c:v>Fall</c:v>
                  </c:pt>
                  <c:pt idx="5">
                    <c:v>Spring</c:v>
                  </c:pt>
                  <c:pt idx="7">
                    <c:v>Fall</c:v>
                  </c:pt>
                </c:lvl>
                <c:lvl>
                  <c:pt idx="0">
                    <c:v>2017</c:v>
                  </c:pt>
                  <c:pt idx="1">
                    <c:v>2018</c:v>
                  </c:pt>
                  <c:pt idx="5">
                    <c:v>2019</c:v>
                  </c:pt>
                </c:lvl>
              </c:multiLvlStrCache>
            </c:multiLvlStrRef>
          </c:cat>
          <c:val>
            <c:numRef>
              <c:f>SoyOnly2!$AD$45:$AD$53</c:f>
              <c:numCache>
                <c:formatCode>General</c:formatCode>
                <c:ptCount val="9"/>
                <c:pt idx="1">
                  <c:v>3.4522776343786217</c:v>
                </c:pt>
                <c:pt idx="2">
                  <c:v>2.5994086851804563</c:v>
                </c:pt>
                <c:pt idx="3">
                  <c:v>4.0149449503114241</c:v>
                </c:pt>
                <c:pt idx="4">
                  <c:v>3.5834455221152801</c:v>
                </c:pt>
                <c:pt idx="5">
                  <c:v>2.6119927790380673</c:v>
                </c:pt>
                <c:pt idx="6">
                  <c:v>3.0693271799323316</c:v>
                </c:pt>
                <c:pt idx="7">
                  <c:v>6.1381279840836065</c:v>
                </c:pt>
                <c:pt idx="8">
                  <c:v>4.6100802514931436</c:v>
                </c:pt>
              </c:numCache>
            </c:numRef>
          </c:val>
          <c:extLst>
            <c:ext xmlns:c16="http://schemas.microsoft.com/office/drawing/2014/chart" uri="{C3380CC4-5D6E-409C-BE32-E72D297353CC}">
              <c16:uniqueId val="{00000008-08EF-488B-90B9-85E7429F5CD0}"/>
            </c:ext>
          </c:extLst>
        </c:ser>
        <c:ser>
          <c:idx val="1"/>
          <c:order val="1"/>
          <c:tx>
            <c:strRef>
              <c:f>SoyOnly2!$X$43:$X$44</c:f>
              <c:strCache>
                <c:ptCount val="1"/>
                <c:pt idx="0">
                  <c:v>NC</c:v>
                </c:pt>
              </c:strCache>
            </c:strRef>
          </c:tx>
          <c:spPr>
            <a:solidFill>
              <a:schemeClr val="bg1">
                <a:lumMod val="85000"/>
              </a:schemeClr>
            </a:solidFill>
            <a:ln>
              <a:solidFill>
                <a:sysClr val="windowText" lastClr="000000"/>
              </a:solid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9-08EF-488B-90B9-85E7429F5CD0}"/>
                </c:ext>
              </c:extLst>
            </c:dLbl>
            <c:dLbl>
              <c:idx val="1"/>
              <c:tx>
                <c:rich>
                  <a:bodyPr/>
                  <a:lstStyle/>
                  <a:p>
                    <a:r>
                      <a:rPr lang="en-US"/>
                      <a:t>Aa</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08EF-488B-90B9-85E7429F5CD0}"/>
                </c:ext>
              </c:extLst>
            </c:dLbl>
            <c:dLbl>
              <c:idx val="2"/>
              <c:tx>
                <c:rich>
                  <a:bodyPr/>
                  <a:lstStyle/>
                  <a:p>
                    <a:r>
                      <a:rPr lang="en-US"/>
                      <a:t>Aa</a:t>
                    </a:r>
                  </a:p>
                </c:rich>
              </c:tx>
              <c:dLblPos val="outEnd"/>
              <c:showLegendKey val="0"/>
              <c:showVal val="1"/>
              <c:showCatName val="0"/>
              <c:showSerName val="0"/>
              <c:showPercent val="0"/>
              <c:showBubbleSize val="0"/>
              <c:extLst>
                <c:ext xmlns:c15="http://schemas.microsoft.com/office/drawing/2012/chart" uri="{CE6537A1-D6FC-4f65-9D91-7224C49458BB}">
                  <c15:layout>
                    <c:manualLayout>
                      <c:w val="7.0810556745008732E-2"/>
                      <c:h val="0.10596738780562483"/>
                    </c:manualLayout>
                  </c15:layout>
                </c:ext>
                <c:ext xmlns:c16="http://schemas.microsoft.com/office/drawing/2014/chart" uri="{C3380CC4-5D6E-409C-BE32-E72D297353CC}">
                  <c16:uniqueId val="{0000000B-08EF-488B-90B9-85E7429F5CD0}"/>
                </c:ext>
              </c:extLst>
            </c:dLbl>
            <c:dLbl>
              <c:idx val="3"/>
              <c:tx>
                <c:rich>
                  <a:bodyPr/>
                  <a:lstStyle/>
                  <a:p>
                    <a:r>
                      <a:rPr lang="en-US"/>
                      <a:t>Aa</a:t>
                    </a:r>
                  </a:p>
                </c:rich>
              </c:tx>
              <c:dLblPos val="outEnd"/>
              <c:showLegendKey val="0"/>
              <c:showVal val="1"/>
              <c:showCatName val="0"/>
              <c:showSerName val="0"/>
              <c:showPercent val="0"/>
              <c:showBubbleSize val="0"/>
              <c:extLst>
                <c:ext xmlns:c15="http://schemas.microsoft.com/office/drawing/2012/chart" uri="{CE6537A1-D6FC-4f65-9D91-7224C49458BB}">
                  <c15:layout>
                    <c:manualLayout>
                      <c:w val="4.5629431175874799E-2"/>
                      <c:h val="7.4817354315352219E-2"/>
                    </c:manualLayout>
                  </c15:layout>
                </c:ext>
                <c:ext xmlns:c16="http://schemas.microsoft.com/office/drawing/2014/chart" uri="{C3380CC4-5D6E-409C-BE32-E72D297353CC}">
                  <c16:uniqueId val="{0000000C-08EF-488B-90B9-85E7429F5CD0}"/>
                </c:ext>
              </c:extLst>
            </c:dLbl>
            <c:dLbl>
              <c:idx val="4"/>
              <c:layout>
                <c:manualLayout>
                  <c:x val="0"/>
                  <c:y val="-2.9253830472556162E-2"/>
                </c:manualLayout>
              </c:layout>
              <c:tx>
                <c:rich>
                  <a:bodyPr/>
                  <a:lstStyle/>
                  <a:p>
                    <a:r>
                      <a:rPr lang="en-US"/>
                      <a:t>Aa</a:t>
                    </a:r>
                  </a:p>
                </c:rich>
              </c:tx>
              <c:dLblPos val="outEnd"/>
              <c:showLegendKey val="0"/>
              <c:showVal val="1"/>
              <c:showCatName val="0"/>
              <c:showSerName val="0"/>
              <c:showPercent val="0"/>
              <c:showBubbleSize val="0"/>
              <c:extLst>
                <c:ext xmlns:c15="http://schemas.microsoft.com/office/drawing/2012/chart" uri="{CE6537A1-D6FC-4f65-9D91-7224C49458BB}">
                  <c15:layout>
                    <c:manualLayout>
                      <c:w val="7.3634135981964915E-2"/>
                      <c:h val="0.10845448926392731"/>
                    </c:manualLayout>
                  </c15:layout>
                </c:ext>
                <c:ext xmlns:c16="http://schemas.microsoft.com/office/drawing/2014/chart" uri="{C3380CC4-5D6E-409C-BE32-E72D297353CC}">
                  <c16:uniqueId val="{0000000D-08EF-488B-90B9-85E7429F5CD0}"/>
                </c:ext>
              </c:extLst>
            </c:dLbl>
            <c:dLbl>
              <c:idx val="5"/>
              <c:tx>
                <c:rich>
                  <a:bodyPr/>
                  <a:lstStyle/>
                  <a:p>
                    <a:r>
                      <a:rPr lang="en-US"/>
                      <a:t>Aa</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08EF-488B-90B9-85E7429F5CD0}"/>
                </c:ext>
              </c:extLst>
            </c:dLbl>
            <c:dLbl>
              <c:idx val="6"/>
              <c:tx>
                <c:rich>
                  <a:bodyPr/>
                  <a:lstStyle/>
                  <a:p>
                    <a:r>
                      <a:rPr lang="en-US"/>
                      <a:t>Aa</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08EF-488B-90B9-85E7429F5CD0}"/>
                </c:ext>
              </c:extLst>
            </c:dLbl>
            <c:dLbl>
              <c:idx val="7"/>
              <c:layout>
                <c:manualLayout>
                  <c:x val="1.0142805835435015E-16"/>
                  <c:y val="-9.7511488538335883E-3"/>
                </c:manualLayout>
              </c:layout>
              <c:tx>
                <c:rich>
                  <a:bodyPr/>
                  <a:lstStyle/>
                  <a:p>
                    <a:r>
                      <a:rPr lang="en-US"/>
                      <a:t>Aa</a:t>
                    </a:r>
                  </a:p>
                </c:rich>
              </c:tx>
              <c:dLblPos val="outEnd"/>
              <c:showLegendKey val="0"/>
              <c:showVal val="1"/>
              <c:showCatName val="0"/>
              <c:showSerName val="0"/>
              <c:showPercent val="0"/>
              <c:showBubbleSize val="0"/>
              <c:extLst>
                <c:ext xmlns:c15="http://schemas.microsoft.com/office/drawing/2012/chart" uri="{CE6537A1-D6FC-4f65-9D91-7224C49458BB}">
                  <c15:layout>
                    <c:manualLayout>
                      <c:w val="7.9143654958116885E-2"/>
                      <c:h val="0.10135710304240662"/>
                    </c:manualLayout>
                  </c15:layout>
                </c:ext>
                <c:ext xmlns:c16="http://schemas.microsoft.com/office/drawing/2014/chart" uri="{C3380CC4-5D6E-409C-BE32-E72D297353CC}">
                  <c16:uniqueId val="{00000010-08EF-488B-90B9-85E7429F5CD0}"/>
                </c:ext>
              </c:extLst>
            </c:dLbl>
            <c:dLbl>
              <c:idx val="8"/>
              <c:layout>
                <c:manualLayout>
                  <c:x val="1.0890754838217837E-7"/>
                  <c:y val="-2.6816379181271284E-2"/>
                </c:manualLayout>
              </c:layout>
              <c:tx>
                <c:rich>
                  <a:bodyPr/>
                  <a:lstStyle/>
                  <a:p>
                    <a:r>
                      <a:rPr lang="en-US"/>
                      <a:t>Aa</a:t>
                    </a:r>
                  </a:p>
                  <a:p>
                    <a:endParaRPr lang="en-US"/>
                  </a:p>
                </c:rich>
              </c:tx>
              <c:dLblPos val="outEnd"/>
              <c:showLegendKey val="0"/>
              <c:showVal val="1"/>
              <c:showCatName val="0"/>
              <c:showSerName val="0"/>
              <c:showPercent val="0"/>
              <c:showBubbleSize val="0"/>
              <c:extLst>
                <c:ext xmlns:c15="http://schemas.microsoft.com/office/drawing/2012/chart" uri="{CE6537A1-D6FC-4f65-9D91-7224C49458BB}">
                  <c15:layout>
                    <c:manualLayout>
                      <c:w val="6.8124503109310494E-2"/>
                      <c:h val="9.5950506186726653E-2"/>
                    </c:manualLayout>
                  </c15:layout>
                </c:ext>
                <c:ext xmlns:c16="http://schemas.microsoft.com/office/drawing/2014/chart" uri="{C3380CC4-5D6E-409C-BE32-E72D297353CC}">
                  <c16:uniqueId val="{00000011-08EF-488B-90B9-85E7429F5CD0}"/>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SoyOnly2!$AG$45:$AG$53</c:f>
                <c:numCache>
                  <c:formatCode>General</c:formatCode>
                  <c:ptCount val="9"/>
                  <c:pt idx="0">
                    <c:v>0.14832203588308251</c:v>
                  </c:pt>
                  <c:pt idx="1">
                    <c:v>0.15866346999166434</c:v>
                  </c:pt>
                  <c:pt idx="2">
                    <c:v>0.6026250602523876</c:v>
                  </c:pt>
                  <c:pt idx="3">
                    <c:v>0.38363719060737439</c:v>
                  </c:pt>
                  <c:pt idx="4">
                    <c:v>0.99866791463677984</c:v>
                  </c:pt>
                  <c:pt idx="5">
                    <c:v>0.20190486122457219</c:v>
                  </c:pt>
                  <c:pt idx="6">
                    <c:v>0.24612938103564699</c:v>
                  </c:pt>
                  <c:pt idx="7">
                    <c:v>0.66349973978321508</c:v>
                  </c:pt>
                  <c:pt idx="8">
                    <c:v>0.78523965125199502</c:v>
                  </c:pt>
                </c:numCache>
              </c:numRef>
            </c:plus>
            <c:minus>
              <c:numRef>
                <c:f>SoyOnly2!$AG$45:$AG$53</c:f>
                <c:numCache>
                  <c:formatCode>General</c:formatCode>
                  <c:ptCount val="9"/>
                  <c:pt idx="0">
                    <c:v>0.14832203588308251</c:v>
                  </c:pt>
                  <c:pt idx="1">
                    <c:v>0.15866346999166434</c:v>
                  </c:pt>
                  <c:pt idx="2">
                    <c:v>0.6026250602523876</c:v>
                  </c:pt>
                  <c:pt idx="3">
                    <c:v>0.38363719060737439</c:v>
                  </c:pt>
                  <c:pt idx="4">
                    <c:v>0.99866791463677984</c:v>
                  </c:pt>
                  <c:pt idx="5">
                    <c:v>0.20190486122457219</c:v>
                  </c:pt>
                  <c:pt idx="6">
                    <c:v>0.24612938103564699</c:v>
                  </c:pt>
                  <c:pt idx="7">
                    <c:v>0.66349973978321508</c:v>
                  </c:pt>
                  <c:pt idx="8">
                    <c:v>0.78523965125199502</c:v>
                  </c:pt>
                </c:numCache>
              </c:numRef>
            </c:minus>
            <c:spPr>
              <a:noFill/>
              <a:ln w="9525" cap="flat" cmpd="sng" algn="ctr">
                <a:solidFill>
                  <a:schemeClr val="tx1">
                    <a:lumMod val="65000"/>
                    <a:lumOff val="35000"/>
                  </a:schemeClr>
                </a:solidFill>
                <a:round/>
              </a:ln>
              <a:effectLst/>
            </c:spPr>
          </c:errBars>
          <c:cat>
            <c:multiLvlStrRef>
              <c:f>SoyOnly2!$AD$45:$AD$53</c:f>
              <c:multiLvlStrCache>
                <c:ptCount val="9"/>
                <c:lvl>
                  <c:pt idx="0">
                    <c:v> </c:v>
                  </c:pt>
                  <c:pt idx="1">
                    <c:v>CP</c:v>
                  </c:pt>
                  <c:pt idx="2">
                    <c:v>NT</c:v>
                  </c:pt>
                  <c:pt idx="3">
                    <c:v>CP</c:v>
                  </c:pt>
                  <c:pt idx="4">
                    <c:v>NT</c:v>
                  </c:pt>
                  <c:pt idx="5">
                    <c:v>CP</c:v>
                  </c:pt>
                  <c:pt idx="6">
                    <c:v>NT</c:v>
                  </c:pt>
                  <c:pt idx="7">
                    <c:v>CP</c:v>
                  </c:pt>
                  <c:pt idx="8">
                    <c:v>NT</c:v>
                  </c:pt>
                </c:lvl>
                <c:lvl>
                  <c:pt idx="0">
                    <c:v>Fall</c:v>
                  </c:pt>
                  <c:pt idx="1">
                    <c:v>Spring</c:v>
                  </c:pt>
                  <c:pt idx="3">
                    <c:v>Fall</c:v>
                  </c:pt>
                  <c:pt idx="5">
                    <c:v>Spring</c:v>
                  </c:pt>
                  <c:pt idx="7">
                    <c:v>Fall</c:v>
                  </c:pt>
                </c:lvl>
                <c:lvl>
                  <c:pt idx="0">
                    <c:v>2017</c:v>
                  </c:pt>
                  <c:pt idx="1">
                    <c:v>2018</c:v>
                  </c:pt>
                  <c:pt idx="5">
                    <c:v>2019</c:v>
                  </c:pt>
                </c:lvl>
              </c:multiLvlStrCache>
            </c:multiLvlStrRef>
          </c:cat>
          <c:val>
            <c:numRef>
              <c:f>SoyOnly2!$AD$45:$AD$53</c:f>
              <c:numCache>
                <c:formatCode>General</c:formatCode>
                <c:ptCount val="9"/>
                <c:pt idx="0">
                  <c:v>2.2331666666666665</c:v>
                </c:pt>
                <c:pt idx="1">
                  <c:v>1.1501799907386949</c:v>
                </c:pt>
                <c:pt idx="2">
                  <c:v>3.222062276890886</c:v>
                </c:pt>
                <c:pt idx="3">
                  <c:v>2.03470972790628</c:v>
                </c:pt>
                <c:pt idx="4">
                  <c:v>3.5123506316630202</c:v>
                </c:pt>
                <c:pt idx="5">
                  <c:v>2.0219245263944252</c:v>
                </c:pt>
                <c:pt idx="6">
                  <c:v>2.8800521187615566</c:v>
                </c:pt>
                <c:pt idx="7">
                  <c:v>5.3133831100060283</c:v>
                </c:pt>
                <c:pt idx="8">
                  <c:v>4.6235809800512806</c:v>
                </c:pt>
              </c:numCache>
            </c:numRef>
          </c:val>
          <c:extLst>
            <c:ext xmlns:c16="http://schemas.microsoft.com/office/drawing/2014/chart" uri="{C3380CC4-5D6E-409C-BE32-E72D297353CC}">
              <c16:uniqueId val="{00000012-08EF-488B-90B9-85E7429F5CD0}"/>
            </c:ext>
          </c:extLst>
        </c:ser>
        <c:dLbls>
          <c:dLblPos val="outEnd"/>
          <c:showLegendKey val="0"/>
          <c:showVal val="1"/>
          <c:showCatName val="0"/>
          <c:showSerName val="0"/>
          <c:showPercent val="0"/>
          <c:showBubbleSize val="0"/>
        </c:dLbls>
        <c:gapWidth val="100"/>
        <c:axId val="676016904"/>
        <c:axId val="676018184"/>
      </c:barChart>
      <c:catAx>
        <c:axId val="6760169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76018184"/>
        <c:crosses val="autoZero"/>
        <c:auto val="1"/>
        <c:lblAlgn val="ctr"/>
        <c:lblOffset val="100"/>
        <c:noMultiLvlLbl val="0"/>
      </c:catAx>
      <c:valAx>
        <c:axId val="676018184"/>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 of Fraction</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in"/>
        <c:minorTickMark val="none"/>
        <c:tickLblPos val="nextTo"/>
        <c:spPr>
          <a:noFill/>
          <a:ln>
            <a:solidFill>
              <a:schemeClr val="bg1">
                <a:lumMod val="85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7601690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pivotOptions>
    </c:ext>
    <c:ext xmlns:c16="http://schemas.microsoft.com/office/drawing/2014/chart" uri="{E28EC0CA-F0BB-4C9C-879D-F8772B89E7AC}">
      <c16:pivotOptions16>
        <c16:showExpandCollapseFieldButtons val="1"/>
      </c16:pivotOptions16>
    </c:ext>
  </c:extLst>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[Master File_SAS.xlsx]SoyOnly!PivotTable24</c:name>
    <c:fmtId val="-1"/>
  </c:pivotSource>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Soil Bulk Density 0-6"</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ivotFmts>
      <c:pivotFmt>
        <c:idx val="0"/>
        <c:spPr>
          <a:solidFill>
            <a:schemeClr val="bg1">
              <a:lumMod val="65000"/>
            </a:schemeClr>
          </a:solidFill>
          <a:ln>
            <a:solidFill>
              <a:sysClr val="windowText" lastClr="000000"/>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bg1">
              <a:lumMod val="85000"/>
            </a:schemeClr>
          </a:solidFill>
          <a:ln>
            <a:solidFill>
              <a:sysClr val="windowText" lastClr="000000"/>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bg1">
              <a:lumMod val="85000"/>
            </a:schemeClr>
          </a:solidFill>
          <a:ln>
            <a:solidFill>
              <a:sysClr val="windowText" lastClr="000000"/>
            </a:solidFill>
          </a:ln>
          <a:effectLst/>
        </c:spP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bg1">
              <a:lumMod val="8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4"/>
        <c:spPr>
          <a:solidFill>
            <a:schemeClr val="bg1">
              <a:lumMod val="6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5"/>
        <c:spPr>
          <a:solidFill>
            <a:schemeClr val="bg1">
              <a:lumMod val="8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6"/>
        <c:spPr>
          <a:solidFill>
            <a:schemeClr val="bg1">
              <a:lumMod val="8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7"/>
        <c:spPr>
          <a:solidFill>
            <a:schemeClr val="bg1">
              <a:lumMod val="6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8"/>
        <c:spPr>
          <a:solidFill>
            <a:schemeClr val="bg1">
              <a:lumMod val="6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9"/>
        <c:spPr>
          <a:solidFill>
            <a:schemeClr val="bg1">
              <a:lumMod val="8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0"/>
        <c:spPr>
          <a:solidFill>
            <a:schemeClr val="bg1">
              <a:lumMod val="6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1"/>
        <c:spPr>
          <a:solidFill>
            <a:schemeClr val="bg1">
              <a:lumMod val="8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2"/>
        <c:spPr>
          <a:solidFill>
            <a:schemeClr val="bg1">
              <a:lumMod val="8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3"/>
        <c:spPr>
          <a:solidFill>
            <a:schemeClr val="bg1">
              <a:lumMod val="6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4"/>
        <c:spPr>
          <a:solidFill>
            <a:schemeClr val="bg1">
              <a:lumMod val="6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5"/>
        <c:spPr>
          <a:solidFill>
            <a:schemeClr val="bg1">
              <a:lumMod val="65000"/>
            </a:schemeClr>
          </a:solidFill>
          <a:ln>
            <a:solidFill>
              <a:sysClr val="windowText" lastClr="000000"/>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6"/>
        <c:spPr>
          <a:solidFill>
            <a:schemeClr val="bg1">
              <a:lumMod val="6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7"/>
        <c:spPr>
          <a:solidFill>
            <a:schemeClr val="bg1">
              <a:lumMod val="6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8"/>
        <c:spPr>
          <a:solidFill>
            <a:schemeClr val="bg1">
              <a:lumMod val="6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9"/>
        <c:spPr>
          <a:solidFill>
            <a:schemeClr val="bg1">
              <a:lumMod val="6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0"/>
        <c:spPr>
          <a:solidFill>
            <a:schemeClr val="bg1">
              <a:lumMod val="6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1"/>
        <c:spPr>
          <a:solidFill>
            <a:schemeClr val="bg1">
              <a:lumMod val="6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2"/>
        <c:spPr>
          <a:solidFill>
            <a:schemeClr val="bg1">
              <a:lumMod val="85000"/>
            </a:schemeClr>
          </a:solidFill>
          <a:ln>
            <a:solidFill>
              <a:sysClr val="windowText" lastClr="000000"/>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3"/>
        <c:spPr>
          <a:solidFill>
            <a:schemeClr val="bg1">
              <a:lumMod val="85000"/>
            </a:schemeClr>
          </a:solidFill>
          <a:ln>
            <a:solidFill>
              <a:sysClr val="windowText" lastClr="000000"/>
            </a:solidFill>
          </a:ln>
          <a:effectLst/>
        </c:spP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4"/>
        <c:spPr>
          <a:solidFill>
            <a:schemeClr val="bg1">
              <a:lumMod val="8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5"/>
        <c:spPr>
          <a:solidFill>
            <a:schemeClr val="bg1">
              <a:lumMod val="8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6"/>
        <c:spPr>
          <a:solidFill>
            <a:schemeClr val="bg1">
              <a:lumMod val="8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7"/>
        <c:spPr>
          <a:solidFill>
            <a:schemeClr val="bg1">
              <a:lumMod val="8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8"/>
        <c:spPr>
          <a:solidFill>
            <a:schemeClr val="bg1">
              <a:lumMod val="8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9"/>
        <c:spPr>
          <a:solidFill>
            <a:schemeClr val="bg1">
              <a:lumMod val="8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30"/>
        <c:spPr>
          <a:solidFill>
            <a:schemeClr val="bg1">
              <a:lumMod val="65000"/>
            </a:schemeClr>
          </a:solidFill>
          <a:ln>
            <a:solidFill>
              <a:sysClr val="windowText" lastClr="000000"/>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31"/>
        <c:spPr>
          <a:solidFill>
            <a:schemeClr val="bg1">
              <a:lumMod val="6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32"/>
        <c:spPr>
          <a:solidFill>
            <a:schemeClr val="bg1">
              <a:lumMod val="6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33"/>
        <c:spPr>
          <a:solidFill>
            <a:schemeClr val="bg1">
              <a:lumMod val="6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34"/>
        <c:spPr>
          <a:solidFill>
            <a:schemeClr val="bg1">
              <a:lumMod val="6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35"/>
        <c:spPr>
          <a:solidFill>
            <a:schemeClr val="bg1">
              <a:lumMod val="6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36"/>
        <c:spPr>
          <a:solidFill>
            <a:schemeClr val="bg1">
              <a:lumMod val="6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37"/>
        <c:spPr>
          <a:solidFill>
            <a:schemeClr val="bg1">
              <a:lumMod val="85000"/>
            </a:schemeClr>
          </a:solidFill>
          <a:ln>
            <a:solidFill>
              <a:sysClr val="windowText" lastClr="000000"/>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38"/>
        <c:spPr>
          <a:solidFill>
            <a:schemeClr val="bg1">
              <a:lumMod val="85000"/>
            </a:schemeClr>
          </a:solidFill>
          <a:ln>
            <a:solidFill>
              <a:sysClr val="windowText" lastClr="000000"/>
            </a:solidFill>
          </a:ln>
          <a:effectLst/>
        </c:spP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9"/>
        <c:spPr>
          <a:solidFill>
            <a:schemeClr val="bg1">
              <a:lumMod val="8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40"/>
        <c:spPr>
          <a:solidFill>
            <a:schemeClr val="bg1">
              <a:lumMod val="8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41"/>
        <c:spPr>
          <a:solidFill>
            <a:schemeClr val="bg1">
              <a:lumMod val="8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42"/>
        <c:spPr>
          <a:solidFill>
            <a:schemeClr val="bg1">
              <a:lumMod val="8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43"/>
        <c:spPr>
          <a:solidFill>
            <a:schemeClr val="bg1">
              <a:lumMod val="8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44"/>
        <c:spPr>
          <a:solidFill>
            <a:schemeClr val="bg1">
              <a:lumMod val="85000"/>
            </a:schemeClr>
          </a:solidFill>
          <a:ln>
            <a:solidFill>
              <a:sysClr val="windowText" lastClr="000000"/>
            </a:solid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SoyOnly!$AM$4:$AM$5</c:f>
              <c:strCache>
                <c:ptCount val="1"/>
                <c:pt idx="0">
                  <c:v>CC</c:v>
                </c:pt>
              </c:strCache>
            </c:strRef>
          </c:tx>
          <c:spPr>
            <a:solidFill>
              <a:schemeClr val="bg1">
                <a:lumMod val="65000"/>
              </a:schemeClr>
            </a:solidFill>
            <a:ln>
              <a:solidFill>
                <a:sysClr val="windowText" lastClr="000000"/>
              </a:solidFill>
            </a:ln>
            <a:effectLst/>
          </c:spPr>
          <c:invertIfNegative val="0"/>
          <c:dLbls>
            <c:dLbl>
              <c:idx val="1"/>
              <c:tx>
                <c:rich>
                  <a:bodyPr/>
                  <a:lstStyle/>
                  <a:p>
                    <a:r>
                      <a:rPr lang="en-US"/>
                      <a:t>Aa</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203-452D-925C-75252D2A4A4F}"/>
                </c:ext>
              </c:extLst>
            </c:dLbl>
            <c:dLbl>
              <c:idx val="2"/>
              <c:tx>
                <c:rich>
                  <a:bodyPr/>
                  <a:lstStyle/>
                  <a:p>
                    <a:r>
                      <a:rPr lang="en-US"/>
                      <a:t>Aa</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203-452D-925C-75252D2A4A4F}"/>
                </c:ext>
              </c:extLst>
            </c:dLbl>
            <c:dLbl>
              <c:idx val="3"/>
              <c:tx>
                <c:rich>
                  <a:bodyPr/>
                  <a:lstStyle/>
                  <a:p>
                    <a:r>
                      <a:rPr lang="en-US"/>
                      <a:t>Aa</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203-452D-925C-75252D2A4A4F}"/>
                </c:ext>
              </c:extLst>
            </c:dLbl>
            <c:dLbl>
              <c:idx val="4"/>
              <c:tx>
                <c:rich>
                  <a:bodyPr/>
                  <a:lstStyle/>
                  <a:p>
                    <a:r>
                      <a:rPr lang="en-US"/>
                      <a:t>Aa</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203-452D-925C-75252D2A4A4F}"/>
                </c:ext>
              </c:extLst>
            </c:dLbl>
            <c:dLbl>
              <c:idx val="5"/>
              <c:tx>
                <c:rich>
                  <a:bodyPr/>
                  <a:lstStyle/>
                  <a:p>
                    <a:r>
                      <a:rPr lang="en-US"/>
                      <a:t>Aa</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203-452D-925C-75252D2A4A4F}"/>
                </c:ext>
              </c:extLst>
            </c:dLbl>
            <c:dLbl>
              <c:idx val="6"/>
              <c:tx>
                <c:rich>
                  <a:bodyPr/>
                  <a:lstStyle/>
                  <a:p>
                    <a:r>
                      <a:rPr lang="en-US"/>
                      <a:t>Aa</a:t>
                    </a:r>
                  </a:p>
                </c:rich>
              </c:tx>
              <c:dLblPos val="outEnd"/>
              <c:showLegendKey val="0"/>
              <c:showVal val="1"/>
              <c:showCatName val="0"/>
              <c:showSerName val="0"/>
              <c:showPercent val="0"/>
              <c:showBubbleSize val="0"/>
              <c:extLst>
                <c:ext xmlns:c15="http://schemas.microsoft.com/office/drawing/2012/chart" uri="{CE6537A1-D6FC-4f65-9D91-7224C49458BB}">
                  <c15:layout>
                    <c:manualLayout>
                      <c:w val="4.5654689648709494E-2"/>
                      <c:h val="8.8616763032884752E-2"/>
                    </c:manualLayout>
                  </c15:layout>
                </c:ext>
                <c:ext xmlns:c16="http://schemas.microsoft.com/office/drawing/2014/chart" uri="{C3380CC4-5D6E-409C-BE32-E72D297353CC}">
                  <c16:uniqueId val="{00000005-8203-452D-925C-75252D2A4A4F}"/>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SoyOnly!$AT$4:$AT$10</c:f>
                <c:numCache>
                  <c:formatCode>General</c:formatCode>
                  <c:ptCount val="7"/>
                  <c:pt idx="1">
                    <c:v>2.0075929771464125E-2</c:v>
                  </c:pt>
                  <c:pt idx="2">
                    <c:v>5.9902452991435423E-3</c:v>
                  </c:pt>
                  <c:pt idx="3">
                    <c:v>2.5596687920878811E-2</c:v>
                  </c:pt>
                  <c:pt idx="4">
                    <c:v>5.4183963710536867E-2</c:v>
                  </c:pt>
                  <c:pt idx="5">
                    <c:v>1.6168622034974978E-2</c:v>
                  </c:pt>
                  <c:pt idx="6">
                    <c:v>9.2997960079576891E-2</c:v>
                  </c:pt>
                </c:numCache>
              </c:numRef>
            </c:plus>
            <c:minus>
              <c:numRef>
                <c:f>SoyOnly!$AT$4:$AT$10</c:f>
                <c:numCache>
                  <c:formatCode>General</c:formatCode>
                  <c:ptCount val="7"/>
                  <c:pt idx="1">
                    <c:v>2.0075929771464125E-2</c:v>
                  </c:pt>
                  <c:pt idx="2">
                    <c:v>5.9902452991435423E-3</c:v>
                  </c:pt>
                  <c:pt idx="3">
                    <c:v>2.5596687920878811E-2</c:v>
                  </c:pt>
                  <c:pt idx="4">
                    <c:v>5.4183963710536867E-2</c:v>
                  </c:pt>
                  <c:pt idx="5">
                    <c:v>1.6168622034974978E-2</c:v>
                  </c:pt>
                  <c:pt idx="6">
                    <c:v>9.2997960079576891E-2</c:v>
                  </c:pt>
                </c:numCache>
              </c:numRef>
            </c:minus>
            <c:spPr>
              <a:noFill/>
              <a:ln w="9525" cap="flat" cmpd="sng" algn="ctr">
                <a:solidFill>
                  <a:schemeClr val="tx1">
                    <a:lumMod val="65000"/>
                    <a:lumOff val="35000"/>
                  </a:schemeClr>
                </a:solidFill>
                <a:round/>
              </a:ln>
              <a:effectLst/>
            </c:spPr>
          </c:errBars>
          <c:cat>
            <c:multiLvlStrRef>
              <c:f>SoyOnly!$AT$4:$AT$10</c:f>
              <c:multiLvlStrCache>
                <c:ptCount val="7"/>
                <c:lvl>
                  <c:pt idx="0">
                    <c:v> </c:v>
                  </c:pt>
                  <c:pt idx="1">
                    <c:v>CP</c:v>
                  </c:pt>
                  <c:pt idx="2">
                    <c:v>NT</c:v>
                  </c:pt>
                  <c:pt idx="3">
                    <c:v>CP</c:v>
                  </c:pt>
                  <c:pt idx="4">
                    <c:v>NT</c:v>
                  </c:pt>
                  <c:pt idx="5">
                    <c:v>CP</c:v>
                  </c:pt>
                  <c:pt idx="6">
                    <c:v>NT</c:v>
                  </c:pt>
                </c:lvl>
                <c:lvl>
                  <c:pt idx="0">
                    <c:v>Fall</c:v>
                  </c:pt>
                  <c:pt idx="1">
                    <c:v>Spring</c:v>
                  </c:pt>
                  <c:pt idx="3">
                    <c:v>Fall</c:v>
                  </c:pt>
                  <c:pt idx="5">
                    <c:v>Spring</c:v>
                  </c:pt>
                </c:lvl>
                <c:lvl>
                  <c:pt idx="0">
                    <c:v>2017</c:v>
                  </c:pt>
                  <c:pt idx="1">
                    <c:v>2018</c:v>
                  </c:pt>
                  <c:pt idx="5">
                    <c:v>2019</c:v>
                  </c:pt>
                </c:lvl>
              </c:multiLvlStrCache>
            </c:multiLvlStrRef>
          </c:cat>
          <c:val>
            <c:numRef>
              <c:f>SoyOnly!$AT$4:$AT$10</c:f>
              <c:numCache>
                <c:formatCode>General</c:formatCode>
                <c:ptCount val="7"/>
                <c:pt idx="1">
                  <c:v>1.2403086269085779</c:v>
                </c:pt>
                <c:pt idx="2">
                  <c:v>1.3234724595232283</c:v>
                </c:pt>
                <c:pt idx="3">
                  <c:v>1.1977083502834054</c:v>
                </c:pt>
                <c:pt idx="4">
                  <c:v>1.2066905323678574</c:v>
                </c:pt>
                <c:pt idx="5">
                  <c:v>1.2916361565373038</c:v>
                </c:pt>
                <c:pt idx="6">
                  <c:v>1.2182165812383043</c:v>
                </c:pt>
              </c:numCache>
            </c:numRef>
          </c:val>
          <c:extLst>
            <c:ext xmlns:c16="http://schemas.microsoft.com/office/drawing/2014/chart" uri="{C3380CC4-5D6E-409C-BE32-E72D297353CC}">
              <c16:uniqueId val="{00000006-8203-452D-925C-75252D2A4A4F}"/>
            </c:ext>
          </c:extLst>
        </c:ser>
        <c:ser>
          <c:idx val="1"/>
          <c:order val="1"/>
          <c:tx>
            <c:strRef>
              <c:f>SoyOnly!$AN$4:$AN$5</c:f>
              <c:strCache>
                <c:ptCount val="1"/>
                <c:pt idx="0">
                  <c:v>NC</c:v>
                </c:pt>
              </c:strCache>
            </c:strRef>
          </c:tx>
          <c:spPr>
            <a:solidFill>
              <a:schemeClr val="bg1">
                <a:lumMod val="85000"/>
              </a:schemeClr>
            </a:solidFill>
            <a:ln>
              <a:solidFill>
                <a:sysClr val="windowText" lastClr="000000"/>
              </a:solid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7-8203-452D-925C-75252D2A4A4F}"/>
                </c:ext>
              </c:extLst>
            </c:dLbl>
            <c:dLbl>
              <c:idx val="1"/>
              <c:tx>
                <c:rich>
                  <a:bodyPr/>
                  <a:lstStyle/>
                  <a:p>
                    <a:r>
                      <a:rPr lang="en-US"/>
                      <a:t>Aa</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8203-452D-925C-75252D2A4A4F}"/>
                </c:ext>
              </c:extLst>
            </c:dLbl>
            <c:dLbl>
              <c:idx val="2"/>
              <c:tx>
                <c:rich>
                  <a:bodyPr/>
                  <a:lstStyle/>
                  <a:p>
                    <a:r>
                      <a:rPr lang="en-US"/>
                      <a:t>Aa</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8203-452D-925C-75252D2A4A4F}"/>
                </c:ext>
              </c:extLst>
            </c:dLbl>
            <c:dLbl>
              <c:idx val="3"/>
              <c:tx>
                <c:rich>
                  <a:bodyPr/>
                  <a:lstStyle/>
                  <a:p>
                    <a:r>
                      <a:rPr lang="en-US"/>
                      <a:t>Aa</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8203-452D-925C-75252D2A4A4F}"/>
                </c:ext>
              </c:extLst>
            </c:dLbl>
            <c:dLbl>
              <c:idx val="4"/>
              <c:tx>
                <c:rich>
                  <a:bodyPr/>
                  <a:lstStyle/>
                  <a:p>
                    <a:r>
                      <a:rPr lang="en-US"/>
                      <a:t>Aa</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8203-452D-925C-75252D2A4A4F}"/>
                </c:ext>
              </c:extLst>
            </c:dLbl>
            <c:dLbl>
              <c:idx val="5"/>
              <c:tx>
                <c:rich>
                  <a:bodyPr/>
                  <a:lstStyle/>
                  <a:p>
                    <a:r>
                      <a:rPr lang="en-US"/>
                      <a:t>Aa</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8203-452D-925C-75252D2A4A4F}"/>
                </c:ext>
              </c:extLst>
            </c:dLbl>
            <c:dLbl>
              <c:idx val="6"/>
              <c:tx>
                <c:rich>
                  <a:bodyPr/>
                  <a:lstStyle/>
                  <a:p>
                    <a:r>
                      <a:rPr lang="en-US"/>
                      <a:t>Aa</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8203-452D-925C-75252D2A4A4F}"/>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SoyOnly!$AW$4:$AW$10</c:f>
                <c:numCache>
                  <c:formatCode>General</c:formatCode>
                  <c:ptCount val="7"/>
                  <c:pt idx="0">
                    <c:v>5.6668876296798135E-2</c:v>
                  </c:pt>
                  <c:pt idx="1">
                    <c:v>6.3950996573281897E-3</c:v>
                  </c:pt>
                  <c:pt idx="2">
                    <c:v>4.3769802382176592E-2</c:v>
                  </c:pt>
                  <c:pt idx="3">
                    <c:v>3.78096224757394E-2</c:v>
                  </c:pt>
                  <c:pt idx="4">
                    <c:v>2.7230138739941002E-2</c:v>
                  </c:pt>
                  <c:pt idx="5">
                    <c:v>1.0649020073437165E-2</c:v>
                  </c:pt>
                  <c:pt idx="6">
                    <c:v>3.1418768741650296E-2</c:v>
                  </c:pt>
                </c:numCache>
              </c:numRef>
            </c:plus>
            <c:minus>
              <c:numRef>
                <c:f>SoyOnly!$AW$4:$AW$10</c:f>
                <c:numCache>
                  <c:formatCode>General</c:formatCode>
                  <c:ptCount val="7"/>
                  <c:pt idx="0">
                    <c:v>5.6668876296798135E-2</c:v>
                  </c:pt>
                  <c:pt idx="1">
                    <c:v>6.3950996573281897E-3</c:v>
                  </c:pt>
                  <c:pt idx="2">
                    <c:v>4.3769802382176592E-2</c:v>
                  </c:pt>
                  <c:pt idx="3">
                    <c:v>3.78096224757394E-2</c:v>
                  </c:pt>
                  <c:pt idx="4">
                    <c:v>2.7230138739941002E-2</c:v>
                  </c:pt>
                  <c:pt idx="5">
                    <c:v>1.0649020073437165E-2</c:v>
                  </c:pt>
                  <c:pt idx="6">
                    <c:v>3.1418768741650296E-2</c:v>
                  </c:pt>
                </c:numCache>
              </c:numRef>
            </c:minus>
            <c:spPr>
              <a:noFill/>
              <a:ln w="9525" cap="flat" cmpd="sng" algn="ctr">
                <a:solidFill>
                  <a:schemeClr val="tx1">
                    <a:lumMod val="65000"/>
                    <a:lumOff val="35000"/>
                  </a:schemeClr>
                </a:solidFill>
                <a:round/>
              </a:ln>
              <a:effectLst/>
            </c:spPr>
          </c:errBars>
          <c:cat>
            <c:multiLvlStrRef>
              <c:f>SoyOnly!$AT$4:$AT$10</c:f>
              <c:multiLvlStrCache>
                <c:ptCount val="7"/>
                <c:lvl>
                  <c:pt idx="0">
                    <c:v> </c:v>
                  </c:pt>
                  <c:pt idx="1">
                    <c:v>CP</c:v>
                  </c:pt>
                  <c:pt idx="2">
                    <c:v>NT</c:v>
                  </c:pt>
                  <c:pt idx="3">
                    <c:v>CP</c:v>
                  </c:pt>
                  <c:pt idx="4">
                    <c:v>NT</c:v>
                  </c:pt>
                  <c:pt idx="5">
                    <c:v>CP</c:v>
                  </c:pt>
                  <c:pt idx="6">
                    <c:v>NT</c:v>
                  </c:pt>
                </c:lvl>
                <c:lvl>
                  <c:pt idx="0">
                    <c:v>Fall</c:v>
                  </c:pt>
                  <c:pt idx="1">
                    <c:v>Spring</c:v>
                  </c:pt>
                  <c:pt idx="3">
                    <c:v>Fall</c:v>
                  </c:pt>
                  <c:pt idx="5">
                    <c:v>Spring</c:v>
                  </c:pt>
                </c:lvl>
                <c:lvl>
                  <c:pt idx="0">
                    <c:v>2017</c:v>
                  </c:pt>
                  <c:pt idx="1">
                    <c:v>2018</c:v>
                  </c:pt>
                  <c:pt idx="5">
                    <c:v>2019</c:v>
                  </c:pt>
                </c:lvl>
              </c:multiLvlStrCache>
            </c:multiLvlStrRef>
          </c:cat>
          <c:val>
            <c:numRef>
              <c:f>SoyOnly!$AT$4:$AT$10</c:f>
              <c:numCache>
                <c:formatCode>General</c:formatCode>
                <c:ptCount val="7"/>
                <c:pt idx="0">
                  <c:v>1.3307094622081193</c:v>
                </c:pt>
                <c:pt idx="1">
                  <c:v>1.2730887098961299</c:v>
                </c:pt>
                <c:pt idx="2">
                  <c:v>1.2459333387573563</c:v>
                </c:pt>
                <c:pt idx="3">
                  <c:v>1.2038998725354597</c:v>
                </c:pt>
                <c:pt idx="4">
                  <c:v>1.2726195319068152</c:v>
                </c:pt>
                <c:pt idx="5">
                  <c:v>1.2229653133729288</c:v>
                </c:pt>
                <c:pt idx="6">
                  <c:v>1.2819678355436228</c:v>
                </c:pt>
              </c:numCache>
            </c:numRef>
          </c:val>
          <c:extLst>
            <c:ext xmlns:c16="http://schemas.microsoft.com/office/drawing/2014/chart" uri="{C3380CC4-5D6E-409C-BE32-E72D297353CC}">
              <c16:uniqueId val="{0000000E-8203-452D-925C-75252D2A4A4F}"/>
            </c:ext>
          </c:extLst>
        </c:ser>
        <c:dLbls>
          <c:dLblPos val="outEnd"/>
          <c:showLegendKey val="0"/>
          <c:showVal val="1"/>
          <c:showCatName val="0"/>
          <c:showSerName val="0"/>
          <c:showPercent val="0"/>
          <c:showBubbleSize val="0"/>
        </c:dLbls>
        <c:gapWidth val="100"/>
        <c:axId val="526170232"/>
        <c:axId val="526177272"/>
      </c:barChart>
      <c:catAx>
        <c:axId val="5261702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26177272"/>
        <c:crosses val="autoZero"/>
        <c:auto val="1"/>
        <c:lblAlgn val="ctr"/>
        <c:lblOffset val="100"/>
        <c:noMultiLvlLbl val="0"/>
      </c:catAx>
      <c:valAx>
        <c:axId val="526177272"/>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Bulk Density (g*cm</a:t>
                </a:r>
                <a:r>
                  <a:rPr lang="en-US" baseline="30000"/>
                  <a:t>-3</a:t>
                </a:r>
                <a:r>
                  <a:rPr lang="en-US"/>
                  <a: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in"/>
        <c:minorTickMark val="none"/>
        <c:tickLblPos val="nextTo"/>
        <c:spPr>
          <a:noFill/>
          <a:ln>
            <a:solidFill>
              <a:schemeClr val="bg1">
                <a:lumMod val="85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2617023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baseline="0">
          <a:latin typeface="Times New Roman" panose="02020603050405020304" pitchFamily="18" charset="0"/>
          <a:cs typeface="Times New Roman" panose="02020603050405020304" pitchFamily="18" charset="0"/>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pivotOptions>
    </c:ext>
    <c:ext xmlns:c16="http://schemas.microsoft.com/office/drawing/2014/chart" uri="{E28EC0CA-F0BB-4C9C-879D-F8772B89E7AC}">
      <c16:pivotOptions16>
        <c16:showExpandCollapseFieldButtons val="1"/>
      </c16:pivotOptions16>
    </c:ext>
  </c:extLst>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0-09-01T22:06:29.992"/>
    </inkml:context>
    <inkml:brush xml:id="br0">
      <inkml:brushProperty name="width" value="0.05" units="cm"/>
      <inkml:brushProperty name="height" value="0.05" units="cm"/>
    </inkml:brush>
  </inkml:definitions>
  <inkml:trace contextRef="#ctx0" brushRef="#br0">408 13046 12544,'39'43'4122,"-38"-42"-4049,1 1 0,-1-1 0,1 0 0,0 0 1,0-1-1,-1 1 0,1 0 0,0 0 0,0-1 0,0 1 0,0-1 0,0 0 0,0 0 0,-1 0 0,1 1 0,0-2 0,0 1 0,0 0 0,0 0 1,0-1-1,0 1 0,0-1 0,0 1 0,0-1 0,-1 0 0,1 0 0,0 0 0,2-2 0,1 1 101,2-1-157,-1-1-1,0 0 0,0 0 1,0 0-1,-1-1 0,0 0 1,0 0-1,0 0 0,0 0 0,7-12 1,-10 14-21,28-41 15,-1-1-1,-3-1 1,-2-1 0,-2-1-1,27-85 1,54-274 632,-82 312-448,45-199 506,100-459 726,-39-4-435,-73 220-454,-17-60 65,-16-75 21,-20-59-155,-33-50-149,-41-55-213,-33-50-192,-204-955-2440,-111 21-7963,203 981 6792,26 25 1744</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0-08-31T20:03:22.282"/>
    </inkml:context>
    <inkml:brush xml:id="br0">
      <inkml:brushProperty name="width" value="0.05" units="cm"/>
      <inkml:brushProperty name="height" value="0.05" units="cm"/>
    </inkml:brush>
  </inkml:definitions>
  <inkml:trace contextRef="#ctx0" brushRef="#br0">33 5 15616,'-15'3'5887,"10"5"-4575,1-1-1024,4-7-704,-4 0-1216,0 0-224,4 0-736,0 0-287,4-4 1567,13-7 672,2 4 512</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9-09-27T16:47:36.424"/>
    </inkml:context>
    <inkml:brush xml:id="br0">
      <inkml:brushProperty name="width" value="0.3" units="cm"/>
      <inkml:brushProperty name="height" value="0.6" units="cm"/>
      <inkml:brushProperty name="color" value="#FFFC00"/>
      <inkml:brushProperty name="tip" value="rectangle"/>
      <inkml:brushProperty name="rasterOp" value="maskPen"/>
    </inkml:brush>
  </inkml:definitions>
  <inkml:trace contextRef="#ctx0" brushRef="#br0">0 1 8704,'13'26'3232,"-9"-22"-2496,-4 2-2112,0-3-1088,-4-1 1120,-2 4 672</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7F44B9-5779-4500-BAA2-C6C33A9883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2550</Words>
  <Characters>14541</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Cleveringa</dc:creator>
  <cp:keywords/>
  <dc:description/>
  <cp:lastModifiedBy>David Kurth</cp:lastModifiedBy>
  <cp:revision>2</cp:revision>
  <dcterms:created xsi:type="dcterms:W3CDTF">2020-09-08T13:41:00Z</dcterms:created>
  <dcterms:modified xsi:type="dcterms:W3CDTF">2020-09-08T13:41:00Z</dcterms:modified>
</cp:coreProperties>
</file>