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7B706" w14:textId="77777777" w:rsidR="00CC1423" w:rsidRDefault="00CC1423" w:rsidP="00CC1423">
      <w:pPr>
        <w:rPr>
          <w:rFonts w:ascii="Times New Roman" w:hAnsi="Times New Roman" w:cs="Times New Roman"/>
        </w:rPr>
      </w:pPr>
      <w:r w:rsidRPr="006548E0">
        <w:rPr>
          <w:rFonts w:ascii="Times New Roman" w:hAnsi="Times New Roman" w:cs="Times New Roman"/>
        </w:rPr>
        <w:t>Benefit to soybean farmers</w:t>
      </w:r>
      <w:r w:rsidR="006D0FF9">
        <w:rPr>
          <w:rFonts w:ascii="Times New Roman" w:hAnsi="Times New Roman" w:cs="Times New Roman"/>
        </w:rPr>
        <w:t>:</w:t>
      </w:r>
    </w:p>
    <w:p w14:paraId="0C7564FB" w14:textId="77777777" w:rsidR="006D0FF9" w:rsidRPr="006548E0" w:rsidRDefault="006D0FF9" w:rsidP="00CC1423">
      <w:pPr>
        <w:rPr>
          <w:rFonts w:ascii="Times New Roman" w:hAnsi="Times New Roman" w:cs="Times New Roman"/>
        </w:rPr>
      </w:pPr>
      <w:r>
        <w:rPr>
          <w:rFonts w:ascii="Times New Roman" w:hAnsi="Times New Roman" w:cs="Times New Roman"/>
        </w:rPr>
        <w:t>We have identified that almost all of the soybean aphids in Iowa are resistant to pyrethroids.  In discovering this, we have also identified targets for a  novel insecticide based on double stranded RNA (dsRNA) that silences these mutations (i.e. RNAi).  Although we learned that other insecticides can manage the soybean aphid, they are more expensive.  We have patented this novel approach and are exploring options to commercialize this technology. We have communicated these findings, except for the patent, to Iowa farmers leading up to the 2025 growing season.</w:t>
      </w:r>
    </w:p>
    <w:p w14:paraId="0EAFB825" w14:textId="77777777" w:rsidR="00CC1423" w:rsidRPr="006548E0" w:rsidRDefault="00CC1423" w:rsidP="00CC1423">
      <w:pPr>
        <w:rPr>
          <w:rFonts w:ascii="Times New Roman" w:hAnsi="Times New Roman" w:cs="Times New Roman"/>
        </w:rPr>
      </w:pPr>
      <w:r w:rsidRPr="006548E0">
        <w:rPr>
          <w:rFonts w:ascii="Times New Roman" w:hAnsi="Times New Roman" w:cs="Times New Roman"/>
        </w:rPr>
        <w:t>Farmers continue to face damage from insect pests to soybeans.  Complicating this issue is the frequent use of pesticides is resulting in pests becoming resistant to these tools.  Keeping farmers informed of these changes and suggesting alternative active ingredients and pest management methods will help farmers avoid unnecessary loss of yield or increasing cost of production.  Objectives 1 generate</w:t>
      </w:r>
      <w:r w:rsidR="006D0FF9">
        <w:rPr>
          <w:rFonts w:ascii="Times New Roman" w:hAnsi="Times New Roman" w:cs="Times New Roman"/>
        </w:rPr>
        <w:t>d</w:t>
      </w:r>
      <w:r w:rsidRPr="006548E0">
        <w:rPr>
          <w:rFonts w:ascii="Times New Roman" w:hAnsi="Times New Roman" w:cs="Times New Roman"/>
        </w:rPr>
        <w:t xml:space="preserve"> data </w:t>
      </w:r>
      <w:r w:rsidR="006D0FF9">
        <w:rPr>
          <w:rFonts w:ascii="Times New Roman" w:hAnsi="Times New Roman" w:cs="Times New Roman"/>
        </w:rPr>
        <w:t>that were used in</w:t>
      </w:r>
      <w:r w:rsidRPr="006548E0">
        <w:rPr>
          <w:rFonts w:ascii="Times New Roman" w:hAnsi="Times New Roman" w:cs="Times New Roman"/>
        </w:rPr>
        <w:t xml:space="preserve"> extension programing to inform farmers and agribusiness of these issues.</w:t>
      </w:r>
    </w:p>
    <w:p w14:paraId="06381772" w14:textId="77777777" w:rsidR="00CC1423" w:rsidRPr="006548E0" w:rsidRDefault="00CC1423" w:rsidP="00CC1423">
      <w:pPr>
        <w:rPr>
          <w:rFonts w:ascii="Times New Roman" w:hAnsi="Times New Roman" w:cs="Times New Roman"/>
        </w:rPr>
      </w:pPr>
      <w:r w:rsidRPr="006548E0">
        <w:rPr>
          <w:rFonts w:ascii="Times New Roman" w:hAnsi="Times New Roman" w:cs="Times New Roman"/>
        </w:rPr>
        <w:t>Benefits associated with Objective 2 will not be as immediate, but will address managing pests and their resistance to pesticides.  Investments by Soybean Checkoff programs and the USDA in sequencing the genomes of insect pests, like the soybean aphid, pay off in revealing the specific forms these mutations take. By identifying these mutations, we can exploit them. We will learn if a novel use of RNAi technology can help specifically kill aphids resistant to pyrethroids.  We will share this information with farmers and agribusiness, to preserve the utility of inexpensive insecticides that provide protection to multiple insect pests.  By coupling RNAi with this pesticide, we can protect farmers from both the insecticide-susceptible and resistant aphids. By targeting the most common form of resistance (mutations in the vgsc gene), we can limit future increasing occurrence of resistance.  And finally, if this works for soybean aphids, this can be a model for other insects that have developed resistance in this manner.</w:t>
      </w:r>
    </w:p>
    <w:p w14:paraId="30E82624" w14:textId="77777777" w:rsidR="00CC1423" w:rsidRPr="006548E0" w:rsidRDefault="00CC1423" w:rsidP="00CC1423">
      <w:pPr>
        <w:rPr>
          <w:rFonts w:ascii="Times New Roman" w:hAnsi="Times New Roman" w:cs="Times New Roman"/>
        </w:rPr>
      </w:pPr>
    </w:p>
    <w:p w14:paraId="550BEF9F" w14:textId="77777777" w:rsidR="00FB50CF" w:rsidRPr="006548E0" w:rsidRDefault="00CC1423" w:rsidP="00CC1423">
      <w:pPr>
        <w:rPr>
          <w:rFonts w:ascii="Times New Roman" w:hAnsi="Times New Roman" w:cs="Times New Roman"/>
          <w:b/>
          <w:u w:val="single"/>
        </w:rPr>
      </w:pPr>
      <w:r w:rsidRPr="006548E0">
        <w:rPr>
          <w:rFonts w:ascii="Times New Roman" w:hAnsi="Times New Roman" w:cs="Times New Roman"/>
          <w:b/>
          <w:u w:val="single"/>
        </w:rPr>
        <w:t>Final project r</w:t>
      </w:r>
      <w:r w:rsidR="006D0FF9">
        <w:rPr>
          <w:rFonts w:ascii="Times New Roman" w:hAnsi="Times New Roman" w:cs="Times New Roman"/>
          <w:b/>
          <w:u w:val="single"/>
        </w:rPr>
        <w:t>esults</w:t>
      </w:r>
      <w:bookmarkStart w:id="0" w:name="_GoBack"/>
      <w:bookmarkEnd w:id="0"/>
    </w:p>
    <w:p w14:paraId="45F4779C" w14:textId="77777777" w:rsidR="00CC1423" w:rsidRPr="006D0FF9" w:rsidRDefault="00CC1423" w:rsidP="00FB50CF">
      <w:pPr>
        <w:pStyle w:val="ListParagraph"/>
        <w:numPr>
          <w:ilvl w:val="0"/>
          <w:numId w:val="1"/>
        </w:numPr>
        <w:rPr>
          <w:rFonts w:ascii="Times New Roman" w:hAnsi="Times New Roman" w:cs="Times New Roman"/>
        </w:rPr>
      </w:pPr>
      <w:r w:rsidRPr="006D0FF9">
        <w:rPr>
          <w:rFonts w:ascii="Times New Roman" w:hAnsi="Times New Roman" w:cs="Times New Roman"/>
        </w:rPr>
        <w:t>Tracking insec</w:t>
      </w:r>
      <w:r w:rsidR="00FB50CF" w:rsidRPr="006D0FF9">
        <w:rPr>
          <w:rFonts w:ascii="Times New Roman" w:hAnsi="Times New Roman" w:cs="Times New Roman"/>
        </w:rPr>
        <w:t>ticide resistant soybean aphids.</w:t>
      </w:r>
    </w:p>
    <w:p w14:paraId="4E9D7523" w14:textId="77777777" w:rsidR="00FB50CF" w:rsidRPr="006D0FF9" w:rsidRDefault="00FB50CF" w:rsidP="00FB50CF">
      <w:pPr>
        <w:ind w:left="360"/>
        <w:rPr>
          <w:rFonts w:ascii="Times New Roman" w:hAnsi="Times New Roman" w:cs="Times New Roman"/>
        </w:rPr>
      </w:pPr>
      <w:r w:rsidRPr="006D0FF9">
        <w:rPr>
          <w:rFonts w:ascii="Times New Roman" w:hAnsi="Times New Roman" w:cs="Times New Roman"/>
        </w:rPr>
        <w:t>The following work has been summarized in a larger manuscript to be submitted to the Journal of Economic Entomology (Pfab, Valmorbida, Coates, Lagos-Kutz, Clough and O’Neal. Frequency and Distribution of Pyrethroid Resistant Soybean Aphid in Iowa.) The following is a brief summary.</w:t>
      </w:r>
    </w:p>
    <w:p w14:paraId="09A394E9" w14:textId="77777777" w:rsidR="00CC1423" w:rsidRPr="006D0FF9" w:rsidRDefault="00450CCB" w:rsidP="00CC1423">
      <w:pPr>
        <w:rPr>
          <w:rFonts w:ascii="Times New Roman" w:hAnsi="Times New Roman" w:cs="Times New Roman"/>
          <w:b/>
        </w:rPr>
      </w:pPr>
      <w:r w:rsidRPr="006D0FF9">
        <w:rPr>
          <w:rFonts w:ascii="Times New Roman" w:hAnsi="Times New Roman" w:cs="Times New Roman"/>
          <w:b/>
        </w:rPr>
        <w:t xml:space="preserve">We genotyped over 2800 soybean aphids collected in Iowa to determine how many had mutations </w:t>
      </w:r>
      <w:r w:rsidR="00FB50CF" w:rsidRPr="006D0FF9">
        <w:rPr>
          <w:rFonts w:ascii="Times New Roman" w:hAnsi="Times New Roman" w:cs="Times New Roman"/>
          <w:b/>
        </w:rPr>
        <w:t>associated</w:t>
      </w:r>
      <w:r w:rsidRPr="006D0FF9">
        <w:rPr>
          <w:rFonts w:ascii="Times New Roman" w:hAnsi="Times New Roman" w:cs="Times New Roman"/>
          <w:b/>
        </w:rPr>
        <w:t xml:space="preserve"> with insecticide resistance. One or more mutations were found in 99.9% of the aphids we collected in these fields both before and after pyrethroids were applied.</w:t>
      </w:r>
    </w:p>
    <w:p w14:paraId="63947646" w14:textId="77777777" w:rsidR="00450CCB" w:rsidRPr="006D0FF9" w:rsidRDefault="00450CCB" w:rsidP="00CC1423">
      <w:pPr>
        <w:rPr>
          <w:rFonts w:ascii="Times New Roman" w:hAnsi="Times New Roman" w:cs="Times New Roman"/>
        </w:rPr>
      </w:pPr>
      <w:r w:rsidRPr="006D0FF9">
        <w:rPr>
          <w:rFonts w:ascii="Times New Roman" w:hAnsi="Times New Roman" w:cs="Times New Roman"/>
        </w:rPr>
        <w:t>In</w:t>
      </w:r>
      <w:r w:rsidRPr="006D0FF9">
        <w:rPr>
          <w:rFonts w:ascii="Times New Roman" w:hAnsi="Times New Roman" w:cs="Times New Roman"/>
        </w:rPr>
        <w:t xml:space="preserve">secticidal resistance in aphids </w:t>
      </w:r>
      <w:r w:rsidRPr="006D0FF9">
        <w:rPr>
          <w:rFonts w:ascii="Times New Roman" w:hAnsi="Times New Roman" w:cs="Times New Roman"/>
        </w:rPr>
        <w:t>is</w:t>
      </w:r>
      <w:r w:rsidRPr="006D0FF9">
        <w:rPr>
          <w:rFonts w:ascii="Times New Roman" w:hAnsi="Times New Roman" w:cs="Times New Roman"/>
        </w:rPr>
        <w:t xml:space="preserve"> associated with mutation of a voltage-gated sodium channel (</w:t>
      </w:r>
      <w:r w:rsidRPr="006D0FF9">
        <w:rPr>
          <w:rFonts w:ascii="Times New Roman" w:hAnsi="Times New Roman" w:cs="Times New Roman"/>
          <w:i/>
          <w:iCs/>
        </w:rPr>
        <w:t>vgsc</w:t>
      </w:r>
      <w:r w:rsidRPr="006D0FF9">
        <w:rPr>
          <w:rFonts w:ascii="Times New Roman" w:hAnsi="Times New Roman" w:cs="Times New Roman"/>
        </w:rPr>
        <w:t>) gene, specifically as the result of one of four mutations in Domain II Segment IV-VI (DIISIV-VI) subunit h1 (</w:t>
      </w:r>
      <w:r w:rsidRPr="006D0FF9">
        <w:rPr>
          <w:rFonts w:ascii="Times New Roman" w:hAnsi="Times New Roman" w:cs="Times New Roman"/>
          <w:i/>
          <w:iCs/>
        </w:rPr>
        <w:t>vgsc-h1</w:t>
      </w:r>
      <w:r w:rsidRPr="006D0FF9">
        <w:rPr>
          <w:rFonts w:ascii="Times New Roman" w:hAnsi="Times New Roman" w:cs="Times New Roman"/>
        </w:rPr>
        <w:t xml:space="preserve">). Between 2021-2023, we recorded aphid infestations and collected aphids from ten commercial fields across northern Iowa at different timepoints and field regions relative to a pyrethroid application. Despite no populations reaching an economic threshold, 1955 soybean aphids were collected and sequence analyzed from ten commercial fields across </w:t>
      </w:r>
      <w:r w:rsidRPr="006D0FF9">
        <w:rPr>
          <w:rFonts w:ascii="Times New Roman" w:hAnsi="Times New Roman" w:cs="Times New Roman"/>
        </w:rPr>
        <w:lastRenderedPageBreak/>
        <w:t>northern Iowa before (</w:t>
      </w:r>
      <w:r w:rsidRPr="006D0FF9">
        <w:rPr>
          <w:rFonts w:ascii="Times New Roman" w:hAnsi="Times New Roman" w:cs="Times New Roman"/>
          <w:i/>
          <w:iCs/>
        </w:rPr>
        <w:t>n</w:t>
      </w:r>
      <w:r w:rsidRPr="006D0FF9">
        <w:rPr>
          <w:rFonts w:ascii="Times New Roman" w:hAnsi="Times New Roman" w:cs="Times New Roman"/>
        </w:rPr>
        <w:t>=1089) and after (</w:t>
      </w:r>
      <w:r w:rsidRPr="006D0FF9">
        <w:rPr>
          <w:rFonts w:ascii="Times New Roman" w:hAnsi="Times New Roman" w:cs="Times New Roman"/>
          <w:i/>
          <w:iCs/>
        </w:rPr>
        <w:t>n</w:t>
      </w:r>
      <w:r w:rsidRPr="006D0FF9">
        <w:rPr>
          <w:rFonts w:ascii="Times New Roman" w:hAnsi="Times New Roman" w:cs="Times New Roman"/>
        </w:rPr>
        <w:t>=866) an application of a pyrethroid</w:t>
      </w:r>
      <w:r w:rsidR="003657A3" w:rsidRPr="006D0FF9">
        <w:rPr>
          <w:rFonts w:ascii="Times New Roman" w:hAnsi="Times New Roman" w:cs="Times New Roman"/>
        </w:rPr>
        <w:t xml:space="preserve"> (Table 1)</w:t>
      </w:r>
      <w:r w:rsidRPr="006D0FF9">
        <w:rPr>
          <w:rFonts w:ascii="Times New Roman" w:hAnsi="Times New Roman" w:cs="Times New Roman"/>
        </w:rPr>
        <w:t xml:space="preserve">. Nineteen genotypes were predicted from high-throughput direct amplicon sequencing the </w:t>
      </w:r>
      <w:r w:rsidRPr="006D0FF9">
        <w:rPr>
          <w:rFonts w:ascii="Times New Roman" w:hAnsi="Times New Roman" w:cs="Times New Roman"/>
          <w:i/>
          <w:iCs/>
        </w:rPr>
        <w:t xml:space="preserve">vgsc-h1 </w:t>
      </w:r>
      <w:r w:rsidRPr="006D0FF9">
        <w:rPr>
          <w:rFonts w:ascii="Times New Roman" w:hAnsi="Times New Roman" w:cs="Times New Roman"/>
        </w:rPr>
        <w:t>DIISIV-VI. Genotypes with an allele for one or more of the mutations previously associated with resistance</w:t>
      </w:r>
      <w:r w:rsidRPr="006D0FF9" w:rsidDel="00EE05AD">
        <w:rPr>
          <w:rFonts w:ascii="Times New Roman" w:hAnsi="Times New Roman" w:cs="Times New Roman"/>
        </w:rPr>
        <w:t xml:space="preserve"> </w:t>
      </w:r>
      <w:r w:rsidRPr="006D0FF9">
        <w:rPr>
          <w:rFonts w:ascii="Times New Roman" w:hAnsi="Times New Roman" w:cs="Times New Roman"/>
        </w:rPr>
        <w:t xml:space="preserve">were predicted among 99.9% of aphids. Three of the four most common have previously characterized resistance ratios that span an order of magnitude compared to a susceptible wildtype genotype. We also sequenced aphids captured in suction traps that are scattered across Iowa. Aphids collected from these traps also had at least one </w:t>
      </w:r>
      <w:r w:rsidRPr="006D0FF9">
        <w:rPr>
          <w:rFonts w:ascii="Times New Roman" w:hAnsi="Times New Roman" w:cs="Times New Roman"/>
          <w:i/>
          <w:iCs/>
        </w:rPr>
        <w:t>vgsc</w:t>
      </w:r>
      <w:r w:rsidRPr="006D0FF9">
        <w:rPr>
          <w:rFonts w:ascii="Times New Roman" w:hAnsi="Times New Roman" w:cs="Times New Roman"/>
        </w:rPr>
        <w:t xml:space="preserve"> mutated allele associated with pyrethroid resistance in 97% of individuals sequenced. Combined, these data suggest a scenario in which </w:t>
      </w:r>
      <w:r w:rsidRPr="006D0FF9">
        <w:rPr>
          <w:rFonts w:ascii="Times New Roman" w:hAnsi="Times New Roman" w:cs="Times New Roman"/>
          <w:i/>
          <w:iCs/>
        </w:rPr>
        <w:t>vgsc</w:t>
      </w:r>
      <w:r w:rsidRPr="006D0FF9">
        <w:rPr>
          <w:rFonts w:ascii="Times New Roman" w:hAnsi="Times New Roman" w:cs="Times New Roman"/>
        </w:rPr>
        <w:t xml:space="preserve">-mutated, resistant aphids migrate between fields and their overwintering host. These results suggest the possibility that mutations associated with resistance to pyrethroids are nearly fixed within northern Iowa soybean aphid infestations. </w:t>
      </w:r>
    </w:p>
    <w:p w14:paraId="518A4E25" w14:textId="77777777" w:rsidR="003657A3" w:rsidRPr="006D0FF9" w:rsidRDefault="003657A3" w:rsidP="00CC1423">
      <w:pPr>
        <w:rPr>
          <w:rFonts w:ascii="Times New Roman" w:hAnsi="Times New Roman" w:cs="Times New Roman"/>
        </w:rPr>
      </w:pPr>
    </w:p>
    <w:p w14:paraId="41E4BECD" w14:textId="77777777" w:rsidR="00FB50CF" w:rsidRPr="006D0FF9" w:rsidRDefault="00FB50CF">
      <w:pPr>
        <w:rPr>
          <w:rFonts w:ascii="Times New Roman" w:hAnsi="Times New Roman" w:cs="Times New Roman"/>
        </w:rPr>
      </w:pPr>
      <w:r w:rsidRPr="006D0FF9">
        <w:rPr>
          <w:rFonts w:ascii="Times New Roman" w:hAnsi="Times New Roman" w:cs="Times New Roman"/>
        </w:rPr>
        <w:br w:type="page"/>
      </w:r>
    </w:p>
    <w:p w14:paraId="7F78A4BF" w14:textId="77777777" w:rsidR="003657A3" w:rsidRPr="006D0FF9" w:rsidRDefault="00FB50CF" w:rsidP="00CC1423">
      <w:pPr>
        <w:rPr>
          <w:rFonts w:ascii="Times New Roman" w:hAnsi="Times New Roman" w:cs="Times New Roman"/>
        </w:rPr>
      </w:pPr>
      <w:r w:rsidRPr="006D0FF9">
        <w:rPr>
          <w:rFonts w:ascii="Times New Roman" w:hAnsi="Times New Roman" w:cs="Times New Roman"/>
        </w:rPr>
        <w:lastRenderedPageBreak/>
        <w:t xml:space="preserve">Table 1. Soybean aphid genotypes sequenced from those </w:t>
      </w:r>
      <w:r w:rsidRPr="006D0FF9">
        <w:rPr>
          <w:rFonts w:ascii="Times New Roman" w:hAnsi="Times New Roman" w:cs="Times New Roman"/>
        </w:rPr>
        <w:t>collected in Iowa fields from 2021-2023</w:t>
      </w:r>
    </w:p>
    <w:tbl>
      <w:tblPr>
        <w:tblStyle w:val="TableGrid"/>
        <w:tblW w:w="12990" w:type="dxa"/>
        <w:tblInd w:w="-30" w:type="dxa"/>
        <w:tblLayout w:type="fixed"/>
        <w:tblLook w:val="04A0" w:firstRow="1" w:lastRow="0" w:firstColumn="1" w:lastColumn="0" w:noHBand="0" w:noVBand="1"/>
      </w:tblPr>
      <w:tblGrid>
        <w:gridCol w:w="1110"/>
        <w:gridCol w:w="780"/>
        <w:gridCol w:w="990"/>
        <w:gridCol w:w="990"/>
        <w:gridCol w:w="1260"/>
        <w:gridCol w:w="990"/>
        <w:gridCol w:w="1170"/>
        <w:gridCol w:w="900"/>
        <w:gridCol w:w="30"/>
        <w:gridCol w:w="2310"/>
        <w:gridCol w:w="30"/>
        <w:gridCol w:w="2430"/>
      </w:tblGrid>
      <w:tr w:rsidR="00FB50CF" w:rsidRPr="006D0FF9" w14:paraId="4CBF6161" w14:textId="77777777" w:rsidTr="000B6141">
        <w:trPr>
          <w:trHeight w:val="368"/>
        </w:trPr>
        <w:tc>
          <w:tcPr>
            <w:tcW w:w="1110" w:type="dxa"/>
            <w:tcBorders>
              <w:top w:val="single" w:sz="8" w:space="0" w:color="auto"/>
              <w:left w:val="nil"/>
              <w:bottom w:val="nil"/>
              <w:right w:val="nil"/>
            </w:tcBorders>
            <w:noWrap/>
            <w:vAlign w:val="center"/>
          </w:tcPr>
          <w:p w14:paraId="52553144" w14:textId="77777777" w:rsidR="00FB50CF" w:rsidRPr="006D0FF9" w:rsidRDefault="00FB50CF" w:rsidP="000B6141">
            <w:pPr>
              <w:jc w:val="center"/>
              <w:rPr>
                <w:rFonts w:ascii="Times New Roman" w:eastAsia="Times New Roman" w:hAnsi="Times New Roman" w:cs="Times New Roman"/>
                <w:b/>
                <w:bCs/>
                <w:color w:val="000000"/>
                <w:sz w:val="18"/>
                <w:szCs w:val="18"/>
                <w:vertAlign w:val="superscript"/>
              </w:rPr>
            </w:pPr>
          </w:p>
        </w:tc>
        <w:tc>
          <w:tcPr>
            <w:tcW w:w="780" w:type="dxa"/>
            <w:tcBorders>
              <w:top w:val="single" w:sz="8" w:space="0" w:color="auto"/>
              <w:left w:val="nil"/>
              <w:bottom w:val="nil"/>
              <w:right w:val="nil"/>
            </w:tcBorders>
            <w:noWrap/>
            <w:vAlign w:val="center"/>
          </w:tcPr>
          <w:p w14:paraId="294FDD8A" w14:textId="77777777" w:rsidR="00FB50CF" w:rsidRPr="006D0FF9" w:rsidRDefault="00FB50CF" w:rsidP="000B6141">
            <w:pPr>
              <w:jc w:val="center"/>
              <w:rPr>
                <w:rFonts w:ascii="Times New Roman" w:hAnsi="Times New Roman" w:cs="Times New Roman"/>
                <w:color w:val="000000"/>
                <w:sz w:val="18"/>
                <w:szCs w:val="18"/>
              </w:rPr>
            </w:pPr>
          </w:p>
        </w:tc>
        <w:tc>
          <w:tcPr>
            <w:tcW w:w="990" w:type="dxa"/>
            <w:tcBorders>
              <w:top w:val="single" w:sz="8" w:space="0" w:color="auto"/>
              <w:left w:val="nil"/>
              <w:bottom w:val="nil"/>
              <w:right w:val="nil"/>
            </w:tcBorders>
            <w:noWrap/>
            <w:vAlign w:val="center"/>
          </w:tcPr>
          <w:p w14:paraId="77F2B6D2" w14:textId="77777777" w:rsidR="00FB50CF" w:rsidRPr="006D0FF9" w:rsidRDefault="00FB50CF" w:rsidP="000B6141">
            <w:pPr>
              <w:jc w:val="center"/>
              <w:rPr>
                <w:rFonts w:ascii="Times New Roman" w:eastAsia="Times New Roman" w:hAnsi="Times New Roman" w:cs="Times New Roman"/>
                <w:color w:val="000000"/>
                <w:sz w:val="18"/>
                <w:szCs w:val="18"/>
              </w:rPr>
            </w:pPr>
          </w:p>
        </w:tc>
        <w:tc>
          <w:tcPr>
            <w:tcW w:w="4410" w:type="dxa"/>
            <w:gridSpan w:val="4"/>
            <w:tcBorders>
              <w:top w:val="single" w:sz="8" w:space="0" w:color="auto"/>
              <w:left w:val="nil"/>
              <w:bottom w:val="nil"/>
              <w:right w:val="nil"/>
            </w:tcBorders>
            <w:noWrap/>
            <w:vAlign w:val="center"/>
          </w:tcPr>
          <w:p w14:paraId="355C7F4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Amplicon positions</w:t>
            </w:r>
          </w:p>
        </w:tc>
        <w:tc>
          <w:tcPr>
            <w:tcW w:w="900" w:type="dxa"/>
            <w:tcBorders>
              <w:top w:val="single" w:sz="8" w:space="0" w:color="auto"/>
              <w:left w:val="nil"/>
              <w:bottom w:val="nil"/>
              <w:right w:val="nil"/>
            </w:tcBorders>
            <w:noWrap/>
            <w:vAlign w:val="center"/>
          </w:tcPr>
          <w:p w14:paraId="388B199D" w14:textId="77777777" w:rsidR="00FB50CF" w:rsidRPr="006D0FF9" w:rsidRDefault="00FB50CF" w:rsidP="000B6141">
            <w:pPr>
              <w:jc w:val="center"/>
              <w:rPr>
                <w:rFonts w:ascii="Times New Roman" w:eastAsia="Times New Roman" w:hAnsi="Times New Roman" w:cs="Times New Roman"/>
                <w:color w:val="000000"/>
                <w:sz w:val="18"/>
                <w:szCs w:val="18"/>
              </w:rPr>
            </w:pPr>
          </w:p>
        </w:tc>
        <w:tc>
          <w:tcPr>
            <w:tcW w:w="2340" w:type="dxa"/>
            <w:gridSpan w:val="2"/>
            <w:tcBorders>
              <w:top w:val="single" w:sz="8" w:space="0" w:color="auto"/>
              <w:left w:val="nil"/>
              <w:bottom w:val="nil"/>
              <w:right w:val="nil"/>
            </w:tcBorders>
            <w:noWrap/>
            <w:vAlign w:val="center"/>
          </w:tcPr>
          <w:p w14:paraId="4B626191" w14:textId="77777777" w:rsidR="00FB50CF" w:rsidRPr="006D0FF9" w:rsidRDefault="00FB50CF" w:rsidP="000B6141">
            <w:pPr>
              <w:jc w:val="center"/>
              <w:rPr>
                <w:rFonts w:ascii="Times New Roman" w:eastAsia="Times New Roman" w:hAnsi="Times New Roman" w:cs="Times New Roman"/>
                <w:sz w:val="18"/>
                <w:szCs w:val="18"/>
              </w:rPr>
            </w:pPr>
          </w:p>
        </w:tc>
        <w:tc>
          <w:tcPr>
            <w:tcW w:w="2460" w:type="dxa"/>
            <w:gridSpan w:val="2"/>
            <w:tcBorders>
              <w:top w:val="single" w:sz="8" w:space="0" w:color="auto"/>
              <w:left w:val="nil"/>
              <w:bottom w:val="nil"/>
              <w:right w:val="nil"/>
            </w:tcBorders>
            <w:vAlign w:val="center"/>
          </w:tcPr>
          <w:p w14:paraId="1845E719" w14:textId="77777777" w:rsidR="00FB50CF" w:rsidRPr="006D0FF9" w:rsidRDefault="00FB50CF" w:rsidP="000B6141">
            <w:pPr>
              <w:jc w:val="center"/>
              <w:rPr>
                <w:rFonts w:ascii="Times New Roman" w:eastAsia="Times New Roman" w:hAnsi="Times New Roman" w:cs="Times New Roman"/>
                <w:color w:val="000000"/>
                <w:sz w:val="18"/>
                <w:szCs w:val="18"/>
              </w:rPr>
            </w:pPr>
          </w:p>
        </w:tc>
      </w:tr>
      <w:tr w:rsidR="00FB50CF" w:rsidRPr="006D0FF9" w14:paraId="38AA2BF0" w14:textId="77777777" w:rsidTr="000B6141">
        <w:trPr>
          <w:trHeight w:val="368"/>
        </w:trPr>
        <w:tc>
          <w:tcPr>
            <w:tcW w:w="1110" w:type="dxa"/>
            <w:tcBorders>
              <w:top w:val="nil"/>
              <w:left w:val="nil"/>
              <w:bottom w:val="nil"/>
              <w:right w:val="nil"/>
            </w:tcBorders>
            <w:noWrap/>
            <w:vAlign w:val="center"/>
          </w:tcPr>
          <w:p w14:paraId="6507A206" w14:textId="77777777" w:rsidR="00FB50CF" w:rsidRPr="006D0FF9" w:rsidRDefault="00FB50CF" w:rsidP="000B6141">
            <w:pPr>
              <w:jc w:val="center"/>
              <w:rPr>
                <w:rFonts w:ascii="Times New Roman" w:eastAsia="Times New Roman" w:hAnsi="Times New Roman" w:cs="Times New Roman"/>
                <w:b/>
                <w:bCs/>
                <w:color w:val="000000"/>
                <w:sz w:val="18"/>
                <w:szCs w:val="18"/>
                <w:vertAlign w:val="superscript"/>
              </w:rPr>
            </w:pPr>
          </w:p>
        </w:tc>
        <w:tc>
          <w:tcPr>
            <w:tcW w:w="780" w:type="dxa"/>
            <w:tcBorders>
              <w:top w:val="nil"/>
              <w:left w:val="nil"/>
              <w:bottom w:val="nil"/>
              <w:right w:val="nil"/>
            </w:tcBorders>
            <w:noWrap/>
            <w:vAlign w:val="center"/>
          </w:tcPr>
          <w:p w14:paraId="70DFAD93" w14:textId="77777777" w:rsidR="00FB50CF" w:rsidRPr="006D0FF9" w:rsidRDefault="00FB50CF" w:rsidP="000B6141">
            <w:pPr>
              <w:jc w:val="center"/>
              <w:rPr>
                <w:rFonts w:ascii="Times New Roman" w:hAnsi="Times New Roman" w:cs="Times New Roman"/>
                <w:color w:val="000000"/>
                <w:sz w:val="18"/>
                <w:szCs w:val="18"/>
              </w:rPr>
            </w:pPr>
          </w:p>
        </w:tc>
        <w:tc>
          <w:tcPr>
            <w:tcW w:w="990" w:type="dxa"/>
            <w:tcBorders>
              <w:top w:val="nil"/>
              <w:left w:val="nil"/>
              <w:bottom w:val="nil"/>
              <w:right w:val="nil"/>
            </w:tcBorders>
            <w:noWrap/>
            <w:vAlign w:val="center"/>
          </w:tcPr>
          <w:p w14:paraId="5012C1BC" w14:textId="77777777" w:rsidR="00FB50CF" w:rsidRPr="006D0FF9" w:rsidRDefault="00FB50CF" w:rsidP="000B6141">
            <w:pPr>
              <w:jc w:val="center"/>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center"/>
          </w:tcPr>
          <w:p w14:paraId="7A9F215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40</w:t>
            </w:r>
          </w:p>
        </w:tc>
        <w:tc>
          <w:tcPr>
            <w:tcW w:w="1260" w:type="dxa"/>
            <w:tcBorders>
              <w:top w:val="nil"/>
              <w:left w:val="nil"/>
              <w:bottom w:val="nil"/>
              <w:right w:val="nil"/>
            </w:tcBorders>
            <w:noWrap/>
            <w:vAlign w:val="center"/>
          </w:tcPr>
          <w:p w14:paraId="45CECA7E"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42</w:t>
            </w:r>
          </w:p>
        </w:tc>
        <w:tc>
          <w:tcPr>
            <w:tcW w:w="990" w:type="dxa"/>
            <w:tcBorders>
              <w:top w:val="nil"/>
              <w:left w:val="nil"/>
              <w:bottom w:val="nil"/>
              <w:right w:val="nil"/>
            </w:tcBorders>
            <w:noWrap/>
            <w:vAlign w:val="center"/>
          </w:tcPr>
          <w:p w14:paraId="293B0D21"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61</w:t>
            </w:r>
          </w:p>
        </w:tc>
        <w:tc>
          <w:tcPr>
            <w:tcW w:w="1170" w:type="dxa"/>
            <w:tcBorders>
              <w:top w:val="nil"/>
              <w:left w:val="nil"/>
              <w:bottom w:val="nil"/>
              <w:right w:val="nil"/>
            </w:tcBorders>
            <w:noWrap/>
            <w:vAlign w:val="center"/>
          </w:tcPr>
          <w:p w14:paraId="59737E28"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395</w:t>
            </w:r>
          </w:p>
        </w:tc>
        <w:tc>
          <w:tcPr>
            <w:tcW w:w="900" w:type="dxa"/>
            <w:tcBorders>
              <w:top w:val="nil"/>
              <w:left w:val="nil"/>
              <w:bottom w:val="nil"/>
              <w:right w:val="nil"/>
            </w:tcBorders>
            <w:noWrap/>
            <w:vAlign w:val="center"/>
          </w:tcPr>
          <w:p w14:paraId="3EBBB633" w14:textId="77777777" w:rsidR="00FB50CF" w:rsidRPr="006D0FF9" w:rsidRDefault="00FB50CF" w:rsidP="000B6141">
            <w:pPr>
              <w:jc w:val="center"/>
              <w:rPr>
                <w:rFonts w:ascii="Times New Roman" w:eastAsia="Times New Roman" w:hAnsi="Times New Roman" w:cs="Times New Roman"/>
                <w:color w:val="000000"/>
                <w:sz w:val="18"/>
                <w:szCs w:val="18"/>
              </w:rPr>
            </w:pPr>
          </w:p>
        </w:tc>
        <w:tc>
          <w:tcPr>
            <w:tcW w:w="2340" w:type="dxa"/>
            <w:gridSpan w:val="2"/>
            <w:tcBorders>
              <w:top w:val="nil"/>
              <w:left w:val="nil"/>
              <w:bottom w:val="nil"/>
              <w:right w:val="nil"/>
            </w:tcBorders>
            <w:noWrap/>
            <w:vAlign w:val="center"/>
          </w:tcPr>
          <w:p w14:paraId="42498B0F" w14:textId="77777777" w:rsidR="00FB50CF" w:rsidRPr="006D0FF9" w:rsidRDefault="00FB50CF" w:rsidP="000B6141">
            <w:pPr>
              <w:jc w:val="center"/>
              <w:rPr>
                <w:rFonts w:ascii="Times New Roman" w:eastAsia="Times New Roman" w:hAnsi="Times New Roman" w:cs="Times New Roman"/>
                <w:sz w:val="18"/>
                <w:szCs w:val="18"/>
              </w:rPr>
            </w:pPr>
          </w:p>
        </w:tc>
        <w:tc>
          <w:tcPr>
            <w:tcW w:w="2460" w:type="dxa"/>
            <w:gridSpan w:val="2"/>
            <w:tcBorders>
              <w:top w:val="nil"/>
              <w:left w:val="nil"/>
              <w:bottom w:val="nil"/>
              <w:right w:val="nil"/>
            </w:tcBorders>
            <w:vAlign w:val="center"/>
          </w:tcPr>
          <w:p w14:paraId="1A6891B2" w14:textId="77777777" w:rsidR="00FB50CF" w:rsidRPr="006D0FF9" w:rsidRDefault="00FB50CF" w:rsidP="000B6141">
            <w:pPr>
              <w:jc w:val="center"/>
              <w:rPr>
                <w:rFonts w:ascii="Times New Roman" w:eastAsia="Times New Roman" w:hAnsi="Times New Roman" w:cs="Times New Roman"/>
                <w:color w:val="000000"/>
                <w:sz w:val="18"/>
                <w:szCs w:val="18"/>
              </w:rPr>
            </w:pPr>
          </w:p>
        </w:tc>
      </w:tr>
      <w:tr w:rsidR="00FB50CF" w:rsidRPr="006D0FF9" w14:paraId="6B667A22" w14:textId="77777777" w:rsidTr="000B6141">
        <w:trPr>
          <w:trHeight w:val="368"/>
        </w:trPr>
        <w:tc>
          <w:tcPr>
            <w:tcW w:w="1110" w:type="dxa"/>
            <w:tcBorders>
              <w:top w:val="nil"/>
              <w:left w:val="nil"/>
              <w:bottom w:val="nil"/>
              <w:right w:val="nil"/>
            </w:tcBorders>
            <w:noWrap/>
            <w:vAlign w:val="center"/>
          </w:tcPr>
          <w:p w14:paraId="73645A98" w14:textId="77777777" w:rsidR="00FB50CF" w:rsidRPr="006D0FF9" w:rsidRDefault="00FB50CF" w:rsidP="000B6141">
            <w:pPr>
              <w:jc w:val="center"/>
              <w:rPr>
                <w:rFonts w:ascii="Times New Roman" w:eastAsia="Times New Roman" w:hAnsi="Times New Roman" w:cs="Times New Roman"/>
                <w:b/>
                <w:bCs/>
                <w:color w:val="000000"/>
                <w:sz w:val="18"/>
                <w:szCs w:val="18"/>
                <w:vertAlign w:val="superscript"/>
              </w:rPr>
            </w:pPr>
          </w:p>
        </w:tc>
        <w:tc>
          <w:tcPr>
            <w:tcW w:w="780" w:type="dxa"/>
            <w:tcBorders>
              <w:top w:val="nil"/>
              <w:left w:val="nil"/>
              <w:bottom w:val="nil"/>
              <w:right w:val="nil"/>
            </w:tcBorders>
            <w:noWrap/>
            <w:vAlign w:val="center"/>
          </w:tcPr>
          <w:p w14:paraId="6BF47333" w14:textId="77777777" w:rsidR="00FB50CF" w:rsidRPr="006D0FF9" w:rsidRDefault="00FB50CF" w:rsidP="000B6141">
            <w:pPr>
              <w:jc w:val="center"/>
              <w:rPr>
                <w:rFonts w:ascii="Times New Roman" w:hAnsi="Times New Roman" w:cs="Times New Roman"/>
                <w:color w:val="000000"/>
                <w:sz w:val="18"/>
                <w:szCs w:val="18"/>
              </w:rPr>
            </w:pPr>
          </w:p>
        </w:tc>
        <w:tc>
          <w:tcPr>
            <w:tcW w:w="990" w:type="dxa"/>
            <w:tcBorders>
              <w:top w:val="nil"/>
              <w:left w:val="nil"/>
              <w:bottom w:val="nil"/>
              <w:right w:val="nil"/>
            </w:tcBorders>
            <w:noWrap/>
            <w:vAlign w:val="center"/>
          </w:tcPr>
          <w:p w14:paraId="1BF460A5" w14:textId="77777777" w:rsidR="00FB50CF" w:rsidRPr="006D0FF9" w:rsidRDefault="00FB50CF" w:rsidP="000B6141">
            <w:pPr>
              <w:jc w:val="center"/>
              <w:rPr>
                <w:rFonts w:ascii="Times New Roman" w:eastAsia="Times New Roman" w:hAnsi="Times New Roman" w:cs="Times New Roman"/>
                <w:color w:val="000000"/>
                <w:sz w:val="18"/>
                <w:szCs w:val="18"/>
              </w:rPr>
            </w:pPr>
          </w:p>
        </w:tc>
        <w:tc>
          <w:tcPr>
            <w:tcW w:w="4410" w:type="dxa"/>
            <w:gridSpan w:val="4"/>
            <w:tcBorders>
              <w:top w:val="nil"/>
              <w:left w:val="nil"/>
              <w:bottom w:val="single" w:sz="8" w:space="0" w:color="auto"/>
              <w:right w:val="nil"/>
            </w:tcBorders>
            <w:noWrap/>
            <w:vAlign w:val="center"/>
          </w:tcPr>
          <w:p w14:paraId="092C49D3"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sz w:val="18"/>
                <w:szCs w:val="18"/>
              </w:rPr>
              <w:t>Amino acid changes</w:t>
            </w:r>
            <w:r w:rsidRPr="006D0FF9">
              <w:rPr>
                <w:rFonts w:ascii="Times New Roman" w:hAnsi="Times New Roman" w:cs="Times New Roman"/>
                <w:sz w:val="18"/>
                <w:szCs w:val="18"/>
                <w:vertAlign w:val="superscript"/>
              </w:rPr>
              <w:t>5</w:t>
            </w:r>
          </w:p>
        </w:tc>
        <w:tc>
          <w:tcPr>
            <w:tcW w:w="5700" w:type="dxa"/>
            <w:gridSpan w:val="5"/>
            <w:tcBorders>
              <w:top w:val="nil"/>
              <w:left w:val="nil"/>
              <w:bottom w:val="nil"/>
              <w:right w:val="nil"/>
            </w:tcBorders>
            <w:noWrap/>
            <w:vAlign w:val="center"/>
          </w:tcPr>
          <w:p w14:paraId="0318D9C1"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sz w:val="18"/>
                <w:szCs w:val="18"/>
              </w:rPr>
              <w:t>Prior Observations</w:t>
            </w:r>
            <w:r w:rsidRPr="006D0FF9">
              <w:rPr>
                <w:rFonts w:ascii="Times New Roman" w:hAnsi="Times New Roman" w:cs="Times New Roman"/>
                <w:sz w:val="18"/>
                <w:szCs w:val="18"/>
                <w:vertAlign w:val="superscript"/>
              </w:rPr>
              <w:t>7</w:t>
            </w:r>
          </w:p>
        </w:tc>
      </w:tr>
      <w:tr w:rsidR="00FB50CF" w:rsidRPr="006D0FF9" w14:paraId="70237614" w14:textId="77777777" w:rsidTr="000B6141">
        <w:trPr>
          <w:trHeight w:val="368"/>
        </w:trPr>
        <w:tc>
          <w:tcPr>
            <w:tcW w:w="1110" w:type="dxa"/>
            <w:tcBorders>
              <w:top w:val="nil"/>
              <w:left w:val="nil"/>
              <w:bottom w:val="single" w:sz="4" w:space="0" w:color="auto"/>
              <w:right w:val="nil"/>
            </w:tcBorders>
            <w:noWrap/>
            <w:vAlign w:val="center"/>
          </w:tcPr>
          <w:p w14:paraId="55684CF5" w14:textId="77777777" w:rsidR="00FB50CF" w:rsidRPr="006D0FF9" w:rsidRDefault="00FB50CF" w:rsidP="000B6141">
            <w:pPr>
              <w:jc w:val="center"/>
              <w:rPr>
                <w:rFonts w:ascii="Times New Roman" w:eastAsia="Times New Roman" w:hAnsi="Times New Roman" w:cs="Times New Roman"/>
                <w:color w:val="000000"/>
                <w:sz w:val="18"/>
                <w:szCs w:val="18"/>
                <w:vertAlign w:val="superscript"/>
              </w:rPr>
            </w:pPr>
            <w:r w:rsidRPr="006D0FF9">
              <w:rPr>
                <w:rFonts w:ascii="Times New Roman" w:eastAsia="Times New Roman" w:hAnsi="Times New Roman" w:cs="Times New Roman"/>
                <w:color w:val="000000"/>
                <w:sz w:val="18"/>
                <w:szCs w:val="18"/>
                <w:vertAlign w:val="superscript"/>
              </w:rPr>
              <w:t xml:space="preserve"> </w:t>
            </w:r>
            <w:r w:rsidRPr="006D0FF9">
              <w:rPr>
                <w:rFonts w:ascii="Times New Roman" w:eastAsia="Times New Roman" w:hAnsi="Times New Roman" w:cs="Times New Roman"/>
                <w:color w:val="000000"/>
                <w:sz w:val="18"/>
                <w:szCs w:val="18"/>
              </w:rPr>
              <w:t>GT</w:t>
            </w:r>
            <w:r w:rsidRPr="006D0FF9">
              <w:rPr>
                <w:rFonts w:ascii="Times New Roman" w:eastAsia="Times New Roman" w:hAnsi="Times New Roman" w:cs="Times New Roman"/>
                <w:color w:val="000000"/>
                <w:sz w:val="18"/>
                <w:szCs w:val="18"/>
                <w:vertAlign w:val="superscript"/>
              </w:rPr>
              <w:t>1</w:t>
            </w:r>
          </w:p>
        </w:tc>
        <w:tc>
          <w:tcPr>
            <w:tcW w:w="780" w:type="dxa"/>
            <w:tcBorders>
              <w:top w:val="nil"/>
              <w:left w:val="nil"/>
              <w:bottom w:val="nil"/>
              <w:right w:val="nil"/>
            </w:tcBorders>
            <w:noWrap/>
            <w:vAlign w:val="center"/>
          </w:tcPr>
          <w:p w14:paraId="1D5D456C" w14:textId="77777777" w:rsidR="00FB50CF" w:rsidRPr="006D0FF9" w:rsidRDefault="00FB50CF" w:rsidP="000B6141">
            <w:pPr>
              <w:jc w:val="center"/>
              <w:rPr>
                <w:rFonts w:ascii="Times New Roman" w:hAnsi="Times New Roman" w:cs="Times New Roman"/>
                <w:color w:val="000000"/>
                <w:sz w:val="18"/>
                <w:szCs w:val="18"/>
              </w:rPr>
            </w:pPr>
            <w:r w:rsidRPr="006D0FF9">
              <w:rPr>
                <w:rFonts w:ascii="Times New Roman" w:hAnsi="Times New Roman" w:cs="Times New Roman"/>
                <w:color w:val="000000"/>
                <w:sz w:val="18"/>
                <w:szCs w:val="18"/>
              </w:rPr>
              <w:t>Freq</w:t>
            </w:r>
            <w:r w:rsidRPr="006D0FF9">
              <w:rPr>
                <w:rFonts w:ascii="Times New Roman" w:hAnsi="Times New Roman" w:cs="Times New Roman"/>
                <w:color w:val="000000"/>
                <w:sz w:val="18"/>
                <w:szCs w:val="18"/>
                <w:vertAlign w:val="superscript"/>
              </w:rPr>
              <w:t>2</w:t>
            </w:r>
          </w:p>
        </w:tc>
        <w:tc>
          <w:tcPr>
            <w:tcW w:w="990" w:type="dxa"/>
            <w:tcBorders>
              <w:top w:val="nil"/>
              <w:left w:val="nil"/>
              <w:bottom w:val="nil"/>
              <w:right w:val="nil"/>
            </w:tcBorders>
            <w:noWrap/>
            <w:vAlign w:val="center"/>
          </w:tcPr>
          <w:p w14:paraId="1E3D01B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Fields</w:t>
            </w:r>
            <w:r w:rsidRPr="006D0FF9">
              <w:rPr>
                <w:rFonts w:ascii="Times New Roman" w:eastAsia="Times New Roman" w:hAnsi="Times New Roman" w:cs="Times New Roman"/>
                <w:color w:val="000000"/>
                <w:sz w:val="18"/>
                <w:szCs w:val="18"/>
                <w:vertAlign w:val="superscript"/>
              </w:rPr>
              <w:t>3</w:t>
            </w:r>
          </w:p>
        </w:tc>
        <w:tc>
          <w:tcPr>
            <w:tcW w:w="990" w:type="dxa"/>
            <w:tcBorders>
              <w:top w:val="single" w:sz="8" w:space="0" w:color="auto"/>
              <w:left w:val="nil"/>
              <w:bottom w:val="nil"/>
              <w:right w:val="nil"/>
            </w:tcBorders>
            <w:noWrap/>
            <w:vAlign w:val="center"/>
          </w:tcPr>
          <w:p w14:paraId="2577E69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M918L</w:t>
            </w:r>
          </w:p>
        </w:tc>
        <w:tc>
          <w:tcPr>
            <w:tcW w:w="1260" w:type="dxa"/>
            <w:tcBorders>
              <w:top w:val="single" w:sz="8" w:space="0" w:color="auto"/>
              <w:left w:val="nil"/>
              <w:bottom w:val="nil"/>
              <w:right w:val="nil"/>
            </w:tcBorders>
            <w:noWrap/>
            <w:vAlign w:val="center"/>
          </w:tcPr>
          <w:p w14:paraId="03D69E55"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M918I</w:t>
            </w:r>
          </w:p>
        </w:tc>
        <w:tc>
          <w:tcPr>
            <w:tcW w:w="990" w:type="dxa"/>
            <w:tcBorders>
              <w:top w:val="single" w:sz="8" w:space="0" w:color="auto"/>
              <w:left w:val="nil"/>
              <w:bottom w:val="nil"/>
              <w:right w:val="nil"/>
            </w:tcBorders>
            <w:noWrap/>
            <w:vAlign w:val="center"/>
          </w:tcPr>
          <w:p w14:paraId="5B84C412"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L925M</w:t>
            </w:r>
          </w:p>
        </w:tc>
        <w:tc>
          <w:tcPr>
            <w:tcW w:w="1170" w:type="dxa"/>
            <w:tcBorders>
              <w:top w:val="single" w:sz="8" w:space="0" w:color="auto"/>
              <w:left w:val="nil"/>
              <w:bottom w:val="nil"/>
              <w:right w:val="nil"/>
            </w:tcBorders>
            <w:noWrap/>
            <w:vAlign w:val="center"/>
          </w:tcPr>
          <w:p w14:paraId="0F62D24A"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L1014F</w:t>
            </w:r>
          </w:p>
        </w:tc>
        <w:tc>
          <w:tcPr>
            <w:tcW w:w="900" w:type="dxa"/>
            <w:tcBorders>
              <w:top w:val="nil"/>
              <w:left w:val="nil"/>
              <w:bottom w:val="nil"/>
              <w:right w:val="nil"/>
            </w:tcBorders>
            <w:noWrap/>
            <w:vAlign w:val="center"/>
          </w:tcPr>
          <w:p w14:paraId="5D2A1C00"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RR</w:t>
            </w:r>
            <w:r w:rsidRPr="006D0FF9">
              <w:rPr>
                <w:rFonts w:ascii="Times New Roman" w:eastAsia="Times New Roman" w:hAnsi="Times New Roman" w:cs="Times New Roman"/>
                <w:color w:val="000000"/>
                <w:sz w:val="18"/>
                <w:szCs w:val="18"/>
                <w:vertAlign w:val="superscript"/>
              </w:rPr>
              <w:t>6</w:t>
            </w:r>
          </w:p>
        </w:tc>
        <w:tc>
          <w:tcPr>
            <w:tcW w:w="2340" w:type="dxa"/>
            <w:gridSpan w:val="2"/>
            <w:tcBorders>
              <w:top w:val="nil"/>
              <w:left w:val="nil"/>
              <w:bottom w:val="nil"/>
              <w:right w:val="nil"/>
            </w:tcBorders>
            <w:noWrap/>
            <w:vAlign w:val="center"/>
          </w:tcPr>
          <w:p w14:paraId="338111E7"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color w:val="000000"/>
                <w:sz w:val="18"/>
                <w:szCs w:val="18"/>
              </w:rPr>
              <w:t>Soybean Aphid</w:t>
            </w:r>
          </w:p>
        </w:tc>
        <w:tc>
          <w:tcPr>
            <w:tcW w:w="2460" w:type="dxa"/>
            <w:gridSpan w:val="2"/>
            <w:tcBorders>
              <w:top w:val="nil"/>
              <w:left w:val="nil"/>
              <w:bottom w:val="nil"/>
              <w:right w:val="nil"/>
            </w:tcBorders>
            <w:vAlign w:val="center"/>
          </w:tcPr>
          <w:p w14:paraId="7998A5F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Other aphids</w:t>
            </w:r>
          </w:p>
        </w:tc>
      </w:tr>
      <w:tr w:rsidR="00FB50CF" w:rsidRPr="006D0FF9" w14:paraId="75B27F3E" w14:textId="77777777" w:rsidTr="000B6141">
        <w:trPr>
          <w:trHeight w:val="368"/>
        </w:trPr>
        <w:tc>
          <w:tcPr>
            <w:tcW w:w="1110" w:type="dxa"/>
            <w:tcBorders>
              <w:top w:val="single" w:sz="4" w:space="0" w:color="auto"/>
              <w:left w:val="nil"/>
              <w:bottom w:val="nil"/>
              <w:right w:val="nil"/>
            </w:tcBorders>
            <w:noWrap/>
            <w:vAlign w:val="center"/>
          </w:tcPr>
          <w:p w14:paraId="1B75C19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w:t>
            </w:r>
          </w:p>
        </w:tc>
        <w:tc>
          <w:tcPr>
            <w:tcW w:w="780" w:type="dxa"/>
            <w:tcBorders>
              <w:top w:val="single" w:sz="4" w:space="0" w:color="auto"/>
              <w:left w:val="nil"/>
              <w:bottom w:val="nil"/>
              <w:right w:val="nil"/>
            </w:tcBorders>
            <w:noWrap/>
            <w:vAlign w:val="center"/>
          </w:tcPr>
          <w:p w14:paraId="0F90C674" w14:textId="77777777" w:rsidR="00FB50CF" w:rsidRPr="006D0FF9" w:rsidRDefault="00FB50CF" w:rsidP="000B6141">
            <w:pPr>
              <w:jc w:val="center"/>
              <w:rPr>
                <w:rFonts w:ascii="Times New Roman" w:hAnsi="Times New Roman" w:cs="Times New Roman"/>
                <w:color w:val="000000"/>
                <w:sz w:val="18"/>
                <w:szCs w:val="18"/>
              </w:rPr>
            </w:pPr>
            <w:r w:rsidRPr="006D0FF9">
              <w:rPr>
                <w:rFonts w:ascii="Times New Roman" w:hAnsi="Times New Roman" w:cs="Times New Roman"/>
                <w:color w:val="000000"/>
                <w:sz w:val="18"/>
                <w:szCs w:val="18"/>
              </w:rPr>
              <w:t>0.10</w:t>
            </w:r>
          </w:p>
        </w:tc>
        <w:tc>
          <w:tcPr>
            <w:tcW w:w="990" w:type="dxa"/>
            <w:tcBorders>
              <w:top w:val="single" w:sz="4" w:space="0" w:color="auto"/>
              <w:left w:val="nil"/>
              <w:bottom w:val="nil"/>
              <w:right w:val="nil"/>
            </w:tcBorders>
            <w:noWrap/>
            <w:vAlign w:val="center"/>
          </w:tcPr>
          <w:p w14:paraId="401A08A3"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w:t>
            </w:r>
          </w:p>
        </w:tc>
        <w:tc>
          <w:tcPr>
            <w:tcW w:w="990" w:type="dxa"/>
            <w:tcBorders>
              <w:top w:val="single" w:sz="4" w:space="0" w:color="auto"/>
              <w:left w:val="nil"/>
              <w:bottom w:val="nil"/>
              <w:right w:val="nil"/>
            </w:tcBorders>
            <w:noWrap/>
            <w:vAlign w:val="center"/>
          </w:tcPr>
          <w:p w14:paraId="41CA2D68"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260" w:type="dxa"/>
            <w:tcBorders>
              <w:top w:val="single" w:sz="4" w:space="0" w:color="auto"/>
              <w:left w:val="nil"/>
              <w:bottom w:val="nil"/>
              <w:right w:val="nil"/>
            </w:tcBorders>
            <w:noWrap/>
            <w:vAlign w:val="center"/>
          </w:tcPr>
          <w:p w14:paraId="043CC09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90" w:type="dxa"/>
            <w:tcBorders>
              <w:top w:val="single" w:sz="4" w:space="0" w:color="auto"/>
              <w:left w:val="nil"/>
              <w:bottom w:val="nil"/>
              <w:right w:val="nil"/>
            </w:tcBorders>
            <w:noWrap/>
            <w:vAlign w:val="center"/>
          </w:tcPr>
          <w:p w14:paraId="29B5BB4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170" w:type="dxa"/>
            <w:tcBorders>
              <w:top w:val="single" w:sz="4" w:space="0" w:color="auto"/>
              <w:left w:val="nil"/>
              <w:bottom w:val="nil"/>
              <w:right w:val="nil"/>
            </w:tcBorders>
            <w:noWrap/>
            <w:vAlign w:val="center"/>
          </w:tcPr>
          <w:p w14:paraId="3BDE326A"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30" w:type="dxa"/>
            <w:gridSpan w:val="2"/>
            <w:tcBorders>
              <w:top w:val="single" w:sz="4" w:space="0" w:color="auto"/>
              <w:left w:val="nil"/>
              <w:bottom w:val="nil"/>
              <w:right w:val="nil"/>
            </w:tcBorders>
            <w:noWrap/>
            <w:vAlign w:val="center"/>
          </w:tcPr>
          <w:p w14:paraId="5640D902"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0.0</w:t>
            </w:r>
          </w:p>
        </w:tc>
        <w:tc>
          <w:tcPr>
            <w:tcW w:w="2340" w:type="dxa"/>
            <w:gridSpan w:val="2"/>
            <w:tcBorders>
              <w:top w:val="single" w:sz="4" w:space="0" w:color="auto"/>
              <w:left w:val="nil"/>
              <w:bottom w:val="nil"/>
              <w:right w:val="nil"/>
            </w:tcBorders>
            <w:noWrap/>
            <w:vAlign w:val="center"/>
          </w:tcPr>
          <w:p w14:paraId="10D20D07"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c>
          <w:tcPr>
            <w:tcW w:w="2430" w:type="dxa"/>
            <w:tcBorders>
              <w:top w:val="single" w:sz="4" w:space="0" w:color="auto"/>
              <w:left w:val="nil"/>
              <w:bottom w:val="nil"/>
              <w:right w:val="nil"/>
            </w:tcBorders>
            <w:vAlign w:val="center"/>
          </w:tcPr>
          <w:p w14:paraId="654A7D3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sz w:val="18"/>
                <w:szCs w:val="18"/>
              </w:rPr>
              <w:t>N/A</w:t>
            </w:r>
          </w:p>
        </w:tc>
      </w:tr>
      <w:tr w:rsidR="00FB50CF" w:rsidRPr="006D0FF9" w14:paraId="5D7CC883" w14:textId="77777777" w:rsidTr="000B6141">
        <w:trPr>
          <w:trHeight w:val="368"/>
        </w:trPr>
        <w:tc>
          <w:tcPr>
            <w:tcW w:w="1110" w:type="dxa"/>
            <w:tcBorders>
              <w:top w:val="single" w:sz="4" w:space="0" w:color="auto"/>
              <w:left w:val="nil"/>
              <w:bottom w:val="nil"/>
              <w:right w:val="nil"/>
            </w:tcBorders>
            <w:noWrap/>
            <w:vAlign w:val="center"/>
            <w:hideMark/>
          </w:tcPr>
          <w:p w14:paraId="5BC86CAD"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w:t>
            </w:r>
          </w:p>
        </w:tc>
        <w:tc>
          <w:tcPr>
            <w:tcW w:w="780" w:type="dxa"/>
            <w:tcBorders>
              <w:top w:val="single" w:sz="4" w:space="0" w:color="auto"/>
              <w:left w:val="nil"/>
              <w:bottom w:val="nil"/>
              <w:right w:val="nil"/>
            </w:tcBorders>
            <w:noWrap/>
            <w:vAlign w:val="center"/>
            <w:hideMark/>
          </w:tcPr>
          <w:p w14:paraId="32FE0C21"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35.65</w:t>
            </w:r>
          </w:p>
        </w:tc>
        <w:tc>
          <w:tcPr>
            <w:tcW w:w="990" w:type="dxa"/>
            <w:tcBorders>
              <w:top w:val="single" w:sz="4" w:space="0" w:color="auto"/>
              <w:left w:val="nil"/>
              <w:bottom w:val="nil"/>
              <w:right w:val="nil"/>
            </w:tcBorders>
            <w:noWrap/>
            <w:vAlign w:val="center"/>
            <w:hideMark/>
          </w:tcPr>
          <w:p w14:paraId="57241B50"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10</w:t>
            </w:r>
          </w:p>
        </w:tc>
        <w:tc>
          <w:tcPr>
            <w:tcW w:w="990" w:type="dxa"/>
            <w:tcBorders>
              <w:top w:val="single" w:sz="4" w:space="0" w:color="auto"/>
              <w:left w:val="nil"/>
              <w:bottom w:val="nil"/>
              <w:right w:val="nil"/>
            </w:tcBorders>
            <w:noWrap/>
            <w:vAlign w:val="center"/>
            <w:hideMark/>
          </w:tcPr>
          <w:p w14:paraId="1F38B74A"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260" w:type="dxa"/>
            <w:tcBorders>
              <w:top w:val="single" w:sz="4" w:space="0" w:color="auto"/>
              <w:left w:val="nil"/>
              <w:bottom w:val="nil"/>
              <w:right w:val="nil"/>
            </w:tcBorders>
            <w:noWrap/>
            <w:vAlign w:val="center"/>
            <w:hideMark/>
          </w:tcPr>
          <w:p w14:paraId="5DDC429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90" w:type="dxa"/>
            <w:tcBorders>
              <w:top w:val="single" w:sz="4" w:space="0" w:color="auto"/>
              <w:left w:val="nil"/>
              <w:bottom w:val="nil"/>
              <w:right w:val="nil"/>
            </w:tcBorders>
            <w:noWrap/>
            <w:vAlign w:val="center"/>
            <w:hideMark/>
          </w:tcPr>
          <w:p w14:paraId="65F350E0"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170" w:type="dxa"/>
            <w:tcBorders>
              <w:top w:val="single" w:sz="4" w:space="0" w:color="auto"/>
              <w:left w:val="nil"/>
              <w:bottom w:val="nil"/>
              <w:right w:val="nil"/>
            </w:tcBorders>
            <w:noWrap/>
            <w:vAlign w:val="center"/>
            <w:hideMark/>
          </w:tcPr>
          <w:p w14:paraId="4272A027"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F</w:t>
            </w:r>
          </w:p>
        </w:tc>
        <w:tc>
          <w:tcPr>
            <w:tcW w:w="900" w:type="dxa"/>
            <w:tcBorders>
              <w:top w:val="single" w:sz="4" w:space="0" w:color="auto"/>
              <w:left w:val="nil"/>
              <w:bottom w:val="nil"/>
              <w:right w:val="nil"/>
            </w:tcBorders>
            <w:noWrap/>
            <w:vAlign w:val="center"/>
            <w:hideMark/>
          </w:tcPr>
          <w:p w14:paraId="4276DEE5"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3.10</w:t>
            </w:r>
          </w:p>
        </w:tc>
        <w:tc>
          <w:tcPr>
            <w:tcW w:w="2340" w:type="dxa"/>
            <w:gridSpan w:val="2"/>
            <w:tcBorders>
              <w:top w:val="single" w:sz="4" w:space="0" w:color="auto"/>
              <w:left w:val="nil"/>
              <w:bottom w:val="nil"/>
              <w:right w:val="nil"/>
            </w:tcBorders>
            <w:noWrap/>
            <w:vAlign w:val="center"/>
            <w:hideMark/>
          </w:tcPr>
          <w:p w14:paraId="6551D227"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 xml:space="preserve">Paula </w:t>
            </w:r>
            <w:r w:rsidRPr="006D0FF9">
              <w:rPr>
                <w:rFonts w:ascii="Times New Roman" w:eastAsia="Times New Roman" w:hAnsi="Times New Roman" w:cs="Times New Roman"/>
                <w:i/>
                <w:iCs/>
                <w:sz w:val="18"/>
                <w:szCs w:val="18"/>
              </w:rPr>
              <w:t xml:space="preserve">et al. </w:t>
            </w:r>
            <w:r w:rsidRPr="006D0FF9">
              <w:rPr>
                <w:rFonts w:ascii="Times New Roman" w:eastAsia="Times New Roman" w:hAnsi="Times New Roman" w:cs="Times New Roman"/>
                <w:sz w:val="18"/>
                <w:szCs w:val="18"/>
              </w:rPr>
              <w:t xml:space="preserve">2021, Valmorbida </w:t>
            </w:r>
            <w:r w:rsidRPr="006D0FF9">
              <w:rPr>
                <w:rFonts w:ascii="Times New Roman" w:eastAsia="Times New Roman" w:hAnsi="Times New Roman" w:cs="Times New Roman"/>
                <w:i/>
                <w:iCs/>
                <w:sz w:val="18"/>
                <w:szCs w:val="18"/>
              </w:rPr>
              <w:t xml:space="preserve">et al. </w:t>
            </w:r>
            <w:r w:rsidRPr="006D0FF9">
              <w:rPr>
                <w:rFonts w:ascii="Times New Roman" w:eastAsia="Times New Roman" w:hAnsi="Times New Roman" w:cs="Times New Roman"/>
                <w:sz w:val="18"/>
                <w:szCs w:val="18"/>
              </w:rPr>
              <w:t>2022</w:t>
            </w:r>
          </w:p>
        </w:tc>
        <w:tc>
          <w:tcPr>
            <w:tcW w:w="2460" w:type="dxa"/>
            <w:gridSpan w:val="2"/>
            <w:tcBorders>
              <w:top w:val="single" w:sz="4" w:space="0" w:color="auto"/>
              <w:left w:val="nil"/>
              <w:bottom w:val="nil"/>
              <w:right w:val="nil"/>
            </w:tcBorders>
            <w:vAlign w:val="center"/>
          </w:tcPr>
          <w:p w14:paraId="0EF80FA4"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color w:val="000000"/>
                <w:sz w:val="18"/>
                <w:szCs w:val="18"/>
              </w:rPr>
              <w:t xml:space="preserve">Marshall </w:t>
            </w:r>
            <w:r w:rsidRPr="006D0FF9">
              <w:rPr>
                <w:rFonts w:ascii="Times New Roman" w:eastAsia="Times New Roman" w:hAnsi="Times New Roman" w:cs="Times New Roman"/>
                <w:i/>
                <w:iCs/>
                <w:color w:val="000000"/>
                <w:sz w:val="18"/>
                <w:szCs w:val="18"/>
              </w:rPr>
              <w:t>et al</w:t>
            </w:r>
            <w:r w:rsidRPr="006D0FF9">
              <w:rPr>
                <w:rFonts w:ascii="Times New Roman" w:eastAsia="Times New Roman" w:hAnsi="Times New Roman" w:cs="Times New Roman"/>
                <w:color w:val="000000"/>
                <w:sz w:val="18"/>
                <w:szCs w:val="18"/>
              </w:rPr>
              <w:t>. 2012</w:t>
            </w:r>
          </w:p>
        </w:tc>
      </w:tr>
      <w:tr w:rsidR="00FB50CF" w:rsidRPr="006D0FF9" w14:paraId="6D766F9B" w14:textId="77777777" w:rsidTr="000B6141">
        <w:trPr>
          <w:trHeight w:val="368"/>
        </w:trPr>
        <w:tc>
          <w:tcPr>
            <w:tcW w:w="1110" w:type="dxa"/>
            <w:tcBorders>
              <w:top w:val="nil"/>
              <w:left w:val="nil"/>
              <w:bottom w:val="nil"/>
              <w:right w:val="nil"/>
            </w:tcBorders>
            <w:noWrap/>
            <w:vAlign w:val="center"/>
            <w:hideMark/>
          </w:tcPr>
          <w:p w14:paraId="172543CD"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2</w:t>
            </w:r>
          </w:p>
        </w:tc>
        <w:tc>
          <w:tcPr>
            <w:tcW w:w="780" w:type="dxa"/>
            <w:tcBorders>
              <w:top w:val="nil"/>
              <w:left w:val="nil"/>
              <w:bottom w:val="nil"/>
              <w:right w:val="nil"/>
            </w:tcBorders>
            <w:noWrap/>
            <w:vAlign w:val="center"/>
            <w:hideMark/>
          </w:tcPr>
          <w:p w14:paraId="0BA6CCC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25.06</w:t>
            </w:r>
          </w:p>
        </w:tc>
        <w:tc>
          <w:tcPr>
            <w:tcW w:w="990" w:type="dxa"/>
            <w:tcBorders>
              <w:top w:val="nil"/>
              <w:left w:val="nil"/>
              <w:bottom w:val="nil"/>
              <w:right w:val="nil"/>
            </w:tcBorders>
            <w:noWrap/>
            <w:vAlign w:val="center"/>
            <w:hideMark/>
          </w:tcPr>
          <w:p w14:paraId="190A4503"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9</w:t>
            </w:r>
          </w:p>
        </w:tc>
        <w:tc>
          <w:tcPr>
            <w:tcW w:w="990" w:type="dxa"/>
            <w:tcBorders>
              <w:top w:val="nil"/>
              <w:left w:val="nil"/>
              <w:bottom w:val="nil"/>
              <w:right w:val="nil"/>
            </w:tcBorders>
            <w:noWrap/>
            <w:vAlign w:val="center"/>
            <w:hideMark/>
          </w:tcPr>
          <w:p w14:paraId="3A063458"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260" w:type="dxa"/>
            <w:tcBorders>
              <w:top w:val="nil"/>
              <w:left w:val="nil"/>
              <w:bottom w:val="nil"/>
              <w:right w:val="nil"/>
            </w:tcBorders>
            <w:noWrap/>
            <w:vAlign w:val="center"/>
            <w:hideMark/>
          </w:tcPr>
          <w:p w14:paraId="1B12ECE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90" w:type="dxa"/>
            <w:tcBorders>
              <w:top w:val="nil"/>
              <w:left w:val="nil"/>
              <w:bottom w:val="nil"/>
              <w:right w:val="nil"/>
            </w:tcBorders>
            <w:noWrap/>
            <w:vAlign w:val="center"/>
            <w:hideMark/>
          </w:tcPr>
          <w:p w14:paraId="4017716C"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M</w:t>
            </w:r>
          </w:p>
        </w:tc>
        <w:tc>
          <w:tcPr>
            <w:tcW w:w="1170" w:type="dxa"/>
            <w:tcBorders>
              <w:top w:val="nil"/>
              <w:left w:val="nil"/>
              <w:bottom w:val="nil"/>
              <w:right w:val="nil"/>
            </w:tcBorders>
            <w:noWrap/>
            <w:vAlign w:val="center"/>
            <w:hideMark/>
          </w:tcPr>
          <w:p w14:paraId="5E6720B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F</w:t>
            </w:r>
          </w:p>
        </w:tc>
        <w:tc>
          <w:tcPr>
            <w:tcW w:w="900" w:type="dxa"/>
            <w:tcBorders>
              <w:top w:val="nil"/>
              <w:left w:val="nil"/>
              <w:bottom w:val="nil"/>
              <w:right w:val="nil"/>
            </w:tcBorders>
            <w:noWrap/>
            <w:vAlign w:val="center"/>
            <w:hideMark/>
          </w:tcPr>
          <w:p w14:paraId="355ED63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hideMark/>
          </w:tcPr>
          <w:p w14:paraId="124CA545"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 xml:space="preserve">Paula </w:t>
            </w:r>
            <w:r w:rsidRPr="006D0FF9">
              <w:rPr>
                <w:rFonts w:ascii="Times New Roman" w:eastAsia="Times New Roman" w:hAnsi="Times New Roman" w:cs="Times New Roman"/>
                <w:i/>
                <w:iCs/>
                <w:sz w:val="18"/>
                <w:szCs w:val="18"/>
              </w:rPr>
              <w:t xml:space="preserve">et al. </w:t>
            </w:r>
            <w:r w:rsidRPr="006D0FF9">
              <w:rPr>
                <w:rFonts w:ascii="Times New Roman" w:eastAsia="Times New Roman" w:hAnsi="Times New Roman" w:cs="Times New Roman"/>
                <w:sz w:val="18"/>
                <w:szCs w:val="18"/>
              </w:rPr>
              <w:t>2021</w:t>
            </w:r>
          </w:p>
        </w:tc>
        <w:tc>
          <w:tcPr>
            <w:tcW w:w="2460" w:type="dxa"/>
            <w:gridSpan w:val="2"/>
            <w:tcBorders>
              <w:top w:val="nil"/>
              <w:left w:val="nil"/>
              <w:bottom w:val="nil"/>
              <w:right w:val="nil"/>
            </w:tcBorders>
            <w:vAlign w:val="center"/>
          </w:tcPr>
          <w:p w14:paraId="216CFEC4"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2195AD2D" w14:textId="77777777" w:rsidTr="000B6141">
        <w:trPr>
          <w:trHeight w:val="368"/>
        </w:trPr>
        <w:tc>
          <w:tcPr>
            <w:tcW w:w="1110" w:type="dxa"/>
            <w:tcBorders>
              <w:top w:val="nil"/>
              <w:left w:val="nil"/>
              <w:bottom w:val="nil"/>
              <w:right w:val="nil"/>
            </w:tcBorders>
            <w:noWrap/>
            <w:vAlign w:val="center"/>
            <w:hideMark/>
          </w:tcPr>
          <w:p w14:paraId="73A4754E"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3</w:t>
            </w:r>
          </w:p>
        </w:tc>
        <w:tc>
          <w:tcPr>
            <w:tcW w:w="780" w:type="dxa"/>
            <w:tcBorders>
              <w:top w:val="nil"/>
              <w:left w:val="nil"/>
              <w:bottom w:val="nil"/>
              <w:right w:val="nil"/>
            </w:tcBorders>
            <w:noWrap/>
            <w:vAlign w:val="center"/>
            <w:hideMark/>
          </w:tcPr>
          <w:p w14:paraId="0735360A"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17.24</w:t>
            </w:r>
          </w:p>
        </w:tc>
        <w:tc>
          <w:tcPr>
            <w:tcW w:w="990" w:type="dxa"/>
            <w:tcBorders>
              <w:top w:val="nil"/>
              <w:left w:val="nil"/>
              <w:bottom w:val="nil"/>
              <w:right w:val="nil"/>
            </w:tcBorders>
            <w:noWrap/>
            <w:vAlign w:val="center"/>
            <w:hideMark/>
          </w:tcPr>
          <w:p w14:paraId="1F66C51F"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10</w:t>
            </w:r>
          </w:p>
        </w:tc>
        <w:tc>
          <w:tcPr>
            <w:tcW w:w="990" w:type="dxa"/>
            <w:tcBorders>
              <w:top w:val="nil"/>
              <w:left w:val="nil"/>
              <w:bottom w:val="nil"/>
              <w:right w:val="nil"/>
            </w:tcBorders>
            <w:noWrap/>
            <w:vAlign w:val="center"/>
            <w:hideMark/>
          </w:tcPr>
          <w:p w14:paraId="44A5058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260" w:type="dxa"/>
            <w:tcBorders>
              <w:top w:val="nil"/>
              <w:left w:val="nil"/>
              <w:bottom w:val="nil"/>
              <w:right w:val="nil"/>
            </w:tcBorders>
            <w:noWrap/>
            <w:vAlign w:val="center"/>
            <w:hideMark/>
          </w:tcPr>
          <w:p w14:paraId="09D2395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I</w:t>
            </w:r>
          </w:p>
        </w:tc>
        <w:tc>
          <w:tcPr>
            <w:tcW w:w="990" w:type="dxa"/>
            <w:tcBorders>
              <w:top w:val="nil"/>
              <w:left w:val="nil"/>
              <w:bottom w:val="nil"/>
              <w:right w:val="nil"/>
            </w:tcBorders>
            <w:noWrap/>
            <w:vAlign w:val="center"/>
            <w:hideMark/>
          </w:tcPr>
          <w:p w14:paraId="60EF10B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170" w:type="dxa"/>
            <w:tcBorders>
              <w:top w:val="nil"/>
              <w:left w:val="nil"/>
              <w:bottom w:val="nil"/>
              <w:right w:val="nil"/>
            </w:tcBorders>
            <w:noWrap/>
            <w:vAlign w:val="center"/>
            <w:hideMark/>
          </w:tcPr>
          <w:p w14:paraId="4E60AF8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F</w:t>
            </w:r>
          </w:p>
        </w:tc>
        <w:tc>
          <w:tcPr>
            <w:tcW w:w="900" w:type="dxa"/>
            <w:tcBorders>
              <w:top w:val="nil"/>
              <w:left w:val="nil"/>
              <w:bottom w:val="nil"/>
              <w:right w:val="nil"/>
            </w:tcBorders>
            <w:noWrap/>
            <w:vAlign w:val="center"/>
            <w:hideMark/>
          </w:tcPr>
          <w:p w14:paraId="6E3A4AE5"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35.62</w:t>
            </w:r>
          </w:p>
        </w:tc>
        <w:tc>
          <w:tcPr>
            <w:tcW w:w="2340" w:type="dxa"/>
            <w:gridSpan w:val="2"/>
            <w:tcBorders>
              <w:top w:val="nil"/>
              <w:left w:val="nil"/>
              <w:bottom w:val="nil"/>
              <w:right w:val="nil"/>
            </w:tcBorders>
            <w:noWrap/>
            <w:vAlign w:val="center"/>
            <w:hideMark/>
          </w:tcPr>
          <w:p w14:paraId="4D581B44"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 xml:space="preserve">Paula </w:t>
            </w:r>
            <w:r w:rsidRPr="006D0FF9">
              <w:rPr>
                <w:rFonts w:ascii="Times New Roman" w:eastAsia="Times New Roman" w:hAnsi="Times New Roman" w:cs="Times New Roman"/>
                <w:i/>
                <w:iCs/>
                <w:sz w:val="18"/>
                <w:szCs w:val="18"/>
              </w:rPr>
              <w:t xml:space="preserve">et al. </w:t>
            </w:r>
            <w:r w:rsidRPr="006D0FF9">
              <w:rPr>
                <w:rFonts w:ascii="Times New Roman" w:eastAsia="Times New Roman" w:hAnsi="Times New Roman" w:cs="Times New Roman"/>
                <w:sz w:val="18"/>
                <w:szCs w:val="18"/>
              </w:rPr>
              <w:t>2021,</w:t>
            </w:r>
            <w:r w:rsidRPr="006D0FF9">
              <w:rPr>
                <w:rFonts w:ascii="Times New Roman" w:eastAsia="Times New Roman" w:hAnsi="Times New Roman" w:cs="Times New Roman"/>
                <w:sz w:val="18"/>
                <w:szCs w:val="18"/>
                <w:vertAlign w:val="superscript"/>
              </w:rPr>
              <w:t xml:space="preserve"> </w:t>
            </w:r>
          </w:p>
          <w:p w14:paraId="481AE515"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Valmorbida</w:t>
            </w:r>
            <w:r w:rsidRPr="006D0FF9">
              <w:rPr>
                <w:rFonts w:ascii="Times New Roman" w:eastAsia="Times New Roman" w:hAnsi="Times New Roman" w:cs="Times New Roman"/>
                <w:i/>
                <w:iCs/>
                <w:sz w:val="18"/>
                <w:szCs w:val="18"/>
              </w:rPr>
              <w:t xml:space="preserve"> et al</w:t>
            </w:r>
            <w:r w:rsidRPr="006D0FF9">
              <w:rPr>
                <w:rFonts w:ascii="Times New Roman" w:eastAsia="Times New Roman" w:hAnsi="Times New Roman" w:cs="Times New Roman"/>
                <w:sz w:val="18"/>
                <w:szCs w:val="18"/>
              </w:rPr>
              <w:t>. 2022</w:t>
            </w:r>
          </w:p>
        </w:tc>
        <w:tc>
          <w:tcPr>
            <w:tcW w:w="2460" w:type="dxa"/>
            <w:gridSpan w:val="2"/>
            <w:tcBorders>
              <w:top w:val="nil"/>
              <w:left w:val="nil"/>
              <w:bottom w:val="nil"/>
              <w:right w:val="nil"/>
            </w:tcBorders>
            <w:vAlign w:val="center"/>
          </w:tcPr>
          <w:p w14:paraId="4AD32740"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02421404" w14:textId="77777777" w:rsidTr="000B6141">
        <w:trPr>
          <w:trHeight w:val="368"/>
        </w:trPr>
        <w:tc>
          <w:tcPr>
            <w:tcW w:w="1110" w:type="dxa"/>
            <w:tcBorders>
              <w:top w:val="nil"/>
              <w:left w:val="nil"/>
              <w:bottom w:val="nil"/>
              <w:right w:val="nil"/>
            </w:tcBorders>
            <w:noWrap/>
            <w:vAlign w:val="center"/>
            <w:hideMark/>
          </w:tcPr>
          <w:p w14:paraId="0621528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4</w:t>
            </w:r>
          </w:p>
        </w:tc>
        <w:tc>
          <w:tcPr>
            <w:tcW w:w="780" w:type="dxa"/>
            <w:tcBorders>
              <w:top w:val="nil"/>
              <w:left w:val="nil"/>
              <w:bottom w:val="nil"/>
              <w:right w:val="nil"/>
            </w:tcBorders>
            <w:noWrap/>
            <w:vAlign w:val="center"/>
            <w:hideMark/>
          </w:tcPr>
          <w:p w14:paraId="47686501"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8.90</w:t>
            </w:r>
          </w:p>
        </w:tc>
        <w:tc>
          <w:tcPr>
            <w:tcW w:w="990" w:type="dxa"/>
            <w:tcBorders>
              <w:top w:val="nil"/>
              <w:left w:val="nil"/>
              <w:bottom w:val="nil"/>
              <w:right w:val="nil"/>
            </w:tcBorders>
            <w:noWrap/>
            <w:vAlign w:val="center"/>
            <w:hideMark/>
          </w:tcPr>
          <w:p w14:paraId="0AF7AE4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2</w:t>
            </w:r>
          </w:p>
        </w:tc>
        <w:tc>
          <w:tcPr>
            <w:tcW w:w="990" w:type="dxa"/>
            <w:tcBorders>
              <w:top w:val="nil"/>
              <w:left w:val="nil"/>
              <w:bottom w:val="nil"/>
              <w:right w:val="nil"/>
            </w:tcBorders>
            <w:noWrap/>
            <w:vAlign w:val="center"/>
            <w:hideMark/>
          </w:tcPr>
          <w:p w14:paraId="5AE5CE9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260" w:type="dxa"/>
            <w:tcBorders>
              <w:top w:val="nil"/>
              <w:left w:val="nil"/>
              <w:bottom w:val="nil"/>
              <w:right w:val="nil"/>
            </w:tcBorders>
            <w:noWrap/>
            <w:vAlign w:val="center"/>
            <w:hideMark/>
          </w:tcPr>
          <w:p w14:paraId="3D33F0F7"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90" w:type="dxa"/>
            <w:tcBorders>
              <w:top w:val="nil"/>
              <w:left w:val="nil"/>
              <w:bottom w:val="nil"/>
              <w:right w:val="nil"/>
            </w:tcBorders>
            <w:noWrap/>
            <w:vAlign w:val="center"/>
            <w:hideMark/>
          </w:tcPr>
          <w:p w14:paraId="0CB019B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170" w:type="dxa"/>
            <w:tcBorders>
              <w:top w:val="nil"/>
              <w:left w:val="nil"/>
              <w:bottom w:val="nil"/>
              <w:right w:val="nil"/>
            </w:tcBorders>
            <w:noWrap/>
            <w:vAlign w:val="center"/>
            <w:hideMark/>
          </w:tcPr>
          <w:p w14:paraId="5AD716C2" w14:textId="77777777" w:rsidR="00FB50CF" w:rsidRPr="006D0FF9" w:rsidRDefault="00FB50CF" w:rsidP="000B6141">
            <w:pPr>
              <w:jc w:val="center"/>
              <w:rPr>
                <w:rFonts w:ascii="Times New Roman" w:eastAsia="Times New Roman" w:hAnsi="Times New Roman" w:cs="Times New Roman"/>
                <w:b/>
                <w:bCs/>
                <w:color w:val="000000"/>
                <w:sz w:val="18"/>
                <w:szCs w:val="18"/>
              </w:rPr>
            </w:pPr>
            <w:r w:rsidRPr="006D0FF9">
              <w:rPr>
                <w:rFonts w:ascii="Times New Roman" w:eastAsia="Times New Roman" w:hAnsi="Times New Roman" w:cs="Times New Roman"/>
                <w:b/>
                <w:bCs/>
                <w:color w:val="000000"/>
                <w:sz w:val="18"/>
                <w:szCs w:val="18"/>
              </w:rPr>
              <w:t>FF</w:t>
            </w:r>
          </w:p>
        </w:tc>
        <w:tc>
          <w:tcPr>
            <w:tcW w:w="900" w:type="dxa"/>
            <w:tcBorders>
              <w:top w:val="nil"/>
              <w:left w:val="nil"/>
              <w:bottom w:val="nil"/>
              <w:right w:val="nil"/>
            </w:tcBorders>
            <w:noWrap/>
            <w:vAlign w:val="center"/>
            <w:hideMark/>
          </w:tcPr>
          <w:p w14:paraId="089100CC"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37.06</w:t>
            </w:r>
          </w:p>
        </w:tc>
        <w:tc>
          <w:tcPr>
            <w:tcW w:w="2340" w:type="dxa"/>
            <w:gridSpan w:val="2"/>
            <w:tcBorders>
              <w:top w:val="nil"/>
              <w:left w:val="nil"/>
              <w:bottom w:val="nil"/>
              <w:right w:val="nil"/>
            </w:tcBorders>
            <w:noWrap/>
            <w:vAlign w:val="center"/>
            <w:hideMark/>
          </w:tcPr>
          <w:p w14:paraId="3DD8504D"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 xml:space="preserve">Valmorbida </w:t>
            </w:r>
            <w:r w:rsidRPr="006D0FF9">
              <w:rPr>
                <w:rFonts w:ascii="Times New Roman" w:eastAsia="Times New Roman" w:hAnsi="Times New Roman" w:cs="Times New Roman"/>
                <w:i/>
                <w:iCs/>
                <w:sz w:val="18"/>
                <w:szCs w:val="18"/>
              </w:rPr>
              <w:t xml:space="preserve">et al. </w:t>
            </w:r>
            <w:r w:rsidRPr="006D0FF9">
              <w:rPr>
                <w:rFonts w:ascii="Times New Roman" w:eastAsia="Times New Roman" w:hAnsi="Times New Roman" w:cs="Times New Roman"/>
                <w:sz w:val="18"/>
                <w:szCs w:val="18"/>
              </w:rPr>
              <w:t>2022</w:t>
            </w:r>
          </w:p>
        </w:tc>
        <w:tc>
          <w:tcPr>
            <w:tcW w:w="2460" w:type="dxa"/>
            <w:gridSpan w:val="2"/>
            <w:tcBorders>
              <w:top w:val="nil"/>
              <w:left w:val="nil"/>
              <w:bottom w:val="nil"/>
              <w:right w:val="nil"/>
            </w:tcBorders>
            <w:vAlign w:val="center"/>
          </w:tcPr>
          <w:p w14:paraId="2E8D6AAC"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color w:val="000000"/>
                <w:sz w:val="18"/>
                <w:szCs w:val="18"/>
              </w:rPr>
              <w:t xml:space="preserve">Anstead </w:t>
            </w:r>
            <w:r w:rsidRPr="006D0FF9">
              <w:rPr>
                <w:rFonts w:ascii="Times New Roman" w:eastAsia="Times New Roman" w:hAnsi="Times New Roman" w:cs="Times New Roman"/>
                <w:i/>
                <w:iCs/>
                <w:color w:val="000000"/>
                <w:sz w:val="18"/>
                <w:szCs w:val="18"/>
              </w:rPr>
              <w:t>et al</w:t>
            </w:r>
            <w:r w:rsidRPr="006D0FF9">
              <w:rPr>
                <w:rFonts w:ascii="Times New Roman" w:eastAsia="Times New Roman" w:hAnsi="Times New Roman" w:cs="Times New Roman"/>
                <w:color w:val="000000"/>
                <w:sz w:val="18"/>
                <w:szCs w:val="18"/>
              </w:rPr>
              <w:t>. 2004</w:t>
            </w:r>
          </w:p>
        </w:tc>
      </w:tr>
      <w:tr w:rsidR="00FB50CF" w:rsidRPr="006D0FF9" w14:paraId="773EEAAE" w14:textId="77777777" w:rsidTr="000B6141">
        <w:trPr>
          <w:trHeight w:val="368"/>
        </w:trPr>
        <w:tc>
          <w:tcPr>
            <w:tcW w:w="1110" w:type="dxa"/>
            <w:tcBorders>
              <w:top w:val="nil"/>
              <w:left w:val="nil"/>
              <w:bottom w:val="nil"/>
              <w:right w:val="nil"/>
            </w:tcBorders>
            <w:noWrap/>
            <w:vAlign w:val="center"/>
            <w:hideMark/>
          </w:tcPr>
          <w:p w14:paraId="3C069487"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5</w:t>
            </w:r>
          </w:p>
        </w:tc>
        <w:tc>
          <w:tcPr>
            <w:tcW w:w="780" w:type="dxa"/>
            <w:tcBorders>
              <w:top w:val="nil"/>
              <w:left w:val="nil"/>
              <w:bottom w:val="nil"/>
              <w:right w:val="nil"/>
            </w:tcBorders>
            <w:noWrap/>
            <w:vAlign w:val="center"/>
            <w:hideMark/>
          </w:tcPr>
          <w:p w14:paraId="637CC5ED"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3.17</w:t>
            </w:r>
          </w:p>
        </w:tc>
        <w:tc>
          <w:tcPr>
            <w:tcW w:w="990" w:type="dxa"/>
            <w:tcBorders>
              <w:top w:val="nil"/>
              <w:left w:val="nil"/>
              <w:bottom w:val="nil"/>
              <w:right w:val="nil"/>
            </w:tcBorders>
            <w:noWrap/>
            <w:vAlign w:val="center"/>
            <w:hideMark/>
          </w:tcPr>
          <w:p w14:paraId="44C1FF7F"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5</w:t>
            </w:r>
          </w:p>
        </w:tc>
        <w:tc>
          <w:tcPr>
            <w:tcW w:w="990" w:type="dxa"/>
            <w:tcBorders>
              <w:top w:val="nil"/>
              <w:left w:val="nil"/>
              <w:bottom w:val="nil"/>
              <w:right w:val="nil"/>
            </w:tcBorders>
            <w:noWrap/>
            <w:vAlign w:val="center"/>
            <w:hideMark/>
          </w:tcPr>
          <w:p w14:paraId="61738247"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260" w:type="dxa"/>
            <w:tcBorders>
              <w:top w:val="nil"/>
              <w:left w:val="nil"/>
              <w:bottom w:val="nil"/>
              <w:right w:val="nil"/>
            </w:tcBorders>
            <w:noWrap/>
            <w:vAlign w:val="center"/>
            <w:hideMark/>
          </w:tcPr>
          <w:p w14:paraId="2759C12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90" w:type="dxa"/>
            <w:tcBorders>
              <w:top w:val="nil"/>
              <w:left w:val="nil"/>
              <w:bottom w:val="nil"/>
              <w:right w:val="nil"/>
            </w:tcBorders>
            <w:noWrap/>
            <w:vAlign w:val="center"/>
            <w:hideMark/>
          </w:tcPr>
          <w:p w14:paraId="3953A31A"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M</w:t>
            </w:r>
          </w:p>
        </w:tc>
        <w:tc>
          <w:tcPr>
            <w:tcW w:w="1170" w:type="dxa"/>
            <w:tcBorders>
              <w:top w:val="nil"/>
              <w:left w:val="nil"/>
              <w:bottom w:val="nil"/>
              <w:right w:val="nil"/>
            </w:tcBorders>
            <w:noWrap/>
            <w:vAlign w:val="center"/>
            <w:hideMark/>
          </w:tcPr>
          <w:p w14:paraId="58A4DD2F"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00" w:type="dxa"/>
            <w:tcBorders>
              <w:top w:val="nil"/>
              <w:left w:val="nil"/>
              <w:bottom w:val="nil"/>
              <w:right w:val="nil"/>
            </w:tcBorders>
            <w:noWrap/>
            <w:vAlign w:val="center"/>
            <w:hideMark/>
          </w:tcPr>
          <w:p w14:paraId="47C62B8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hideMark/>
          </w:tcPr>
          <w:p w14:paraId="18803FD2"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c>
          <w:tcPr>
            <w:tcW w:w="2460" w:type="dxa"/>
            <w:gridSpan w:val="2"/>
            <w:tcBorders>
              <w:top w:val="nil"/>
              <w:left w:val="nil"/>
              <w:bottom w:val="nil"/>
              <w:right w:val="nil"/>
            </w:tcBorders>
            <w:vAlign w:val="center"/>
          </w:tcPr>
          <w:p w14:paraId="0B1D1F1A"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1AB85A49" w14:textId="77777777" w:rsidTr="000B6141">
        <w:trPr>
          <w:trHeight w:val="368"/>
        </w:trPr>
        <w:tc>
          <w:tcPr>
            <w:tcW w:w="1110" w:type="dxa"/>
            <w:tcBorders>
              <w:top w:val="nil"/>
              <w:left w:val="nil"/>
              <w:bottom w:val="nil"/>
              <w:right w:val="nil"/>
            </w:tcBorders>
            <w:noWrap/>
            <w:vAlign w:val="center"/>
            <w:hideMark/>
          </w:tcPr>
          <w:p w14:paraId="43BE04EE"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6</w:t>
            </w:r>
          </w:p>
        </w:tc>
        <w:tc>
          <w:tcPr>
            <w:tcW w:w="780" w:type="dxa"/>
            <w:tcBorders>
              <w:top w:val="nil"/>
              <w:left w:val="nil"/>
              <w:bottom w:val="nil"/>
              <w:right w:val="nil"/>
            </w:tcBorders>
            <w:noWrap/>
            <w:vAlign w:val="center"/>
            <w:hideMark/>
          </w:tcPr>
          <w:p w14:paraId="6BCFF1B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3.17</w:t>
            </w:r>
          </w:p>
        </w:tc>
        <w:tc>
          <w:tcPr>
            <w:tcW w:w="990" w:type="dxa"/>
            <w:tcBorders>
              <w:top w:val="nil"/>
              <w:left w:val="nil"/>
              <w:bottom w:val="nil"/>
              <w:right w:val="nil"/>
            </w:tcBorders>
            <w:noWrap/>
            <w:vAlign w:val="center"/>
            <w:hideMark/>
          </w:tcPr>
          <w:p w14:paraId="23787F07"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7</w:t>
            </w:r>
          </w:p>
        </w:tc>
        <w:tc>
          <w:tcPr>
            <w:tcW w:w="990" w:type="dxa"/>
            <w:tcBorders>
              <w:top w:val="nil"/>
              <w:left w:val="nil"/>
              <w:bottom w:val="nil"/>
              <w:right w:val="nil"/>
            </w:tcBorders>
            <w:noWrap/>
            <w:vAlign w:val="center"/>
            <w:hideMark/>
          </w:tcPr>
          <w:p w14:paraId="60ADF41A"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260" w:type="dxa"/>
            <w:tcBorders>
              <w:top w:val="nil"/>
              <w:left w:val="nil"/>
              <w:bottom w:val="nil"/>
              <w:right w:val="nil"/>
            </w:tcBorders>
            <w:noWrap/>
            <w:vAlign w:val="center"/>
            <w:hideMark/>
          </w:tcPr>
          <w:p w14:paraId="0C7A6B01"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I</w:t>
            </w:r>
          </w:p>
        </w:tc>
        <w:tc>
          <w:tcPr>
            <w:tcW w:w="990" w:type="dxa"/>
            <w:tcBorders>
              <w:top w:val="nil"/>
              <w:left w:val="nil"/>
              <w:bottom w:val="nil"/>
              <w:right w:val="nil"/>
            </w:tcBorders>
            <w:noWrap/>
            <w:vAlign w:val="center"/>
            <w:hideMark/>
          </w:tcPr>
          <w:p w14:paraId="4F67CBDF"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M</w:t>
            </w:r>
          </w:p>
        </w:tc>
        <w:tc>
          <w:tcPr>
            <w:tcW w:w="1170" w:type="dxa"/>
            <w:tcBorders>
              <w:top w:val="nil"/>
              <w:left w:val="nil"/>
              <w:bottom w:val="nil"/>
              <w:right w:val="nil"/>
            </w:tcBorders>
            <w:noWrap/>
            <w:vAlign w:val="center"/>
            <w:hideMark/>
          </w:tcPr>
          <w:p w14:paraId="5C0500ED"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F</w:t>
            </w:r>
          </w:p>
        </w:tc>
        <w:tc>
          <w:tcPr>
            <w:tcW w:w="900" w:type="dxa"/>
            <w:tcBorders>
              <w:top w:val="nil"/>
              <w:left w:val="nil"/>
              <w:bottom w:val="nil"/>
              <w:right w:val="nil"/>
            </w:tcBorders>
            <w:noWrap/>
            <w:vAlign w:val="center"/>
            <w:hideMark/>
          </w:tcPr>
          <w:p w14:paraId="470178E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hideMark/>
          </w:tcPr>
          <w:p w14:paraId="1E88634E"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c>
          <w:tcPr>
            <w:tcW w:w="2460" w:type="dxa"/>
            <w:gridSpan w:val="2"/>
            <w:tcBorders>
              <w:top w:val="nil"/>
              <w:left w:val="nil"/>
              <w:bottom w:val="nil"/>
              <w:right w:val="nil"/>
            </w:tcBorders>
            <w:vAlign w:val="center"/>
          </w:tcPr>
          <w:p w14:paraId="715666F3"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1C47EB45" w14:textId="77777777" w:rsidTr="000B6141">
        <w:trPr>
          <w:trHeight w:val="368"/>
        </w:trPr>
        <w:tc>
          <w:tcPr>
            <w:tcW w:w="1110" w:type="dxa"/>
            <w:tcBorders>
              <w:top w:val="nil"/>
              <w:left w:val="nil"/>
              <w:bottom w:val="nil"/>
              <w:right w:val="nil"/>
            </w:tcBorders>
            <w:noWrap/>
            <w:vAlign w:val="center"/>
          </w:tcPr>
          <w:p w14:paraId="2D6C6C7A"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7</w:t>
            </w:r>
          </w:p>
        </w:tc>
        <w:tc>
          <w:tcPr>
            <w:tcW w:w="780" w:type="dxa"/>
            <w:tcBorders>
              <w:top w:val="nil"/>
              <w:left w:val="nil"/>
              <w:bottom w:val="nil"/>
              <w:right w:val="nil"/>
            </w:tcBorders>
            <w:noWrap/>
            <w:vAlign w:val="center"/>
          </w:tcPr>
          <w:p w14:paraId="338A4283" w14:textId="77777777" w:rsidR="00FB50CF" w:rsidRPr="006D0FF9" w:rsidRDefault="00FB50CF" w:rsidP="000B6141">
            <w:pPr>
              <w:jc w:val="center"/>
              <w:rPr>
                <w:rFonts w:ascii="Times New Roman" w:hAnsi="Times New Roman" w:cs="Times New Roman"/>
                <w:color w:val="000000"/>
                <w:sz w:val="18"/>
                <w:szCs w:val="18"/>
              </w:rPr>
            </w:pPr>
            <w:r w:rsidRPr="006D0FF9">
              <w:rPr>
                <w:rFonts w:ascii="Times New Roman" w:hAnsi="Times New Roman" w:cs="Times New Roman"/>
                <w:color w:val="000000"/>
                <w:sz w:val="18"/>
                <w:szCs w:val="18"/>
              </w:rPr>
              <w:t>1.74</w:t>
            </w:r>
          </w:p>
        </w:tc>
        <w:tc>
          <w:tcPr>
            <w:tcW w:w="990" w:type="dxa"/>
            <w:tcBorders>
              <w:top w:val="nil"/>
              <w:left w:val="nil"/>
              <w:bottom w:val="nil"/>
              <w:right w:val="nil"/>
            </w:tcBorders>
            <w:noWrap/>
            <w:vAlign w:val="center"/>
          </w:tcPr>
          <w:p w14:paraId="5A266C4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5</w:t>
            </w:r>
          </w:p>
        </w:tc>
        <w:tc>
          <w:tcPr>
            <w:tcW w:w="990" w:type="dxa"/>
            <w:tcBorders>
              <w:top w:val="nil"/>
              <w:left w:val="nil"/>
              <w:bottom w:val="nil"/>
              <w:right w:val="nil"/>
            </w:tcBorders>
            <w:noWrap/>
            <w:vAlign w:val="center"/>
          </w:tcPr>
          <w:p w14:paraId="0F151E6A"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260" w:type="dxa"/>
            <w:tcBorders>
              <w:top w:val="nil"/>
              <w:left w:val="nil"/>
              <w:bottom w:val="nil"/>
              <w:right w:val="nil"/>
            </w:tcBorders>
            <w:noWrap/>
            <w:vAlign w:val="center"/>
          </w:tcPr>
          <w:p w14:paraId="383C7F95"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I</w:t>
            </w:r>
          </w:p>
        </w:tc>
        <w:tc>
          <w:tcPr>
            <w:tcW w:w="990" w:type="dxa"/>
            <w:tcBorders>
              <w:top w:val="nil"/>
              <w:left w:val="nil"/>
              <w:bottom w:val="nil"/>
              <w:right w:val="nil"/>
            </w:tcBorders>
            <w:noWrap/>
            <w:vAlign w:val="center"/>
          </w:tcPr>
          <w:p w14:paraId="03F73E0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170" w:type="dxa"/>
            <w:tcBorders>
              <w:top w:val="nil"/>
              <w:left w:val="nil"/>
              <w:bottom w:val="nil"/>
              <w:right w:val="nil"/>
            </w:tcBorders>
            <w:noWrap/>
            <w:vAlign w:val="center"/>
          </w:tcPr>
          <w:p w14:paraId="3F12CC7C"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00" w:type="dxa"/>
            <w:tcBorders>
              <w:top w:val="nil"/>
              <w:left w:val="nil"/>
              <w:bottom w:val="nil"/>
              <w:right w:val="nil"/>
            </w:tcBorders>
            <w:noWrap/>
            <w:vAlign w:val="center"/>
          </w:tcPr>
          <w:p w14:paraId="4F3B9141"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tcPr>
          <w:p w14:paraId="3B404D25"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 xml:space="preserve">Paula </w:t>
            </w:r>
            <w:r w:rsidRPr="006D0FF9">
              <w:rPr>
                <w:rFonts w:ascii="Times New Roman" w:eastAsia="Times New Roman" w:hAnsi="Times New Roman" w:cs="Times New Roman"/>
                <w:i/>
                <w:iCs/>
                <w:sz w:val="18"/>
                <w:szCs w:val="18"/>
              </w:rPr>
              <w:t xml:space="preserve">et al. </w:t>
            </w:r>
            <w:r w:rsidRPr="006D0FF9">
              <w:rPr>
                <w:rFonts w:ascii="Times New Roman" w:eastAsia="Times New Roman" w:hAnsi="Times New Roman" w:cs="Times New Roman"/>
                <w:sz w:val="18"/>
                <w:szCs w:val="18"/>
              </w:rPr>
              <w:t>2021</w:t>
            </w:r>
          </w:p>
        </w:tc>
        <w:tc>
          <w:tcPr>
            <w:tcW w:w="2460" w:type="dxa"/>
            <w:gridSpan w:val="2"/>
            <w:tcBorders>
              <w:top w:val="nil"/>
              <w:left w:val="nil"/>
              <w:bottom w:val="nil"/>
              <w:right w:val="nil"/>
            </w:tcBorders>
            <w:vAlign w:val="center"/>
          </w:tcPr>
          <w:p w14:paraId="2CDC58D0" w14:textId="77777777" w:rsidR="00FB50CF" w:rsidRPr="006D0FF9" w:rsidRDefault="00FB50CF" w:rsidP="000B6141">
            <w:pPr>
              <w:jc w:val="center"/>
              <w:rPr>
                <w:rFonts w:ascii="Times New Roman" w:eastAsia="Times New Roman" w:hAnsi="Times New Roman" w:cs="Times New Roman"/>
                <w:color w:val="000000"/>
                <w:sz w:val="18"/>
                <w:szCs w:val="18"/>
                <w:lang w:val="fr-FR"/>
              </w:rPr>
            </w:pPr>
            <w:r w:rsidRPr="006D0FF9">
              <w:rPr>
                <w:rFonts w:ascii="Times New Roman" w:eastAsia="Times New Roman" w:hAnsi="Times New Roman" w:cs="Times New Roman"/>
                <w:sz w:val="18"/>
                <w:szCs w:val="18"/>
              </w:rPr>
              <w:t>N/A</w:t>
            </w:r>
          </w:p>
        </w:tc>
      </w:tr>
      <w:tr w:rsidR="00FB50CF" w:rsidRPr="006D0FF9" w14:paraId="60054975" w14:textId="77777777" w:rsidTr="000B6141">
        <w:trPr>
          <w:trHeight w:val="368"/>
        </w:trPr>
        <w:tc>
          <w:tcPr>
            <w:tcW w:w="1110" w:type="dxa"/>
            <w:tcBorders>
              <w:top w:val="nil"/>
              <w:left w:val="nil"/>
              <w:bottom w:val="nil"/>
              <w:right w:val="nil"/>
            </w:tcBorders>
            <w:noWrap/>
            <w:vAlign w:val="center"/>
          </w:tcPr>
          <w:p w14:paraId="0E19896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8</w:t>
            </w:r>
          </w:p>
        </w:tc>
        <w:tc>
          <w:tcPr>
            <w:tcW w:w="780" w:type="dxa"/>
            <w:tcBorders>
              <w:top w:val="nil"/>
              <w:left w:val="nil"/>
              <w:bottom w:val="nil"/>
              <w:right w:val="nil"/>
            </w:tcBorders>
            <w:noWrap/>
            <w:vAlign w:val="center"/>
          </w:tcPr>
          <w:p w14:paraId="04B87435" w14:textId="77777777" w:rsidR="00FB50CF" w:rsidRPr="006D0FF9" w:rsidRDefault="00FB50CF" w:rsidP="000B6141">
            <w:pPr>
              <w:jc w:val="center"/>
              <w:rPr>
                <w:rFonts w:ascii="Times New Roman" w:hAnsi="Times New Roman" w:cs="Times New Roman"/>
                <w:color w:val="000000"/>
                <w:sz w:val="18"/>
                <w:szCs w:val="18"/>
              </w:rPr>
            </w:pPr>
            <w:r w:rsidRPr="006D0FF9">
              <w:rPr>
                <w:rFonts w:ascii="Times New Roman" w:hAnsi="Times New Roman" w:cs="Times New Roman"/>
                <w:color w:val="000000"/>
                <w:sz w:val="18"/>
                <w:szCs w:val="18"/>
              </w:rPr>
              <w:t>1.53</w:t>
            </w:r>
          </w:p>
        </w:tc>
        <w:tc>
          <w:tcPr>
            <w:tcW w:w="990" w:type="dxa"/>
            <w:tcBorders>
              <w:top w:val="nil"/>
              <w:left w:val="nil"/>
              <w:bottom w:val="nil"/>
              <w:right w:val="nil"/>
            </w:tcBorders>
            <w:noWrap/>
            <w:vAlign w:val="center"/>
          </w:tcPr>
          <w:p w14:paraId="334ED58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7</w:t>
            </w:r>
          </w:p>
        </w:tc>
        <w:tc>
          <w:tcPr>
            <w:tcW w:w="990" w:type="dxa"/>
            <w:tcBorders>
              <w:top w:val="nil"/>
              <w:left w:val="nil"/>
              <w:bottom w:val="nil"/>
              <w:right w:val="nil"/>
            </w:tcBorders>
            <w:noWrap/>
            <w:vAlign w:val="center"/>
          </w:tcPr>
          <w:p w14:paraId="7263097D"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L</w:t>
            </w:r>
          </w:p>
        </w:tc>
        <w:tc>
          <w:tcPr>
            <w:tcW w:w="1260" w:type="dxa"/>
            <w:tcBorders>
              <w:top w:val="nil"/>
              <w:left w:val="nil"/>
              <w:bottom w:val="nil"/>
              <w:right w:val="nil"/>
            </w:tcBorders>
            <w:noWrap/>
            <w:vAlign w:val="center"/>
          </w:tcPr>
          <w:p w14:paraId="5C6FF200"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I</w:t>
            </w:r>
          </w:p>
        </w:tc>
        <w:tc>
          <w:tcPr>
            <w:tcW w:w="990" w:type="dxa"/>
            <w:tcBorders>
              <w:top w:val="nil"/>
              <w:left w:val="nil"/>
              <w:bottom w:val="nil"/>
              <w:right w:val="nil"/>
            </w:tcBorders>
            <w:noWrap/>
            <w:vAlign w:val="center"/>
          </w:tcPr>
          <w:p w14:paraId="4DA3D1ED"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170" w:type="dxa"/>
            <w:tcBorders>
              <w:top w:val="nil"/>
              <w:left w:val="nil"/>
              <w:bottom w:val="nil"/>
              <w:right w:val="nil"/>
            </w:tcBorders>
            <w:noWrap/>
            <w:vAlign w:val="center"/>
          </w:tcPr>
          <w:p w14:paraId="20B94877"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F</w:t>
            </w:r>
          </w:p>
        </w:tc>
        <w:tc>
          <w:tcPr>
            <w:tcW w:w="900" w:type="dxa"/>
            <w:tcBorders>
              <w:top w:val="nil"/>
              <w:left w:val="nil"/>
              <w:bottom w:val="nil"/>
              <w:right w:val="nil"/>
            </w:tcBorders>
            <w:noWrap/>
            <w:vAlign w:val="center"/>
          </w:tcPr>
          <w:p w14:paraId="7F1DCF20"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tcPr>
          <w:p w14:paraId="359FECEC"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 xml:space="preserve">Paula </w:t>
            </w:r>
            <w:r w:rsidRPr="006D0FF9">
              <w:rPr>
                <w:rFonts w:ascii="Times New Roman" w:eastAsia="Times New Roman" w:hAnsi="Times New Roman" w:cs="Times New Roman"/>
                <w:i/>
                <w:iCs/>
                <w:sz w:val="18"/>
                <w:szCs w:val="18"/>
              </w:rPr>
              <w:t xml:space="preserve">et al. </w:t>
            </w:r>
            <w:r w:rsidRPr="006D0FF9">
              <w:rPr>
                <w:rFonts w:ascii="Times New Roman" w:eastAsia="Times New Roman" w:hAnsi="Times New Roman" w:cs="Times New Roman"/>
                <w:sz w:val="18"/>
                <w:szCs w:val="18"/>
              </w:rPr>
              <w:t>2021</w:t>
            </w:r>
          </w:p>
        </w:tc>
        <w:tc>
          <w:tcPr>
            <w:tcW w:w="2460" w:type="dxa"/>
            <w:gridSpan w:val="2"/>
            <w:tcBorders>
              <w:top w:val="nil"/>
              <w:left w:val="nil"/>
              <w:bottom w:val="nil"/>
              <w:right w:val="nil"/>
            </w:tcBorders>
            <w:vAlign w:val="center"/>
          </w:tcPr>
          <w:p w14:paraId="5350DB98" w14:textId="77777777" w:rsidR="00FB50CF" w:rsidRPr="006D0FF9" w:rsidRDefault="00FB50CF" w:rsidP="000B6141">
            <w:pPr>
              <w:jc w:val="center"/>
              <w:rPr>
                <w:rFonts w:ascii="Times New Roman" w:eastAsia="Times New Roman" w:hAnsi="Times New Roman" w:cs="Times New Roman"/>
                <w:color w:val="000000"/>
                <w:sz w:val="18"/>
                <w:szCs w:val="18"/>
                <w:lang w:val="fr-FR"/>
              </w:rPr>
            </w:pPr>
            <w:r w:rsidRPr="006D0FF9">
              <w:rPr>
                <w:rFonts w:ascii="Times New Roman" w:eastAsia="Times New Roman" w:hAnsi="Times New Roman" w:cs="Times New Roman"/>
                <w:color w:val="000000"/>
                <w:sz w:val="18"/>
                <w:szCs w:val="18"/>
                <w:lang w:val="fr-FR"/>
              </w:rPr>
              <w:t xml:space="preserve">Eleftherianos </w:t>
            </w:r>
            <w:r w:rsidRPr="006D0FF9">
              <w:rPr>
                <w:rFonts w:ascii="Times New Roman" w:eastAsia="Times New Roman" w:hAnsi="Times New Roman" w:cs="Times New Roman"/>
                <w:i/>
                <w:iCs/>
                <w:color w:val="000000"/>
                <w:sz w:val="18"/>
                <w:szCs w:val="18"/>
                <w:lang w:val="fr-FR"/>
              </w:rPr>
              <w:t>et al.</w:t>
            </w:r>
            <w:r w:rsidRPr="006D0FF9">
              <w:rPr>
                <w:rFonts w:ascii="Times New Roman" w:eastAsia="Times New Roman" w:hAnsi="Times New Roman" w:cs="Times New Roman"/>
                <w:color w:val="000000"/>
                <w:sz w:val="18"/>
                <w:szCs w:val="18"/>
                <w:lang w:val="fr-FR"/>
              </w:rPr>
              <w:t xml:space="preserve"> 2008, Fontaine </w:t>
            </w:r>
            <w:r w:rsidRPr="006D0FF9">
              <w:rPr>
                <w:rFonts w:ascii="Times New Roman" w:eastAsia="Times New Roman" w:hAnsi="Times New Roman" w:cs="Times New Roman"/>
                <w:i/>
                <w:iCs/>
                <w:color w:val="000000"/>
                <w:sz w:val="18"/>
                <w:szCs w:val="18"/>
                <w:lang w:val="fr-FR"/>
              </w:rPr>
              <w:t xml:space="preserve">et al. </w:t>
            </w:r>
            <w:r w:rsidRPr="006D0FF9">
              <w:rPr>
                <w:rFonts w:ascii="Times New Roman" w:eastAsia="Times New Roman" w:hAnsi="Times New Roman" w:cs="Times New Roman"/>
                <w:color w:val="000000"/>
                <w:sz w:val="18"/>
                <w:szCs w:val="18"/>
                <w:lang w:val="fr-FR"/>
              </w:rPr>
              <w:t>2011</w:t>
            </w:r>
          </w:p>
        </w:tc>
      </w:tr>
      <w:tr w:rsidR="00FB50CF" w:rsidRPr="006D0FF9" w14:paraId="43C9F862" w14:textId="77777777" w:rsidTr="000B6141">
        <w:trPr>
          <w:trHeight w:val="368"/>
        </w:trPr>
        <w:tc>
          <w:tcPr>
            <w:tcW w:w="1110" w:type="dxa"/>
            <w:tcBorders>
              <w:top w:val="nil"/>
              <w:left w:val="nil"/>
              <w:bottom w:val="nil"/>
              <w:right w:val="nil"/>
            </w:tcBorders>
            <w:noWrap/>
            <w:vAlign w:val="center"/>
            <w:hideMark/>
          </w:tcPr>
          <w:p w14:paraId="45DFF548"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9</w:t>
            </w:r>
          </w:p>
        </w:tc>
        <w:tc>
          <w:tcPr>
            <w:tcW w:w="780" w:type="dxa"/>
            <w:tcBorders>
              <w:top w:val="nil"/>
              <w:left w:val="nil"/>
              <w:bottom w:val="nil"/>
              <w:right w:val="nil"/>
            </w:tcBorders>
            <w:noWrap/>
            <w:vAlign w:val="center"/>
            <w:hideMark/>
          </w:tcPr>
          <w:p w14:paraId="3BD1949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1.38</w:t>
            </w:r>
          </w:p>
        </w:tc>
        <w:tc>
          <w:tcPr>
            <w:tcW w:w="990" w:type="dxa"/>
            <w:tcBorders>
              <w:top w:val="nil"/>
              <w:left w:val="nil"/>
              <w:bottom w:val="nil"/>
              <w:right w:val="nil"/>
            </w:tcBorders>
            <w:noWrap/>
            <w:vAlign w:val="center"/>
            <w:hideMark/>
          </w:tcPr>
          <w:p w14:paraId="723E18A1"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8</w:t>
            </w:r>
          </w:p>
        </w:tc>
        <w:tc>
          <w:tcPr>
            <w:tcW w:w="990" w:type="dxa"/>
            <w:tcBorders>
              <w:top w:val="nil"/>
              <w:left w:val="nil"/>
              <w:bottom w:val="nil"/>
              <w:right w:val="nil"/>
            </w:tcBorders>
            <w:noWrap/>
            <w:vAlign w:val="center"/>
            <w:hideMark/>
          </w:tcPr>
          <w:p w14:paraId="5343C608"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L</w:t>
            </w:r>
          </w:p>
        </w:tc>
        <w:tc>
          <w:tcPr>
            <w:tcW w:w="1260" w:type="dxa"/>
            <w:tcBorders>
              <w:top w:val="nil"/>
              <w:left w:val="nil"/>
              <w:bottom w:val="nil"/>
              <w:right w:val="nil"/>
            </w:tcBorders>
            <w:noWrap/>
            <w:vAlign w:val="center"/>
            <w:hideMark/>
          </w:tcPr>
          <w:p w14:paraId="6A111053"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90" w:type="dxa"/>
            <w:tcBorders>
              <w:top w:val="nil"/>
              <w:left w:val="nil"/>
              <w:bottom w:val="nil"/>
              <w:right w:val="nil"/>
            </w:tcBorders>
            <w:noWrap/>
            <w:vAlign w:val="center"/>
            <w:hideMark/>
          </w:tcPr>
          <w:p w14:paraId="2BAC1DD0"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170" w:type="dxa"/>
            <w:tcBorders>
              <w:top w:val="nil"/>
              <w:left w:val="nil"/>
              <w:bottom w:val="nil"/>
              <w:right w:val="nil"/>
            </w:tcBorders>
            <w:noWrap/>
            <w:vAlign w:val="center"/>
            <w:hideMark/>
          </w:tcPr>
          <w:p w14:paraId="0500905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F</w:t>
            </w:r>
          </w:p>
        </w:tc>
        <w:tc>
          <w:tcPr>
            <w:tcW w:w="900" w:type="dxa"/>
            <w:tcBorders>
              <w:top w:val="nil"/>
              <w:left w:val="nil"/>
              <w:bottom w:val="nil"/>
              <w:right w:val="nil"/>
            </w:tcBorders>
            <w:noWrap/>
            <w:vAlign w:val="center"/>
            <w:hideMark/>
          </w:tcPr>
          <w:p w14:paraId="01AE93B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37.58</w:t>
            </w:r>
          </w:p>
        </w:tc>
        <w:tc>
          <w:tcPr>
            <w:tcW w:w="2340" w:type="dxa"/>
            <w:gridSpan w:val="2"/>
            <w:tcBorders>
              <w:top w:val="nil"/>
              <w:left w:val="nil"/>
              <w:bottom w:val="nil"/>
              <w:right w:val="nil"/>
            </w:tcBorders>
            <w:noWrap/>
            <w:vAlign w:val="center"/>
            <w:hideMark/>
          </w:tcPr>
          <w:p w14:paraId="216627E8"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 xml:space="preserve">Valmorbida </w:t>
            </w:r>
            <w:r w:rsidRPr="006D0FF9">
              <w:rPr>
                <w:rFonts w:ascii="Times New Roman" w:eastAsia="Times New Roman" w:hAnsi="Times New Roman" w:cs="Times New Roman"/>
                <w:i/>
                <w:iCs/>
                <w:sz w:val="18"/>
                <w:szCs w:val="18"/>
              </w:rPr>
              <w:t>et al.</w:t>
            </w:r>
            <w:r w:rsidRPr="006D0FF9">
              <w:rPr>
                <w:rFonts w:ascii="Times New Roman" w:eastAsia="Times New Roman" w:hAnsi="Times New Roman" w:cs="Times New Roman"/>
                <w:sz w:val="18"/>
                <w:szCs w:val="18"/>
              </w:rPr>
              <w:t xml:space="preserve"> 2022</w:t>
            </w:r>
          </w:p>
        </w:tc>
        <w:tc>
          <w:tcPr>
            <w:tcW w:w="2460" w:type="dxa"/>
            <w:gridSpan w:val="2"/>
            <w:tcBorders>
              <w:top w:val="nil"/>
              <w:left w:val="nil"/>
              <w:bottom w:val="nil"/>
              <w:right w:val="nil"/>
            </w:tcBorders>
            <w:vAlign w:val="center"/>
          </w:tcPr>
          <w:p w14:paraId="6715A0E2"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2FE9E978" w14:textId="77777777" w:rsidTr="000B6141">
        <w:trPr>
          <w:trHeight w:val="368"/>
        </w:trPr>
        <w:tc>
          <w:tcPr>
            <w:tcW w:w="1110" w:type="dxa"/>
            <w:tcBorders>
              <w:top w:val="nil"/>
              <w:left w:val="nil"/>
              <w:bottom w:val="nil"/>
              <w:right w:val="nil"/>
            </w:tcBorders>
            <w:noWrap/>
            <w:vAlign w:val="center"/>
            <w:hideMark/>
          </w:tcPr>
          <w:p w14:paraId="364AB23A"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10</w:t>
            </w:r>
          </w:p>
        </w:tc>
        <w:tc>
          <w:tcPr>
            <w:tcW w:w="780" w:type="dxa"/>
            <w:tcBorders>
              <w:top w:val="nil"/>
              <w:left w:val="nil"/>
              <w:bottom w:val="nil"/>
              <w:right w:val="nil"/>
            </w:tcBorders>
            <w:noWrap/>
            <w:vAlign w:val="center"/>
            <w:hideMark/>
          </w:tcPr>
          <w:p w14:paraId="6AA420C0"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0.87</w:t>
            </w:r>
          </w:p>
        </w:tc>
        <w:tc>
          <w:tcPr>
            <w:tcW w:w="990" w:type="dxa"/>
            <w:tcBorders>
              <w:top w:val="nil"/>
              <w:left w:val="nil"/>
              <w:bottom w:val="nil"/>
              <w:right w:val="nil"/>
            </w:tcBorders>
            <w:noWrap/>
            <w:vAlign w:val="center"/>
            <w:hideMark/>
          </w:tcPr>
          <w:p w14:paraId="3589631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7</w:t>
            </w:r>
          </w:p>
        </w:tc>
        <w:tc>
          <w:tcPr>
            <w:tcW w:w="990" w:type="dxa"/>
            <w:tcBorders>
              <w:top w:val="nil"/>
              <w:left w:val="nil"/>
              <w:bottom w:val="nil"/>
              <w:right w:val="nil"/>
            </w:tcBorders>
            <w:noWrap/>
            <w:vAlign w:val="center"/>
            <w:hideMark/>
          </w:tcPr>
          <w:p w14:paraId="72ABD83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L</w:t>
            </w:r>
          </w:p>
        </w:tc>
        <w:tc>
          <w:tcPr>
            <w:tcW w:w="1260" w:type="dxa"/>
            <w:tcBorders>
              <w:top w:val="nil"/>
              <w:left w:val="nil"/>
              <w:bottom w:val="nil"/>
              <w:right w:val="nil"/>
            </w:tcBorders>
            <w:noWrap/>
            <w:vAlign w:val="center"/>
            <w:hideMark/>
          </w:tcPr>
          <w:p w14:paraId="4593059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90" w:type="dxa"/>
            <w:tcBorders>
              <w:top w:val="nil"/>
              <w:left w:val="nil"/>
              <w:bottom w:val="nil"/>
              <w:right w:val="nil"/>
            </w:tcBorders>
            <w:noWrap/>
            <w:vAlign w:val="center"/>
            <w:hideMark/>
          </w:tcPr>
          <w:p w14:paraId="344AF1BD"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M</w:t>
            </w:r>
          </w:p>
        </w:tc>
        <w:tc>
          <w:tcPr>
            <w:tcW w:w="1170" w:type="dxa"/>
            <w:tcBorders>
              <w:top w:val="nil"/>
              <w:left w:val="nil"/>
              <w:bottom w:val="nil"/>
              <w:right w:val="nil"/>
            </w:tcBorders>
            <w:noWrap/>
            <w:vAlign w:val="center"/>
            <w:hideMark/>
          </w:tcPr>
          <w:p w14:paraId="3A289EC0"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F</w:t>
            </w:r>
          </w:p>
        </w:tc>
        <w:tc>
          <w:tcPr>
            <w:tcW w:w="900" w:type="dxa"/>
            <w:tcBorders>
              <w:top w:val="nil"/>
              <w:left w:val="nil"/>
              <w:bottom w:val="nil"/>
              <w:right w:val="nil"/>
            </w:tcBorders>
            <w:noWrap/>
            <w:vAlign w:val="center"/>
            <w:hideMark/>
          </w:tcPr>
          <w:p w14:paraId="435F0357"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hideMark/>
          </w:tcPr>
          <w:p w14:paraId="2F100769"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c>
          <w:tcPr>
            <w:tcW w:w="2460" w:type="dxa"/>
            <w:gridSpan w:val="2"/>
            <w:tcBorders>
              <w:top w:val="nil"/>
              <w:left w:val="nil"/>
              <w:bottom w:val="nil"/>
              <w:right w:val="nil"/>
            </w:tcBorders>
            <w:vAlign w:val="center"/>
          </w:tcPr>
          <w:p w14:paraId="14F902B7"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6B57B36F" w14:textId="77777777" w:rsidTr="000B6141">
        <w:trPr>
          <w:trHeight w:val="368"/>
        </w:trPr>
        <w:tc>
          <w:tcPr>
            <w:tcW w:w="1110" w:type="dxa"/>
            <w:tcBorders>
              <w:top w:val="nil"/>
              <w:left w:val="nil"/>
              <w:bottom w:val="nil"/>
              <w:right w:val="nil"/>
            </w:tcBorders>
            <w:noWrap/>
            <w:vAlign w:val="center"/>
            <w:hideMark/>
          </w:tcPr>
          <w:p w14:paraId="3BAE62E8"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11</w:t>
            </w:r>
          </w:p>
        </w:tc>
        <w:tc>
          <w:tcPr>
            <w:tcW w:w="780" w:type="dxa"/>
            <w:tcBorders>
              <w:top w:val="nil"/>
              <w:left w:val="nil"/>
              <w:bottom w:val="nil"/>
              <w:right w:val="nil"/>
            </w:tcBorders>
            <w:noWrap/>
            <w:vAlign w:val="center"/>
            <w:hideMark/>
          </w:tcPr>
          <w:p w14:paraId="2C152E9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0.36</w:t>
            </w:r>
          </w:p>
        </w:tc>
        <w:tc>
          <w:tcPr>
            <w:tcW w:w="990" w:type="dxa"/>
            <w:tcBorders>
              <w:top w:val="nil"/>
              <w:left w:val="nil"/>
              <w:bottom w:val="nil"/>
              <w:right w:val="nil"/>
            </w:tcBorders>
            <w:noWrap/>
            <w:vAlign w:val="center"/>
            <w:hideMark/>
          </w:tcPr>
          <w:p w14:paraId="43A9BF5C"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2</w:t>
            </w:r>
          </w:p>
        </w:tc>
        <w:tc>
          <w:tcPr>
            <w:tcW w:w="990" w:type="dxa"/>
            <w:tcBorders>
              <w:top w:val="nil"/>
              <w:left w:val="nil"/>
              <w:bottom w:val="nil"/>
              <w:right w:val="nil"/>
            </w:tcBorders>
            <w:noWrap/>
            <w:vAlign w:val="center"/>
            <w:hideMark/>
          </w:tcPr>
          <w:p w14:paraId="621EF81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L</w:t>
            </w:r>
          </w:p>
        </w:tc>
        <w:tc>
          <w:tcPr>
            <w:tcW w:w="1260" w:type="dxa"/>
            <w:tcBorders>
              <w:top w:val="nil"/>
              <w:left w:val="nil"/>
              <w:bottom w:val="nil"/>
              <w:right w:val="nil"/>
            </w:tcBorders>
            <w:noWrap/>
            <w:vAlign w:val="center"/>
            <w:hideMark/>
          </w:tcPr>
          <w:p w14:paraId="5920C27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I</w:t>
            </w:r>
          </w:p>
        </w:tc>
        <w:tc>
          <w:tcPr>
            <w:tcW w:w="990" w:type="dxa"/>
            <w:tcBorders>
              <w:top w:val="nil"/>
              <w:left w:val="nil"/>
              <w:bottom w:val="nil"/>
              <w:right w:val="nil"/>
            </w:tcBorders>
            <w:noWrap/>
            <w:vAlign w:val="center"/>
            <w:hideMark/>
          </w:tcPr>
          <w:p w14:paraId="58D0C125"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170" w:type="dxa"/>
            <w:tcBorders>
              <w:top w:val="nil"/>
              <w:left w:val="nil"/>
              <w:bottom w:val="nil"/>
              <w:right w:val="nil"/>
            </w:tcBorders>
            <w:noWrap/>
            <w:vAlign w:val="center"/>
            <w:hideMark/>
          </w:tcPr>
          <w:p w14:paraId="5B8E7C9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00" w:type="dxa"/>
            <w:tcBorders>
              <w:top w:val="nil"/>
              <w:left w:val="nil"/>
              <w:bottom w:val="nil"/>
              <w:right w:val="nil"/>
            </w:tcBorders>
            <w:noWrap/>
            <w:vAlign w:val="center"/>
            <w:hideMark/>
          </w:tcPr>
          <w:p w14:paraId="044E5FA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hideMark/>
          </w:tcPr>
          <w:p w14:paraId="4DB88FB7"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c>
          <w:tcPr>
            <w:tcW w:w="2460" w:type="dxa"/>
            <w:gridSpan w:val="2"/>
            <w:tcBorders>
              <w:top w:val="nil"/>
              <w:left w:val="nil"/>
              <w:bottom w:val="nil"/>
              <w:right w:val="nil"/>
            </w:tcBorders>
            <w:vAlign w:val="center"/>
          </w:tcPr>
          <w:p w14:paraId="3C6E3799"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12469C4E" w14:textId="77777777" w:rsidTr="000B6141">
        <w:trPr>
          <w:trHeight w:val="368"/>
        </w:trPr>
        <w:tc>
          <w:tcPr>
            <w:tcW w:w="1110" w:type="dxa"/>
            <w:tcBorders>
              <w:top w:val="nil"/>
              <w:left w:val="nil"/>
              <w:bottom w:val="nil"/>
              <w:right w:val="nil"/>
            </w:tcBorders>
            <w:noWrap/>
            <w:vAlign w:val="center"/>
            <w:hideMark/>
          </w:tcPr>
          <w:p w14:paraId="1E8B94C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12</w:t>
            </w:r>
          </w:p>
        </w:tc>
        <w:tc>
          <w:tcPr>
            <w:tcW w:w="780" w:type="dxa"/>
            <w:tcBorders>
              <w:top w:val="nil"/>
              <w:left w:val="nil"/>
              <w:bottom w:val="nil"/>
              <w:right w:val="nil"/>
            </w:tcBorders>
            <w:noWrap/>
            <w:vAlign w:val="center"/>
            <w:hideMark/>
          </w:tcPr>
          <w:p w14:paraId="6BD735B0"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0.26</w:t>
            </w:r>
          </w:p>
        </w:tc>
        <w:tc>
          <w:tcPr>
            <w:tcW w:w="990" w:type="dxa"/>
            <w:tcBorders>
              <w:top w:val="nil"/>
              <w:left w:val="nil"/>
              <w:bottom w:val="nil"/>
              <w:right w:val="nil"/>
            </w:tcBorders>
            <w:noWrap/>
            <w:vAlign w:val="center"/>
            <w:hideMark/>
          </w:tcPr>
          <w:p w14:paraId="3A337EE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3</w:t>
            </w:r>
          </w:p>
        </w:tc>
        <w:tc>
          <w:tcPr>
            <w:tcW w:w="990" w:type="dxa"/>
            <w:tcBorders>
              <w:top w:val="nil"/>
              <w:left w:val="nil"/>
              <w:bottom w:val="nil"/>
              <w:right w:val="nil"/>
            </w:tcBorders>
            <w:noWrap/>
            <w:vAlign w:val="center"/>
            <w:hideMark/>
          </w:tcPr>
          <w:p w14:paraId="64980F00"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L</w:t>
            </w:r>
          </w:p>
        </w:tc>
        <w:tc>
          <w:tcPr>
            <w:tcW w:w="1260" w:type="dxa"/>
            <w:tcBorders>
              <w:top w:val="nil"/>
              <w:left w:val="nil"/>
              <w:bottom w:val="nil"/>
              <w:right w:val="nil"/>
            </w:tcBorders>
            <w:noWrap/>
            <w:vAlign w:val="center"/>
            <w:hideMark/>
          </w:tcPr>
          <w:p w14:paraId="38845DD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90" w:type="dxa"/>
            <w:tcBorders>
              <w:top w:val="nil"/>
              <w:left w:val="nil"/>
              <w:bottom w:val="nil"/>
              <w:right w:val="nil"/>
            </w:tcBorders>
            <w:noWrap/>
            <w:vAlign w:val="center"/>
            <w:hideMark/>
          </w:tcPr>
          <w:p w14:paraId="4911286C"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170" w:type="dxa"/>
            <w:tcBorders>
              <w:top w:val="nil"/>
              <w:left w:val="nil"/>
              <w:bottom w:val="nil"/>
              <w:right w:val="nil"/>
            </w:tcBorders>
            <w:noWrap/>
            <w:vAlign w:val="center"/>
            <w:hideMark/>
          </w:tcPr>
          <w:p w14:paraId="324881DD"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00" w:type="dxa"/>
            <w:tcBorders>
              <w:top w:val="nil"/>
              <w:left w:val="nil"/>
              <w:bottom w:val="nil"/>
              <w:right w:val="nil"/>
            </w:tcBorders>
            <w:noWrap/>
            <w:vAlign w:val="center"/>
            <w:hideMark/>
          </w:tcPr>
          <w:p w14:paraId="22AAD1D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hideMark/>
          </w:tcPr>
          <w:p w14:paraId="0E4083FE"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 xml:space="preserve">Paula </w:t>
            </w:r>
            <w:r w:rsidRPr="006D0FF9">
              <w:rPr>
                <w:rFonts w:ascii="Times New Roman" w:eastAsia="Times New Roman" w:hAnsi="Times New Roman" w:cs="Times New Roman"/>
                <w:i/>
                <w:iCs/>
                <w:sz w:val="18"/>
                <w:szCs w:val="18"/>
              </w:rPr>
              <w:t xml:space="preserve">et al. </w:t>
            </w:r>
            <w:r w:rsidRPr="006D0FF9">
              <w:rPr>
                <w:rFonts w:ascii="Times New Roman" w:eastAsia="Times New Roman" w:hAnsi="Times New Roman" w:cs="Times New Roman"/>
                <w:sz w:val="18"/>
                <w:szCs w:val="18"/>
              </w:rPr>
              <w:t>2021</w:t>
            </w:r>
          </w:p>
        </w:tc>
        <w:tc>
          <w:tcPr>
            <w:tcW w:w="2460" w:type="dxa"/>
            <w:gridSpan w:val="2"/>
            <w:tcBorders>
              <w:top w:val="nil"/>
              <w:left w:val="nil"/>
              <w:bottom w:val="nil"/>
              <w:right w:val="nil"/>
            </w:tcBorders>
            <w:vAlign w:val="center"/>
          </w:tcPr>
          <w:p w14:paraId="5C144FCF"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7A5B8E8A" w14:textId="77777777" w:rsidTr="000B6141">
        <w:trPr>
          <w:trHeight w:val="368"/>
        </w:trPr>
        <w:tc>
          <w:tcPr>
            <w:tcW w:w="1110" w:type="dxa"/>
            <w:tcBorders>
              <w:top w:val="nil"/>
              <w:left w:val="nil"/>
              <w:bottom w:val="nil"/>
              <w:right w:val="nil"/>
            </w:tcBorders>
            <w:noWrap/>
            <w:vAlign w:val="center"/>
            <w:hideMark/>
          </w:tcPr>
          <w:p w14:paraId="39E7299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13</w:t>
            </w:r>
          </w:p>
        </w:tc>
        <w:tc>
          <w:tcPr>
            <w:tcW w:w="780" w:type="dxa"/>
            <w:tcBorders>
              <w:top w:val="nil"/>
              <w:left w:val="nil"/>
              <w:bottom w:val="nil"/>
              <w:right w:val="nil"/>
            </w:tcBorders>
            <w:noWrap/>
            <w:vAlign w:val="center"/>
            <w:hideMark/>
          </w:tcPr>
          <w:p w14:paraId="743343BE"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0.15</w:t>
            </w:r>
          </w:p>
        </w:tc>
        <w:tc>
          <w:tcPr>
            <w:tcW w:w="990" w:type="dxa"/>
            <w:tcBorders>
              <w:top w:val="nil"/>
              <w:left w:val="nil"/>
              <w:bottom w:val="nil"/>
              <w:right w:val="nil"/>
            </w:tcBorders>
            <w:noWrap/>
            <w:vAlign w:val="center"/>
            <w:hideMark/>
          </w:tcPr>
          <w:p w14:paraId="6DBAD192"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w:t>
            </w:r>
          </w:p>
        </w:tc>
        <w:tc>
          <w:tcPr>
            <w:tcW w:w="990" w:type="dxa"/>
            <w:tcBorders>
              <w:top w:val="nil"/>
              <w:left w:val="nil"/>
              <w:bottom w:val="nil"/>
              <w:right w:val="nil"/>
            </w:tcBorders>
            <w:noWrap/>
            <w:vAlign w:val="center"/>
            <w:hideMark/>
          </w:tcPr>
          <w:p w14:paraId="3306D07E"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L</w:t>
            </w:r>
          </w:p>
        </w:tc>
        <w:tc>
          <w:tcPr>
            <w:tcW w:w="1260" w:type="dxa"/>
            <w:tcBorders>
              <w:top w:val="nil"/>
              <w:left w:val="nil"/>
              <w:bottom w:val="nil"/>
              <w:right w:val="nil"/>
            </w:tcBorders>
            <w:noWrap/>
            <w:vAlign w:val="center"/>
            <w:hideMark/>
          </w:tcPr>
          <w:p w14:paraId="27792E6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90" w:type="dxa"/>
            <w:tcBorders>
              <w:top w:val="nil"/>
              <w:left w:val="nil"/>
              <w:bottom w:val="nil"/>
              <w:right w:val="nil"/>
            </w:tcBorders>
            <w:noWrap/>
            <w:vAlign w:val="center"/>
            <w:hideMark/>
          </w:tcPr>
          <w:p w14:paraId="6EF58A2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M</w:t>
            </w:r>
          </w:p>
        </w:tc>
        <w:tc>
          <w:tcPr>
            <w:tcW w:w="1170" w:type="dxa"/>
            <w:tcBorders>
              <w:top w:val="nil"/>
              <w:left w:val="nil"/>
              <w:bottom w:val="nil"/>
              <w:right w:val="nil"/>
            </w:tcBorders>
            <w:noWrap/>
            <w:vAlign w:val="center"/>
            <w:hideMark/>
          </w:tcPr>
          <w:p w14:paraId="5CC182C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00" w:type="dxa"/>
            <w:tcBorders>
              <w:top w:val="nil"/>
              <w:left w:val="nil"/>
              <w:bottom w:val="nil"/>
              <w:right w:val="nil"/>
            </w:tcBorders>
            <w:noWrap/>
            <w:vAlign w:val="center"/>
            <w:hideMark/>
          </w:tcPr>
          <w:p w14:paraId="06C32EA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hideMark/>
          </w:tcPr>
          <w:p w14:paraId="08E1FAD7"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c>
          <w:tcPr>
            <w:tcW w:w="2460" w:type="dxa"/>
            <w:gridSpan w:val="2"/>
            <w:tcBorders>
              <w:top w:val="nil"/>
              <w:left w:val="nil"/>
              <w:bottom w:val="nil"/>
              <w:right w:val="nil"/>
            </w:tcBorders>
            <w:vAlign w:val="center"/>
          </w:tcPr>
          <w:p w14:paraId="6060BDBB"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517C6BDF" w14:textId="77777777" w:rsidTr="000B6141">
        <w:trPr>
          <w:trHeight w:val="368"/>
        </w:trPr>
        <w:tc>
          <w:tcPr>
            <w:tcW w:w="1110" w:type="dxa"/>
            <w:tcBorders>
              <w:top w:val="nil"/>
              <w:left w:val="nil"/>
              <w:bottom w:val="nil"/>
              <w:right w:val="nil"/>
            </w:tcBorders>
            <w:noWrap/>
            <w:vAlign w:val="center"/>
            <w:hideMark/>
          </w:tcPr>
          <w:p w14:paraId="25783BA5"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14</w:t>
            </w:r>
          </w:p>
        </w:tc>
        <w:tc>
          <w:tcPr>
            <w:tcW w:w="780" w:type="dxa"/>
            <w:tcBorders>
              <w:top w:val="nil"/>
              <w:left w:val="nil"/>
              <w:bottom w:val="nil"/>
              <w:right w:val="nil"/>
            </w:tcBorders>
            <w:noWrap/>
            <w:vAlign w:val="center"/>
            <w:hideMark/>
          </w:tcPr>
          <w:p w14:paraId="1094F7FE"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0.10</w:t>
            </w:r>
          </w:p>
        </w:tc>
        <w:tc>
          <w:tcPr>
            <w:tcW w:w="990" w:type="dxa"/>
            <w:tcBorders>
              <w:top w:val="nil"/>
              <w:left w:val="nil"/>
              <w:bottom w:val="nil"/>
              <w:right w:val="nil"/>
            </w:tcBorders>
            <w:noWrap/>
            <w:vAlign w:val="center"/>
            <w:hideMark/>
          </w:tcPr>
          <w:p w14:paraId="3DFA96F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2</w:t>
            </w:r>
          </w:p>
        </w:tc>
        <w:tc>
          <w:tcPr>
            <w:tcW w:w="990" w:type="dxa"/>
            <w:tcBorders>
              <w:top w:val="nil"/>
              <w:left w:val="nil"/>
              <w:bottom w:val="nil"/>
              <w:right w:val="nil"/>
            </w:tcBorders>
            <w:noWrap/>
            <w:vAlign w:val="center"/>
            <w:hideMark/>
          </w:tcPr>
          <w:p w14:paraId="517DD3A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260" w:type="dxa"/>
            <w:tcBorders>
              <w:top w:val="nil"/>
              <w:left w:val="nil"/>
              <w:bottom w:val="nil"/>
              <w:right w:val="nil"/>
            </w:tcBorders>
            <w:noWrap/>
            <w:vAlign w:val="center"/>
            <w:hideMark/>
          </w:tcPr>
          <w:p w14:paraId="632D6C4E"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I</w:t>
            </w:r>
            <w:r w:rsidRPr="006D0FF9">
              <w:rPr>
                <w:rFonts w:ascii="Times New Roman" w:eastAsia="Times New Roman" w:hAnsi="Times New Roman" w:cs="Times New Roman"/>
                <w:color w:val="000000"/>
                <w:sz w:val="18"/>
                <w:szCs w:val="18"/>
              </w:rPr>
              <w:t xml:space="preserve"> </w:t>
            </w:r>
          </w:p>
        </w:tc>
        <w:tc>
          <w:tcPr>
            <w:tcW w:w="990" w:type="dxa"/>
            <w:tcBorders>
              <w:top w:val="nil"/>
              <w:left w:val="nil"/>
              <w:bottom w:val="nil"/>
              <w:right w:val="nil"/>
            </w:tcBorders>
            <w:noWrap/>
            <w:vAlign w:val="center"/>
            <w:hideMark/>
          </w:tcPr>
          <w:p w14:paraId="60A0E6D8"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M</w:t>
            </w:r>
          </w:p>
        </w:tc>
        <w:tc>
          <w:tcPr>
            <w:tcW w:w="1170" w:type="dxa"/>
            <w:tcBorders>
              <w:top w:val="nil"/>
              <w:left w:val="nil"/>
              <w:bottom w:val="nil"/>
              <w:right w:val="nil"/>
            </w:tcBorders>
            <w:noWrap/>
            <w:vAlign w:val="center"/>
            <w:hideMark/>
          </w:tcPr>
          <w:p w14:paraId="17C4C5A3"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00" w:type="dxa"/>
            <w:tcBorders>
              <w:top w:val="nil"/>
              <w:left w:val="nil"/>
              <w:bottom w:val="nil"/>
              <w:right w:val="nil"/>
            </w:tcBorders>
            <w:noWrap/>
            <w:vAlign w:val="center"/>
            <w:hideMark/>
          </w:tcPr>
          <w:p w14:paraId="72DEB788"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hideMark/>
          </w:tcPr>
          <w:p w14:paraId="6533DAE2"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c>
          <w:tcPr>
            <w:tcW w:w="2460" w:type="dxa"/>
            <w:gridSpan w:val="2"/>
            <w:tcBorders>
              <w:top w:val="nil"/>
              <w:left w:val="nil"/>
              <w:bottom w:val="nil"/>
              <w:right w:val="nil"/>
            </w:tcBorders>
            <w:vAlign w:val="center"/>
          </w:tcPr>
          <w:p w14:paraId="11610152"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562F10BC" w14:textId="77777777" w:rsidTr="000B6141">
        <w:trPr>
          <w:trHeight w:val="368"/>
        </w:trPr>
        <w:tc>
          <w:tcPr>
            <w:tcW w:w="1110" w:type="dxa"/>
            <w:tcBorders>
              <w:top w:val="nil"/>
              <w:left w:val="nil"/>
              <w:bottom w:val="nil"/>
              <w:right w:val="nil"/>
            </w:tcBorders>
            <w:noWrap/>
            <w:vAlign w:val="center"/>
            <w:hideMark/>
          </w:tcPr>
          <w:p w14:paraId="2D4335FC"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15</w:t>
            </w:r>
          </w:p>
        </w:tc>
        <w:tc>
          <w:tcPr>
            <w:tcW w:w="780" w:type="dxa"/>
            <w:tcBorders>
              <w:top w:val="nil"/>
              <w:left w:val="nil"/>
              <w:bottom w:val="nil"/>
              <w:right w:val="nil"/>
            </w:tcBorders>
            <w:noWrap/>
            <w:vAlign w:val="center"/>
            <w:hideMark/>
          </w:tcPr>
          <w:p w14:paraId="067AD493"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0.10</w:t>
            </w:r>
          </w:p>
        </w:tc>
        <w:tc>
          <w:tcPr>
            <w:tcW w:w="990" w:type="dxa"/>
            <w:tcBorders>
              <w:top w:val="nil"/>
              <w:left w:val="nil"/>
              <w:bottom w:val="nil"/>
              <w:right w:val="nil"/>
            </w:tcBorders>
            <w:noWrap/>
            <w:vAlign w:val="center"/>
            <w:hideMark/>
          </w:tcPr>
          <w:p w14:paraId="3139BE9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w:t>
            </w:r>
          </w:p>
        </w:tc>
        <w:tc>
          <w:tcPr>
            <w:tcW w:w="990" w:type="dxa"/>
            <w:tcBorders>
              <w:top w:val="nil"/>
              <w:left w:val="nil"/>
              <w:bottom w:val="nil"/>
              <w:right w:val="nil"/>
            </w:tcBorders>
            <w:noWrap/>
            <w:vAlign w:val="center"/>
            <w:hideMark/>
          </w:tcPr>
          <w:p w14:paraId="0F510FEE"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L</w:t>
            </w:r>
          </w:p>
        </w:tc>
        <w:tc>
          <w:tcPr>
            <w:tcW w:w="1260" w:type="dxa"/>
            <w:tcBorders>
              <w:top w:val="nil"/>
              <w:left w:val="nil"/>
              <w:bottom w:val="nil"/>
              <w:right w:val="nil"/>
            </w:tcBorders>
            <w:noWrap/>
            <w:vAlign w:val="center"/>
            <w:hideMark/>
          </w:tcPr>
          <w:p w14:paraId="33DCE0F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I</w:t>
            </w:r>
          </w:p>
        </w:tc>
        <w:tc>
          <w:tcPr>
            <w:tcW w:w="990" w:type="dxa"/>
            <w:tcBorders>
              <w:top w:val="nil"/>
              <w:left w:val="nil"/>
              <w:bottom w:val="nil"/>
              <w:right w:val="nil"/>
            </w:tcBorders>
            <w:noWrap/>
            <w:vAlign w:val="center"/>
            <w:hideMark/>
          </w:tcPr>
          <w:p w14:paraId="3BAF7D2F"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M</w:t>
            </w:r>
          </w:p>
        </w:tc>
        <w:tc>
          <w:tcPr>
            <w:tcW w:w="1170" w:type="dxa"/>
            <w:tcBorders>
              <w:top w:val="nil"/>
              <w:left w:val="nil"/>
              <w:bottom w:val="nil"/>
              <w:right w:val="nil"/>
            </w:tcBorders>
            <w:noWrap/>
            <w:vAlign w:val="center"/>
            <w:hideMark/>
          </w:tcPr>
          <w:p w14:paraId="56624DEA"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00" w:type="dxa"/>
            <w:tcBorders>
              <w:top w:val="nil"/>
              <w:left w:val="nil"/>
              <w:bottom w:val="nil"/>
              <w:right w:val="nil"/>
            </w:tcBorders>
            <w:noWrap/>
            <w:vAlign w:val="center"/>
            <w:hideMark/>
          </w:tcPr>
          <w:p w14:paraId="1453DBAF"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hideMark/>
          </w:tcPr>
          <w:p w14:paraId="701F7B99"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c>
          <w:tcPr>
            <w:tcW w:w="2460" w:type="dxa"/>
            <w:gridSpan w:val="2"/>
            <w:tcBorders>
              <w:top w:val="nil"/>
              <w:left w:val="nil"/>
              <w:bottom w:val="nil"/>
              <w:right w:val="nil"/>
            </w:tcBorders>
            <w:vAlign w:val="center"/>
          </w:tcPr>
          <w:p w14:paraId="02D5912D"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1B4BEC14" w14:textId="77777777" w:rsidTr="000B6141">
        <w:trPr>
          <w:trHeight w:val="368"/>
        </w:trPr>
        <w:tc>
          <w:tcPr>
            <w:tcW w:w="1110" w:type="dxa"/>
            <w:tcBorders>
              <w:top w:val="nil"/>
              <w:left w:val="nil"/>
              <w:bottom w:val="nil"/>
              <w:right w:val="nil"/>
            </w:tcBorders>
            <w:noWrap/>
            <w:vAlign w:val="center"/>
            <w:hideMark/>
          </w:tcPr>
          <w:p w14:paraId="66A1EEA3"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16</w:t>
            </w:r>
          </w:p>
        </w:tc>
        <w:tc>
          <w:tcPr>
            <w:tcW w:w="780" w:type="dxa"/>
            <w:tcBorders>
              <w:top w:val="nil"/>
              <w:left w:val="nil"/>
              <w:bottom w:val="nil"/>
              <w:right w:val="nil"/>
            </w:tcBorders>
            <w:noWrap/>
            <w:vAlign w:val="center"/>
            <w:hideMark/>
          </w:tcPr>
          <w:p w14:paraId="6D4CDB1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0.05</w:t>
            </w:r>
          </w:p>
        </w:tc>
        <w:tc>
          <w:tcPr>
            <w:tcW w:w="990" w:type="dxa"/>
            <w:tcBorders>
              <w:top w:val="nil"/>
              <w:left w:val="nil"/>
              <w:bottom w:val="nil"/>
              <w:right w:val="nil"/>
            </w:tcBorders>
            <w:noWrap/>
            <w:vAlign w:val="center"/>
            <w:hideMark/>
          </w:tcPr>
          <w:p w14:paraId="387E3FE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w:t>
            </w:r>
          </w:p>
        </w:tc>
        <w:tc>
          <w:tcPr>
            <w:tcW w:w="990" w:type="dxa"/>
            <w:tcBorders>
              <w:top w:val="nil"/>
              <w:left w:val="nil"/>
              <w:bottom w:val="nil"/>
              <w:right w:val="nil"/>
            </w:tcBorders>
            <w:noWrap/>
            <w:vAlign w:val="center"/>
            <w:hideMark/>
          </w:tcPr>
          <w:p w14:paraId="5E663118"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260" w:type="dxa"/>
            <w:tcBorders>
              <w:top w:val="nil"/>
              <w:left w:val="nil"/>
              <w:bottom w:val="nil"/>
              <w:right w:val="nil"/>
            </w:tcBorders>
            <w:noWrap/>
            <w:vAlign w:val="center"/>
            <w:hideMark/>
          </w:tcPr>
          <w:p w14:paraId="11765E0F"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90" w:type="dxa"/>
            <w:tcBorders>
              <w:top w:val="nil"/>
              <w:left w:val="nil"/>
              <w:bottom w:val="nil"/>
              <w:right w:val="nil"/>
            </w:tcBorders>
            <w:noWrap/>
            <w:vAlign w:val="center"/>
            <w:hideMark/>
          </w:tcPr>
          <w:p w14:paraId="05030DFD" w14:textId="77777777" w:rsidR="00FB50CF" w:rsidRPr="006D0FF9" w:rsidRDefault="00FB50CF" w:rsidP="000B6141">
            <w:pPr>
              <w:jc w:val="center"/>
              <w:rPr>
                <w:rFonts w:ascii="Times New Roman" w:eastAsia="Times New Roman" w:hAnsi="Times New Roman" w:cs="Times New Roman"/>
                <w:b/>
                <w:bCs/>
                <w:color w:val="000000"/>
                <w:sz w:val="18"/>
                <w:szCs w:val="18"/>
              </w:rPr>
            </w:pPr>
            <w:r w:rsidRPr="006D0FF9">
              <w:rPr>
                <w:rFonts w:ascii="Times New Roman" w:eastAsia="Times New Roman" w:hAnsi="Times New Roman" w:cs="Times New Roman"/>
                <w:b/>
                <w:bCs/>
                <w:color w:val="000000"/>
                <w:sz w:val="18"/>
                <w:szCs w:val="18"/>
              </w:rPr>
              <w:t>MM</w:t>
            </w:r>
          </w:p>
        </w:tc>
        <w:tc>
          <w:tcPr>
            <w:tcW w:w="1170" w:type="dxa"/>
            <w:tcBorders>
              <w:top w:val="nil"/>
              <w:left w:val="nil"/>
              <w:bottom w:val="nil"/>
              <w:right w:val="nil"/>
            </w:tcBorders>
            <w:noWrap/>
            <w:vAlign w:val="center"/>
            <w:hideMark/>
          </w:tcPr>
          <w:p w14:paraId="613C60A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00" w:type="dxa"/>
            <w:tcBorders>
              <w:top w:val="nil"/>
              <w:left w:val="nil"/>
              <w:bottom w:val="nil"/>
              <w:right w:val="nil"/>
            </w:tcBorders>
            <w:noWrap/>
            <w:vAlign w:val="center"/>
            <w:hideMark/>
          </w:tcPr>
          <w:p w14:paraId="6454B3EB"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hideMark/>
          </w:tcPr>
          <w:p w14:paraId="208722A1"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c>
          <w:tcPr>
            <w:tcW w:w="2460" w:type="dxa"/>
            <w:gridSpan w:val="2"/>
            <w:tcBorders>
              <w:top w:val="nil"/>
              <w:left w:val="nil"/>
              <w:bottom w:val="nil"/>
              <w:right w:val="nil"/>
            </w:tcBorders>
            <w:vAlign w:val="center"/>
          </w:tcPr>
          <w:p w14:paraId="7B482F4F"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06E8CCF1" w14:textId="77777777" w:rsidTr="000B6141">
        <w:trPr>
          <w:trHeight w:val="368"/>
        </w:trPr>
        <w:tc>
          <w:tcPr>
            <w:tcW w:w="1110" w:type="dxa"/>
            <w:tcBorders>
              <w:top w:val="nil"/>
              <w:left w:val="nil"/>
              <w:bottom w:val="nil"/>
              <w:right w:val="nil"/>
            </w:tcBorders>
            <w:noWrap/>
            <w:vAlign w:val="center"/>
            <w:hideMark/>
          </w:tcPr>
          <w:p w14:paraId="4AAC70D7"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17</w:t>
            </w:r>
          </w:p>
        </w:tc>
        <w:tc>
          <w:tcPr>
            <w:tcW w:w="780" w:type="dxa"/>
            <w:tcBorders>
              <w:top w:val="nil"/>
              <w:left w:val="nil"/>
              <w:bottom w:val="nil"/>
              <w:right w:val="nil"/>
            </w:tcBorders>
            <w:noWrap/>
            <w:vAlign w:val="center"/>
            <w:hideMark/>
          </w:tcPr>
          <w:p w14:paraId="5471BD13"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0.05</w:t>
            </w:r>
          </w:p>
        </w:tc>
        <w:tc>
          <w:tcPr>
            <w:tcW w:w="990" w:type="dxa"/>
            <w:tcBorders>
              <w:top w:val="nil"/>
              <w:left w:val="nil"/>
              <w:bottom w:val="nil"/>
              <w:right w:val="nil"/>
            </w:tcBorders>
            <w:noWrap/>
            <w:vAlign w:val="center"/>
            <w:hideMark/>
          </w:tcPr>
          <w:p w14:paraId="2A6F5AFE"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w:t>
            </w:r>
          </w:p>
        </w:tc>
        <w:tc>
          <w:tcPr>
            <w:tcW w:w="990" w:type="dxa"/>
            <w:tcBorders>
              <w:top w:val="nil"/>
              <w:left w:val="nil"/>
              <w:bottom w:val="nil"/>
              <w:right w:val="nil"/>
            </w:tcBorders>
            <w:noWrap/>
            <w:vAlign w:val="center"/>
            <w:hideMark/>
          </w:tcPr>
          <w:p w14:paraId="0D029AFE" w14:textId="77777777" w:rsidR="00FB50CF" w:rsidRPr="006D0FF9" w:rsidRDefault="00FB50CF" w:rsidP="000B6141">
            <w:pPr>
              <w:jc w:val="center"/>
              <w:rPr>
                <w:rFonts w:ascii="Times New Roman" w:eastAsia="Times New Roman" w:hAnsi="Times New Roman" w:cs="Times New Roman"/>
                <w:b/>
                <w:bCs/>
                <w:color w:val="000000"/>
                <w:sz w:val="18"/>
                <w:szCs w:val="18"/>
              </w:rPr>
            </w:pPr>
            <w:r w:rsidRPr="006D0FF9">
              <w:rPr>
                <w:rFonts w:ascii="Times New Roman" w:eastAsia="Times New Roman" w:hAnsi="Times New Roman" w:cs="Times New Roman"/>
                <w:b/>
                <w:bCs/>
                <w:color w:val="000000"/>
                <w:sz w:val="18"/>
                <w:szCs w:val="18"/>
              </w:rPr>
              <w:t>LL</w:t>
            </w:r>
          </w:p>
        </w:tc>
        <w:tc>
          <w:tcPr>
            <w:tcW w:w="1260" w:type="dxa"/>
            <w:tcBorders>
              <w:top w:val="nil"/>
              <w:left w:val="nil"/>
              <w:bottom w:val="nil"/>
              <w:right w:val="nil"/>
            </w:tcBorders>
            <w:noWrap/>
            <w:vAlign w:val="center"/>
            <w:hideMark/>
          </w:tcPr>
          <w:p w14:paraId="3800B826" w14:textId="77777777" w:rsidR="00FB50CF" w:rsidRPr="006D0FF9" w:rsidRDefault="00FB50CF" w:rsidP="000B6141">
            <w:pPr>
              <w:jc w:val="center"/>
              <w:rPr>
                <w:rFonts w:ascii="Times New Roman" w:eastAsia="Times New Roman" w:hAnsi="Times New Roman" w:cs="Times New Roman"/>
                <w:b/>
                <w:bCs/>
                <w:color w:val="000000"/>
                <w:sz w:val="18"/>
                <w:szCs w:val="18"/>
              </w:rPr>
            </w:pPr>
            <w:r w:rsidRPr="006D0FF9">
              <w:rPr>
                <w:rFonts w:ascii="Times New Roman" w:eastAsia="Times New Roman" w:hAnsi="Times New Roman" w:cs="Times New Roman"/>
                <w:b/>
                <w:bCs/>
                <w:color w:val="000000"/>
                <w:sz w:val="18"/>
                <w:szCs w:val="18"/>
              </w:rPr>
              <w:t>II</w:t>
            </w:r>
          </w:p>
        </w:tc>
        <w:tc>
          <w:tcPr>
            <w:tcW w:w="990" w:type="dxa"/>
            <w:tcBorders>
              <w:top w:val="nil"/>
              <w:left w:val="nil"/>
              <w:bottom w:val="nil"/>
              <w:right w:val="nil"/>
            </w:tcBorders>
            <w:noWrap/>
            <w:vAlign w:val="center"/>
            <w:hideMark/>
          </w:tcPr>
          <w:p w14:paraId="0EA5544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170" w:type="dxa"/>
            <w:tcBorders>
              <w:top w:val="nil"/>
              <w:left w:val="nil"/>
              <w:bottom w:val="nil"/>
              <w:right w:val="nil"/>
            </w:tcBorders>
            <w:noWrap/>
            <w:vAlign w:val="center"/>
            <w:hideMark/>
          </w:tcPr>
          <w:p w14:paraId="779F3D1F"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900" w:type="dxa"/>
            <w:tcBorders>
              <w:top w:val="nil"/>
              <w:left w:val="nil"/>
              <w:bottom w:val="nil"/>
              <w:right w:val="nil"/>
            </w:tcBorders>
            <w:noWrap/>
            <w:vAlign w:val="center"/>
            <w:hideMark/>
          </w:tcPr>
          <w:p w14:paraId="32F8CED7"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hideMark/>
          </w:tcPr>
          <w:p w14:paraId="0E23DC42"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c>
          <w:tcPr>
            <w:tcW w:w="2460" w:type="dxa"/>
            <w:gridSpan w:val="2"/>
            <w:tcBorders>
              <w:top w:val="nil"/>
              <w:left w:val="nil"/>
              <w:bottom w:val="nil"/>
              <w:right w:val="nil"/>
            </w:tcBorders>
            <w:vAlign w:val="center"/>
          </w:tcPr>
          <w:p w14:paraId="10C594C4" w14:textId="77777777" w:rsidR="00FB50CF" w:rsidRPr="006D0FF9" w:rsidRDefault="00FB50CF" w:rsidP="000B6141">
            <w:pPr>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2A1E1942" w14:textId="77777777" w:rsidTr="000B6141">
        <w:trPr>
          <w:trHeight w:val="368"/>
        </w:trPr>
        <w:tc>
          <w:tcPr>
            <w:tcW w:w="1110" w:type="dxa"/>
            <w:tcBorders>
              <w:top w:val="nil"/>
              <w:left w:val="nil"/>
              <w:bottom w:val="nil"/>
              <w:right w:val="nil"/>
            </w:tcBorders>
            <w:noWrap/>
            <w:vAlign w:val="center"/>
            <w:hideMark/>
          </w:tcPr>
          <w:p w14:paraId="2C0AF3B2"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18</w:t>
            </w:r>
          </w:p>
        </w:tc>
        <w:tc>
          <w:tcPr>
            <w:tcW w:w="780" w:type="dxa"/>
            <w:tcBorders>
              <w:top w:val="nil"/>
              <w:left w:val="nil"/>
              <w:bottom w:val="nil"/>
              <w:right w:val="nil"/>
            </w:tcBorders>
            <w:noWrap/>
            <w:vAlign w:val="center"/>
            <w:hideMark/>
          </w:tcPr>
          <w:p w14:paraId="3B33CBB5"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hAnsi="Times New Roman" w:cs="Times New Roman"/>
                <w:color w:val="000000"/>
                <w:sz w:val="18"/>
                <w:szCs w:val="18"/>
              </w:rPr>
              <w:t>0.05</w:t>
            </w:r>
          </w:p>
        </w:tc>
        <w:tc>
          <w:tcPr>
            <w:tcW w:w="990" w:type="dxa"/>
            <w:tcBorders>
              <w:top w:val="nil"/>
              <w:left w:val="nil"/>
              <w:bottom w:val="nil"/>
              <w:right w:val="nil"/>
            </w:tcBorders>
            <w:noWrap/>
            <w:vAlign w:val="center"/>
            <w:hideMark/>
          </w:tcPr>
          <w:p w14:paraId="4D1AA2A3"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w:t>
            </w:r>
          </w:p>
        </w:tc>
        <w:tc>
          <w:tcPr>
            <w:tcW w:w="990" w:type="dxa"/>
            <w:tcBorders>
              <w:top w:val="nil"/>
              <w:left w:val="nil"/>
              <w:bottom w:val="nil"/>
              <w:right w:val="nil"/>
            </w:tcBorders>
            <w:noWrap/>
            <w:vAlign w:val="center"/>
            <w:hideMark/>
          </w:tcPr>
          <w:p w14:paraId="11DE36C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260" w:type="dxa"/>
            <w:tcBorders>
              <w:top w:val="nil"/>
              <w:left w:val="nil"/>
              <w:bottom w:val="nil"/>
              <w:right w:val="nil"/>
            </w:tcBorders>
            <w:noWrap/>
            <w:vAlign w:val="center"/>
            <w:hideMark/>
          </w:tcPr>
          <w:p w14:paraId="14E88242" w14:textId="77777777" w:rsidR="00FB50CF" w:rsidRPr="006D0FF9" w:rsidRDefault="00FB50CF" w:rsidP="000B6141">
            <w:pPr>
              <w:jc w:val="center"/>
              <w:rPr>
                <w:rFonts w:ascii="Times New Roman" w:eastAsia="Times New Roman" w:hAnsi="Times New Roman" w:cs="Times New Roman"/>
                <w:b/>
                <w:bCs/>
                <w:color w:val="000000"/>
                <w:sz w:val="18"/>
                <w:szCs w:val="18"/>
              </w:rPr>
            </w:pPr>
            <w:r w:rsidRPr="006D0FF9">
              <w:rPr>
                <w:rFonts w:ascii="Times New Roman" w:eastAsia="Times New Roman" w:hAnsi="Times New Roman" w:cs="Times New Roman"/>
                <w:b/>
                <w:bCs/>
                <w:color w:val="000000"/>
                <w:sz w:val="18"/>
                <w:szCs w:val="18"/>
              </w:rPr>
              <w:t>II</w:t>
            </w:r>
          </w:p>
        </w:tc>
        <w:tc>
          <w:tcPr>
            <w:tcW w:w="990" w:type="dxa"/>
            <w:tcBorders>
              <w:top w:val="nil"/>
              <w:left w:val="nil"/>
              <w:bottom w:val="nil"/>
              <w:right w:val="nil"/>
            </w:tcBorders>
            <w:noWrap/>
            <w:vAlign w:val="center"/>
            <w:hideMark/>
          </w:tcPr>
          <w:p w14:paraId="36D9CB2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w:t>
            </w:r>
          </w:p>
        </w:tc>
        <w:tc>
          <w:tcPr>
            <w:tcW w:w="1170" w:type="dxa"/>
            <w:tcBorders>
              <w:top w:val="nil"/>
              <w:left w:val="nil"/>
              <w:bottom w:val="nil"/>
              <w:right w:val="nil"/>
            </w:tcBorders>
            <w:noWrap/>
            <w:vAlign w:val="center"/>
            <w:hideMark/>
          </w:tcPr>
          <w:p w14:paraId="5C53ABAD"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F</w:t>
            </w:r>
          </w:p>
        </w:tc>
        <w:tc>
          <w:tcPr>
            <w:tcW w:w="900" w:type="dxa"/>
            <w:tcBorders>
              <w:top w:val="nil"/>
              <w:left w:val="nil"/>
              <w:bottom w:val="nil"/>
              <w:right w:val="nil"/>
            </w:tcBorders>
            <w:noWrap/>
            <w:vAlign w:val="center"/>
            <w:hideMark/>
          </w:tcPr>
          <w:p w14:paraId="10EDE624"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hideMark/>
          </w:tcPr>
          <w:p w14:paraId="11A2A1D6" w14:textId="77777777" w:rsidR="00FB50CF" w:rsidRPr="006D0FF9" w:rsidRDefault="00FB50CF" w:rsidP="000B6141">
            <w:pPr>
              <w:keepNext/>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c>
          <w:tcPr>
            <w:tcW w:w="2460" w:type="dxa"/>
            <w:gridSpan w:val="2"/>
            <w:tcBorders>
              <w:top w:val="nil"/>
              <w:left w:val="nil"/>
              <w:bottom w:val="nil"/>
              <w:right w:val="nil"/>
            </w:tcBorders>
            <w:vAlign w:val="center"/>
          </w:tcPr>
          <w:p w14:paraId="27274F68" w14:textId="77777777" w:rsidR="00FB50CF" w:rsidRPr="006D0FF9" w:rsidRDefault="00FB50CF" w:rsidP="000B6141">
            <w:pPr>
              <w:keepNext/>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r w:rsidR="00FB50CF" w:rsidRPr="006D0FF9" w14:paraId="4D01FFA7" w14:textId="77777777" w:rsidTr="000B6141">
        <w:trPr>
          <w:trHeight w:val="368"/>
        </w:trPr>
        <w:tc>
          <w:tcPr>
            <w:tcW w:w="1110" w:type="dxa"/>
            <w:tcBorders>
              <w:top w:val="nil"/>
              <w:left w:val="nil"/>
              <w:bottom w:val="nil"/>
              <w:right w:val="nil"/>
            </w:tcBorders>
            <w:noWrap/>
            <w:vAlign w:val="center"/>
          </w:tcPr>
          <w:p w14:paraId="5FBBAF99"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lastRenderedPageBreak/>
              <w:t>19</w:t>
            </w:r>
          </w:p>
        </w:tc>
        <w:tc>
          <w:tcPr>
            <w:tcW w:w="780" w:type="dxa"/>
            <w:tcBorders>
              <w:top w:val="nil"/>
              <w:left w:val="nil"/>
              <w:bottom w:val="nil"/>
              <w:right w:val="nil"/>
            </w:tcBorders>
            <w:noWrap/>
            <w:vAlign w:val="center"/>
          </w:tcPr>
          <w:p w14:paraId="3E4C6A62" w14:textId="77777777" w:rsidR="00FB50CF" w:rsidRPr="006D0FF9" w:rsidRDefault="00FB50CF" w:rsidP="000B6141">
            <w:pPr>
              <w:jc w:val="center"/>
              <w:rPr>
                <w:rFonts w:ascii="Times New Roman" w:hAnsi="Times New Roman" w:cs="Times New Roman"/>
                <w:color w:val="000000"/>
                <w:sz w:val="18"/>
                <w:szCs w:val="18"/>
              </w:rPr>
            </w:pPr>
            <w:r w:rsidRPr="006D0FF9">
              <w:rPr>
                <w:rFonts w:ascii="Times New Roman" w:hAnsi="Times New Roman" w:cs="Times New Roman"/>
                <w:color w:val="000000"/>
                <w:sz w:val="18"/>
                <w:szCs w:val="18"/>
              </w:rPr>
              <w:t>0.10</w:t>
            </w:r>
          </w:p>
        </w:tc>
        <w:tc>
          <w:tcPr>
            <w:tcW w:w="990" w:type="dxa"/>
            <w:tcBorders>
              <w:top w:val="nil"/>
              <w:left w:val="nil"/>
              <w:bottom w:val="nil"/>
              <w:right w:val="nil"/>
            </w:tcBorders>
            <w:noWrap/>
            <w:vAlign w:val="center"/>
          </w:tcPr>
          <w:p w14:paraId="1499F75D"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1</w:t>
            </w:r>
          </w:p>
        </w:tc>
        <w:tc>
          <w:tcPr>
            <w:tcW w:w="990" w:type="dxa"/>
            <w:tcBorders>
              <w:top w:val="nil"/>
              <w:left w:val="nil"/>
              <w:bottom w:val="nil"/>
              <w:right w:val="nil"/>
            </w:tcBorders>
            <w:noWrap/>
            <w:vAlign w:val="center"/>
          </w:tcPr>
          <w:p w14:paraId="71B36261"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L</w:t>
            </w:r>
          </w:p>
        </w:tc>
        <w:tc>
          <w:tcPr>
            <w:tcW w:w="1260" w:type="dxa"/>
            <w:tcBorders>
              <w:top w:val="nil"/>
              <w:left w:val="nil"/>
              <w:bottom w:val="nil"/>
              <w:right w:val="nil"/>
            </w:tcBorders>
            <w:noWrap/>
            <w:vAlign w:val="center"/>
          </w:tcPr>
          <w:p w14:paraId="09D21AE7"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M</w:t>
            </w:r>
            <w:r w:rsidRPr="006D0FF9">
              <w:rPr>
                <w:rFonts w:ascii="Times New Roman" w:eastAsia="Times New Roman" w:hAnsi="Times New Roman" w:cs="Times New Roman"/>
                <w:b/>
                <w:bCs/>
                <w:color w:val="000000"/>
                <w:sz w:val="18"/>
                <w:szCs w:val="18"/>
              </w:rPr>
              <w:t>I</w:t>
            </w:r>
          </w:p>
        </w:tc>
        <w:tc>
          <w:tcPr>
            <w:tcW w:w="990" w:type="dxa"/>
            <w:tcBorders>
              <w:top w:val="nil"/>
              <w:left w:val="nil"/>
              <w:bottom w:val="nil"/>
              <w:right w:val="nil"/>
            </w:tcBorders>
            <w:noWrap/>
            <w:vAlign w:val="center"/>
          </w:tcPr>
          <w:p w14:paraId="5C5EC68A"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M</w:t>
            </w:r>
          </w:p>
        </w:tc>
        <w:tc>
          <w:tcPr>
            <w:tcW w:w="1170" w:type="dxa"/>
            <w:tcBorders>
              <w:top w:val="nil"/>
              <w:left w:val="nil"/>
              <w:bottom w:val="nil"/>
              <w:right w:val="nil"/>
            </w:tcBorders>
            <w:noWrap/>
            <w:vAlign w:val="center"/>
          </w:tcPr>
          <w:p w14:paraId="3AF385EF"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L</w:t>
            </w:r>
            <w:r w:rsidRPr="006D0FF9">
              <w:rPr>
                <w:rFonts w:ascii="Times New Roman" w:eastAsia="Times New Roman" w:hAnsi="Times New Roman" w:cs="Times New Roman"/>
                <w:b/>
                <w:bCs/>
                <w:color w:val="000000"/>
                <w:sz w:val="18"/>
                <w:szCs w:val="18"/>
              </w:rPr>
              <w:t>F</w:t>
            </w:r>
          </w:p>
        </w:tc>
        <w:tc>
          <w:tcPr>
            <w:tcW w:w="900" w:type="dxa"/>
            <w:tcBorders>
              <w:top w:val="nil"/>
              <w:left w:val="nil"/>
              <w:bottom w:val="nil"/>
              <w:right w:val="nil"/>
            </w:tcBorders>
            <w:noWrap/>
            <w:vAlign w:val="center"/>
          </w:tcPr>
          <w:p w14:paraId="2B65E796" w14:textId="77777777" w:rsidR="00FB50CF" w:rsidRPr="006D0FF9" w:rsidRDefault="00FB50CF" w:rsidP="000B6141">
            <w:pPr>
              <w:jc w:val="center"/>
              <w:rPr>
                <w:rFonts w:ascii="Times New Roman" w:eastAsia="Times New Roman" w:hAnsi="Times New Roman" w:cs="Times New Roman"/>
                <w:color w:val="000000"/>
                <w:sz w:val="18"/>
                <w:szCs w:val="18"/>
              </w:rPr>
            </w:pPr>
            <w:r w:rsidRPr="006D0FF9">
              <w:rPr>
                <w:rFonts w:ascii="Times New Roman" w:eastAsia="Times New Roman" w:hAnsi="Times New Roman" w:cs="Times New Roman"/>
                <w:color w:val="000000"/>
                <w:sz w:val="18"/>
                <w:szCs w:val="18"/>
              </w:rPr>
              <w:t>N/A</w:t>
            </w:r>
          </w:p>
        </w:tc>
        <w:tc>
          <w:tcPr>
            <w:tcW w:w="2340" w:type="dxa"/>
            <w:gridSpan w:val="2"/>
            <w:tcBorders>
              <w:top w:val="nil"/>
              <w:left w:val="nil"/>
              <w:bottom w:val="nil"/>
              <w:right w:val="nil"/>
            </w:tcBorders>
            <w:noWrap/>
            <w:vAlign w:val="center"/>
          </w:tcPr>
          <w:p w14:paraId="7F721D16" w14:textId="77777777" w:rsidR="00FB50CF" w:rsidRPr="006D0FF9" w:rsidRDefault="00FB50CF" w:rsidP="000B6141">
            <w:pPr>
              <w:keepNext/>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c>
          <w:tcPr>
            <w:tcW w:w="2460" w:type="dxa"/>
            <w:gridSpan w:val="2"/>
            <w:tcBorders>
              <w:top w:val="nil"/>
              <w:left w:val="nil"/>
              <w:bottom w:val="nil"/>
              <w:right w:val="nil"/>
            </w:tcBorders>
            <w:vAlign w:val="center"/>
          </w:tcPr>
          <w:p w14:paraId="57D2CCA7" w14:textId="77777777" w:rsidR="00FB50CF" w:rsidRPr="006D0FF9" w:rsidRDefault="00FB50CF" w:rsidP="000B6141">
            <w:pPr>
              <w:keepNext/>
              <w:jc w:val="center"/>
              <w:rPr>
                <w:rFonts w:ascii="Times New Roman" w:eastAsia="Times New Roman" w:hAnsi="Times New Roman" w:cs="Times New Roman"/>
                <w:sz w:val="18"/>
                <w:szCs w:val="18"/>
              </w:rPr>
            </w:pPr>
            <w:r w:rsidRPr="006D0FF9">
              <w:rPr>
                <w:rFonts w:ascii="Times New Roman" w:eastAsia="Times New Roman" w:hAnsi="Times New Roman" w:cs="Times New Roman"/>
                <w:sz w:val="18"/>
                <w:szCs w:val="18"/>
              </w:rPr>
              <w:t>N/A</w:t>
            </w:r>
          </w:p>
        </w:tc>
      </w:tr>
    </w:tbl>
    <w:p w14:paraId="60B99377" w14:textId="77777777" w:rsidR="00FB50CF" w:rsidRPr="006D0FF9" w:rsidRDefault="00FB50CF" w:rsidP="00FB50CF">
      <w:pPr>
        <w:spacing w:after="0" w:line="240" w:lineRule="auto"/>
        <w:rPr>
          <w:rFonts w:ascii="Times New Roman" w:hAnsi="Times New Roman" w:cs="Times New Roman"/>
        </w:rPr>
      </w:pPr>
      <w:r w:rsidRPr="006D0FF9">
        <w:rPr>
          <w:rFonts w:ascii="Times New Roman" w:hAnsi="Times New Roman" w:cs="Times New Roman"/>
          <w:vertAlign w:val="superscript"/>
        </w:rPr>
        <w:t>1</w:t>
      </w:r>
      <w:r w:rsidRPr="006D0FF9">
        <w:rPr>
          <w:rFonts w:ascii="Times New Roman" w:hAnsi="Times New Roman" w:cs="Times New Roman"/>
        </w:rPr>
        <w:t>Genotypes (GTs) differing in amino acid change composition vs. the susceptible wild type (wt+) numbered in order of frequency collected</w:t>
      </w:r>
    </w:p>
    <w:p w14:paraId="4A5B285A" w14:textId="77777777" w:rsidR="00FB50CF" w:rsidRPr="006D0FF9" w:rsidRDefault="00FB50CF" w:rsidP="00FB50CF">
      <w:pPr>
        <w:spacing w:after="0" w:line="240" w:lineRule="auto"/>
        <w:rPr>
          <w:rFonts w:ascii="Times New Roman" w:hAnsi="Times New Roman" w:cs="Times New Roman"/>
        </w:rPr>
      </w:pPr>
      <w:r w:rsidRPr="006D0FF9">
        <w:rPr>
          <w:rFonts w:ascii="Times New Roman" w:hAnsi="Times New Roman" w:cs="Times New Roman"/>
          <w:vertAlign w:val="superscript"/>
        </w:rPr>
        <w:t>2</w:t>
      </w:r>
      <w:r w:rsidRPr="006D0FF9">
        <w:rPr>
          <w:rFonts w:ascii="Times New Roman" w:hAnsi="Times New Roman" w:cs="Times New Roman"/>
        </w:rPr>
        <w:t xml:space="preserve">Frequency is reported as a percentage </w:t>
      </w:r>
      <w:commentRangeStart w:id="1"/>
      <w:r w:rsidRPr="006D0FF9">
        <w:rPr>
          <w:rFonts w:ascii="Times New Roman" w:hAnsi="Times New Roman" w:cs="Times New Roman"/>
        </w:rPr>
        <w:t xml:space="preserve">of all aphids collected in soybean fields </w:t>
      </w:r>
      <w:commentRangeEnd w:id="1"/>
      <w:r w:rsidRPr="006D0FF9">
        <w:rPr>
          <w:rStyle w:val="CommentReference"/>
          <w:rFonts w:ascii="Times New Roman" w:hAnsi="Times New Roman" w:cs="Times New Roman"/>
        </w:rPr>
        <w:commentReference w:id="1"/>
      </w:r>
      <w:r w:rsidRPr="006D0FF9">
        <w:rPr>
          <w:rFonts w:ascii="Times New Roman" w:hAnsi="Times New Roman" w:cs="Times New Roman"/>
        </w:rPr>
        <w:t>(n=1955)</w:t>
      </w:r>
    </w:p>
    <w:p w14:paraId="2627E2A8" w14:textId="77777777" w:rsidR="00FB50CF" w:rsidRPr="006D0FF9" w:rsidRDefault="00FB50CF" w:rsidP="00FB50CF">
      <w:pPr>
        <w:spacing w:after="0" w:line="240" w:lineRule="auto"/>
        <w:rPr>
          <w:rFonts w:ascii="Times New Roman" w:hAnsi="Times New Roman" w:cs="Times New Roman"/>
        </w:rPr>
      </w:pPr>
      <w:r w:rsidRPr="006D0FF9">
        <w:rPr>
          <w:rFonts w:ascii="Times New Roman" w:hAnsi="Times New Roman" w:cs="Times New Roman"/>
          <w:vertAlign w:val="superscript"/>
        </w:rPr>
        <w:t>3</w:t>
      </w:r>
      <w:r w:rsidRPr="006D0FF9">
        <w:rPr>
          <w:rFonts w:ascii="Times New Roman" w:hAnsi="Times New Roman" w:cs="Times New Roman"/>
        </w:rPr>
        <w:t xml:space="preserve"> Number of fields GT was collected from (n= up to 10)</w:t>
      </w:r>
    </w:p>
    <w:p w14:paraId="632F1854" w14:textId="77777777" w:rsidR="00FB50CF" w:rsidRPr="006D0FF9" w:rsidRDefault="00FB50CF" w:rsidP="00FB50CF">
      <w:pPr>
        <w:spacing w:after="0" w:line="240" w:lineRule="auto"/>
        <w:rPr>
          <w:rFonts w:ascii="Times New Roman" w:hAnsi="Times New Roman" w:cs="Times New Roman"/>
        </w:rPr>
      </w:pPr>
      <w:r w:rsidRPr="006D0FF9">
        <w:rPr>
          <w:rFonts w:ascii="Times New Roman" w:hAnsi="Times New Roman" w:cs="Times New Roman"/>
          <w:vertAlign w:val="superscript"/>
        </w:rPr>
        <w:t>5</w:t>
      </w:r>
      <w:r w:rsidRPr="006D0FF9">
        <w:rPr>
          <w:rFonts w:ascii="Times New Roman" w:hAnsi="Times New Roman" w:cs="Times New Roman"/>
        </w:rPr>
        <w:t xml:space="preserve">Amino acid changes are described based on the number of resistance alleles present at the loci. </w:t>
      </w:r>
      <w:r w:rsidRPr="006D0FF9">
        <w:rPr>
          <w:rFonts w:ascii="Times New Roman" w:hAnsi="Times New Roman" w:cs="Times New Roman"/>
          <w:b/>
          <w:bCs/>
        </w:rPr>
        <w:t xml:space="preserve">Bold </w:t>
      </w:r>
      <w:r w:rsidRPr="006D0FF9">
        <w:rPr>
          <w:rFonts w:ascii="Times New Roman" w:hAnsi="Times New Roman" w:cs="Times New Roman"/>
        </w:rPr>
        <w:t>indicates an amino acid change associated with resistance and “-“ indicates a lack of amino acid changes from wt+.</w:t>
      </w:r>
    </w:p>
    <w:p w14:paraId="20C52B6E" w14:textId="77777777" w:rsidR="00FB50CF" w:rsidRPr="006D0FF9" w:rsidRDefault="00FB50CF" w:rsidP="00FB50CF">
      <w:pPr>
        <w:spacing w:after="0" w:line="240" w:lineRule="auto"/>
        <w:rPr>
          <w:rFonts w:ascii="Times New Roman" w:hAnsi="Times New Roman" w:cs="Times New Roman"/>
        </w:rPr>
      </w:pPr>
      <w:r w:rsidRPr="006D0FF9">
        <w:rPr>
          <w:rFonts w:ascii="Times New Roman" w:hAnsi="Times New Roman" w:cs="Times New Roman"/>
          <w:vertAlign w:val="superscript"/>
        </w:rPr>
        <w:t>6</w:t>
      </w:r>
      <w:r w:rsidRPr="006D0FF9">
        <w:rPr>
          <w:rFonts w:ascii="Times New Roman" w:hAnsi="Times New Roman" w:cs="Times New Roman"/>
        </w:rPr>
        <w:t xml:space="preserve">Resistance ratio to lambda-cyhalothrin in genotype-matching isolines, with respect to susceptible isoline (Valmorbida </w:t>
      </w:r>
      <w:r w:rsidRPr="006D0FF9">
        <w:rPr>
          <w:rFonts w:ascii="Times New Roman" w:hAnsi="Times New Roman" w:cs="Times New Roman"/>
          <w:i/>
          <w:iCs/>
        </w:rPr>
        <w:t xml:space="preserve">et al. </w:t>
      </w:r>
      <w:r w:rsidRPr="006D0FF9">
        <w:rPr>
          <w:rFonts w:ascii="Times New Roman" w:hAnsi="Times New Roman" w:cs="Times New Roman"/>
        </w:rPr>
        <w:t>2022)</w:t>
      </w:r>
    </w:p>
    <w:p w14:paraId="471FD76E" w14:textId="77777777" w:rsidR="00FB50CF" w:rsidRPr="006D0FF9" w:rsidRDefault="00FB50CF" w:rsidP="00FB50CF">
      <w:pPr>
        <w:spacing w:after="0" w:line="240" w:lineRule="auto"/>
        <w:rPr>
          <w:rFonts w:ascii="Times New Roman" w:hAnsi="Times New Roman" w:cs="Times New Roman"/>
        </w:rPr>
        <w:sectPr w:rsidR="00FB50CF" w:rsidRPr="006D0FF9" w:rsidSect="00C77FA1">
          <w:pgSz w:w="15840" w:h="12240" w:orient="landscape"/>
          <w:pgMar w:top="1440" w:right="1440" w:bottom="1440" w:left="1440" w:header="720" w:footer="720" w:gutter="0"/>
          <w:lnNumType w:countBy="1" w:restart="continuous"/>
          <w:cols w:space="720"/>
          <w:docGrid w:linePitch="360"/>
        </w:sectPr>
      </w:pPr>
      <w:r w:rsidRPr="006D0FF9">
        <w:rPr>
          <w:rFonts w:ascii="Times New Roman" w:hAnsi="Times New Roman" w:cs="Times New Roman"/>
          <w:vertAlign w:val="superscript"/>
        </w:rPr>
        <w:t>7</w:t>
      </w:r>
      <w:r w:rsidRPr="006D0FF9">
        <w:rPr>
          <w:rFonts w:ascii="Times New Roman" w:hAnsi="Times New Roman" w:cs="Times New Roman"/>
        </w:rPr>
        <w:t>Observations of GT in pyrethroid-resistant soybean aphid or other aphid s</w:t>
      </w:r>
      <w:r w:rsidRPr="006D0FF9">
        <w:rPr>
          <w:rFonts w:ascii="Times New Roman" w:hAnsi="Times New Roman" w:cs="Times New Roman"/>
        </w:rPr>
        <w:t>pecies</w:t>
      </w:r>
    </w:p>
    <w:p w14:paraId="2B9860D8" w14:textId="77777777" w:rsidR="00FB50CF" w:rsidRPr="006D0FF9" w:rsidRDefault="00FB50CF" w:rsidP="00FB50CF">
      <w:pPr>
        <w:pStyle w:val="ListParagraph"/>
        <w:numPr>
          <w:ilvl w:val="0"/>
          <w:numId w:val="1"/>
        </w:numPr>
        <w:rPr>
          <w:rFonts w:ascii="Times New Roman" w:hAnsi="Times New Roman" w:cs="Times New Roman"/>
          <w:b/>
        </w:rPr>
      </w:pPr>
      <w:r w:rsidRPr="006D0FF9">
        <w:rPr>
          <w:rFonts w:ascii="Times New Roman" w:hAnsi="Times New Roman" w:cs="Times New Roman"/>
          <w:b/>
        </w:rPr>
        <w:lastRenderedPageBreak/>
        <w:t>Are pyrethroid resistant soybean aphids cross-resistant to other insecticides? No.</w:t>
      </w:r>
    </w:p>
    <w:p w14:paraId="0FC7F5B2" w14:textId="77777777" w:rsidR="00FB50CF" w:rsidRPr="006D0FF9" w:rsidRDefault="00FB50CF" w:rsidP="006D0FF9">
      <w:pPr>
        <w:rPr>
          <w:rFonts w:ascii="Times New Roman" w:hAnsi="Times New Roman" w:cs="Times New Roman"/>
        </w:rPr>
      </w:pPr>
      <w:r w:rsidRPr="006D0FF9">
        <w:rPr>
          <w:rFonts w:ascii="Times New Roman" w:hAnsi="Times New Roman" w:cs="Times New Roman"/>
        </w:rPr>
        <w:t xml:space="preserve">The following work has been summarized in a larger manuscript to be submitted to the Journal of Economic Entomology (Pfab, Valmorbida, Coates, </w:t>
      </w:r>
      <w:r w:rsidRPr="006D0FF9">
        <w:rPr>
          <w:rFonts w:ascii="Times New Roman" w:hAnsi="Times New Roman" w:cs="Times New Roman"/>
        </w:rPr>
        <w:t xml:space="preserve">Hodgson, </w:t>
      </w:r>
      <w:r w:rsidRPr="006D0FF9">
        <w:rPr>
          <w:rFonts w:ascii="Times New Roman" w:hAnsi="Times New Roman" w:cs="Times New Roman"/>
        </w:rPr>
        <w:t xml:space="preserve">and O’Neal. </w:t>
      </w:r>
      <w:r w:rsidRPr="006D0FF9">
        <w:rPr>
          <w:rFonts w:ascii="Times New Roman" w:hAnsi="Times New Roman" w:cs="Times New Roman"/>
        </w:rPr>
        <w:t>Measuring the Efficacy of Different Insecticide Modes of Action on Pyrethroid Resistant Soybean Aphids</w:t>
      </w:r>
      <w:r w:rsidRPr="006D0FF9">
        <w:rPr>
          <w:rFonts w:ascii="Times New Roman" w:hAnsi="Times New Roman" w:cs="Times New Roman"/>
        </w:rPr>
        <w:t>.) The following is a brief summary.</w:t>
      </w:r>
    </w:p>
    <w:p w14:paraId="05295C20" w14:textId="77777777" w:rsidR="006548E0" w:rsidRPr="006D0FF9" w:rsidRDefault="006548E0" w:rsidP="00CC1423">
      <w:pPr>
        <w:rPr>
          <w:rFonts w:ascii="Times New Roman" w:hAnsi="Times New Roman" w:cs="Times New Roman"/>
          <w:b/>
        </w:rPr>
      </w:pPr>
      <w:r w:rsidRPr="006D0FF9">
        <w:rPr>
          <w:rFonts w:ascii="Times New Roman" w:hAnsi="Times New Roman" w:cs="Times New Roman"/>
          <w:b/>
        </w:rPr>
        <w:t>We measured how pyrethroid-resistant soybean aphids responded to insecticides with different modes of action.  These different insecticides managed these resistant aphids. When a pyrethroid was used, the aphid population increased.  This is worrisome as farmers could be making a bad situation worse if they continue to use pyrethroids, as they will kill insect predators, like lady beetles, allowing the resistant aphid population to continue to grow.</w:t>
      </w:r>
    </w:p>
    <w:p w14:paraId="1EBFDC6B" w14:textId="77777777" w:rsidR="006548E0" w:rsidRPr="006D0FF9" w:rsidRDefault="00450CCB" w:rsidP="00CC1423">
      <w:pPr>
        <w:rPr>
          <w:rFonts w:ascii="Times New Roman" w:hAnsi="Times New Roman" w:cs="Times New Roman"/>
        </w:rPr>
      </w:pPr>
      <w:r w:rsidRPr="006D0FF9">
        <w:rPr>
          <w:rFonts w:ascii="Times New Roman" w:hAnsi="Times New Roman" w:cs="Times New Roman"/>
        </w:rPr>
        <w:t>Since p</w:t>
      </w:r>
      <w:r w:rsidRPr="006D0FF9">
        <w:rPr>
          <w:rFonts w:ascii="Times New Roman" w:hAnsi="Times New Roman" w:cs="Times New Roman"/>
        </w:rPr>
        <w:t xml:space="preserve">yrethroid resistance is common in soybean aphid across the </w:t>
      </w:r>
      <w:r w:rsidRPr="006D0FF9">
        <w:rPr>
          <w:rFonts w:ascii="Times New Roman" w:hAnsi="Times New Roman" w:cs="Times New Roman"/>
        </w:rPr>
        <w:t>northern part of Iowa and Minnesota, we wanted to know if i</w:t>
      </w:r>
      <w:r w:rsidRPr="006D0FF9">
        <w:rPr>
          <w:rFonts w:ascii="Times New Roman" w:hAnsi="Times New Roman" w:cs="Times New Roman"/>
        </w:rPr>
        <w:t xml:space="preserve">nsecticides with different modes of action </w:t>
      </w:r>
      <w:r w:rsidRPr="006D0FF9">
        <w:rPr>
          <w:rFonts w:ascii="Times New Roman" w:hAnsi="Times New Roman" w:cs="Times New Roman"/>
        </w:rPr>
        <w:t>can</w:t>
      </w:r>
      <w:r w:rsidRPr="006D0FF9">
        <w:rPr>
          <w:rFonts w:ascii="Times New Roman" w:hAnsi="Times New Roman" w:cs="Times New Roman"/>
        </w:rPr>
        <w:t xml:space="preserve"> manage </w:t>
      </w:r>
      <w:r w:rsidRPr="006D0FF9">
        <w:rPr>
          <w:rFonts w:ascii="Times New Roman" w:hAnsi="Times New Roman" w:cs="Times New Roman"/>
        </w:rPr>
        <w:t>them</w:t>
      </w:r>
      <w:r w:rsidRPr="006D0FF9">
        <w:rPr>
          <w:rFonts w:ascii="Times New Roman" w:hAnsi="Times New Roman" w:cs="Times New Roman"/>
        </w:rPr>
        <w:t xml:space="preserve">. These include more expensive options such as neonicotinoid and pyrifluquinazon. We evaluated via field trials </w:t>
      </w:r>
      <w:r w:rsidRPr="006D0FF9">
        <w:rPr>
          <w:rFonts w:ascii="Times New Roman" w:hAnsi="Times New Roman" w:cs="Times New Roman"/>
        </w:rPr>
        <w:t>in northwest</w:t>
      </w:r>
      <w:r w:rsidRPr="006D0FF9">
        <w:rPr>
          <w:rFonts w:ascii="Times New Roman" w:hAnsi="Times New Roman" w:cs="Times New Roman"/>
        </w:rPr>
        <w:t xml:space="preserve"> Iowa where pyrethroid resistant soybean aphid populations are prevalent. Seven treatments </w:t>
      </w:r>
      <w:r w:rsidRPr="006D0FF9">
        <w:rPr>
          <w:rFonts w:ascii="Times New Roman" w:hAnsi="Times New Roman" w:cs="Times New Roman"/>
        </w:rPr>
        <w:t>included</w:t>
      </w:r>
      <w:r w:rsidRPr="006D0FF9">
        <w:rPr>
          <w:rFonts w:ascii="Times New Roman" w:hAnsi="Times New Roman" w:cs="Times New Roman"/>
        </w:rPr>
        <w:t xml:space="preserve"> three different modes of action</w:t>
      </w:r>
      <w:r w:rsidR="006548E0" w:rsidRPr="006D0FF9">
        <w:rPr>
          <w:rFonts w:ascii="Times New Roman" w:hAnsi="Times New Roman" w:cs="Times New Roman"/>
        </w:rPr>
        <w:t xml:space="preserve"> (neonicotinoid</w:t>
      </w:r>
      <w:r w:rsidRPr="006D0FF9">
        <w:rPr>
          <w:rFonts w:ascii="Times New Roman" w:hAnsi="Times New Roman" w:cs="Times New Roman"/>
        </w:rPr>
        <w:t>, pyrifluquinazon</w:t>
      </w:r>
      <w:r w:rsidR="006548E0" w:rsidRPr="006D0FF9">
        <w:rPr>
          <w:rFonts w:ascii="Times New Roman" w:hAnsi="Times New Roman" w:cs="Times New Roman"/>
        </w:rPr>
        <w:t>, pyrethroid</w:t>
      </w:r>
      <w:r w:rsidRPr="006D0FF9">
        <w:rPr>
          <w:rFonts w:ascii="Times New Roman" w:hAnsi="Times New Roman" w:cs="Times New Roman"/>
        </w:rPr>
        <w:t xml:space="preserve">) and two forms of application (seed, foliage). </w:t>
      </w:r>
      <w:r w:rsidR="006548E0" w:rsidRPr="006D0FF9">
        <w:rPr>
          <w:rFonts w:ascii="Times New Roman" w:hAnsi="Times New Roman" w:cs="Times New Roman"/>
          <w:color w:val="000000" w:themeColor="text1"/>
          <w:sz w:val="24"/>
          <w:szCs w:val="24"/>
        </w:rPr>
        <w:t>The different modes of action were represented by</w:t>
      </w:r>
      <w:r w:rsidR="006548E0" w:rsidRPr="006D0FF9">
        <w:rPr>
          <w:rFonts w:ascii="Times New Roman" w:hAnsi="Times New Roman" w:cs="Times New Roman"/>
          <w:color w:val="000000" w:themeColor="text1"/>
          <w:sz w:val="24"/>
          <w:szCs w:val="24"/>
        </w:rPr>
        <w:t xml:space="preserve"> thiamethoxam (TMX) in both seed-applied (ST) and foliar-applied (FS) forms, two rates of pyrifluquinazon (PQZ), and lambda-cyhalothrin (λ-cy). </w:t>
      </w:r>
      <w:r w:rsidRPr="006D0FF9">
        <w:rPr>
          <w:rFonts w:ascii="Times New Roman" w:hAnsi="Times New Roman" w:cs="Times New Roman"/>
        </w:rPr>
        <w:t xml:space="preserve">Aphid populations decreased after insecticides were applied under all treatments compared to controls except for plots sprayed with only a pyrethroid. </w:t>
      </w:r>
    </w:p>
    <w:p w14:paraId="4177AF77" w14:textId="77777777" w:rsidR="00C335D6" w:rsidRPr="006D0FF9" w:rsidRDefault="006548E0" w:rsidP="006548E0">
      <w:pPr>
        <w:ind w:firstLine="720"/>
        <w:rPr>
          <w:rFonts w:ascii="Times New Roman" w:hAnsi="Times New Roman" w:cs="Times New Roman"/>
        </w:rPr>
      </w:pPr>
      <w:r w:rsidRPr="006D0FF9">
        <w:rPr>
          <w:rFonts w:ascii="Times New Roman" w:hAnsi="Times New Roman" w:cs="Times New Roman"/>
        </w:rPr>
        <w:t xml:space="preserve">The aphid population at the Northwest research farm did not reach 250 aphids per plant by August, 2023. We decided to apply the foliar insecticides during the second week of August. This allowed us to assess the aphid population in the experimental units before and after the foliar application of insecticide. </w:t>
      </w:r>
      <w:r w:rsidRPr="006D0FF9">
        <w:rPr>
          <w:rFonts w:ascii="Times New Roman" w:hAnsi="Times New Roman" w:cs="Times New Roman"/>
        </w:rPr>
        <w:t xml:space="preserve"> </w:t>
      </w:r>
    </w:p>
    <w:p w14:paraId="279343B8" w14:textId="77777777" w:rsidR="00C335D6" w:rsidRPr="006D0FF9" w:rsidRDefault="00C335D6" w:rsidP="006548E0">
      <w:pPr>
        <w:ind w:firstLine="720"/>
        <w:rPr>
          <w:rFonts w:ascii="Times New Roman" w:hAnsi="Times New Roman" w:cs="Times New Roman"/>
        </w:rPr>
      </w:pPr>
      <w:r w:rsidRPr="006D0FF9">
        <w:rPr>
          <w:rFonts w:ascii="Times New Roman" w:hAnsi="Times New Roman" w:cs="Times New Roman"/>
        </w:rPr>
        <w:t>Genotyping of a subset of aphids (n = 846) collected before and after insecticide applications showed that ~99% across both time</w:t>
      </w:r>
      <w:r w:rsidRPr="006D0FF9">
        <w:rPr>
          <w:rFonts w:ascii="Times New Roman" w:hAnsi="Times New Roman" w:cs="Times New Roman"/>
        </w:rPr>
        <w:t xml:space="preserve"> </w:t>
      </w:r>
      <w:r w:rsidRPr="006D0FF9">
        <w:rPr>
          <w:rFonts w:ascii="Times New Roman" w:hAnsi="Times New Roman" w:cs="Times New Roman"/>
        </w:rPr>
        <w:t xml:space="preserve">points had at least one </w:t>
      </w:r>
      <w:r w:rsidRPr="006D0FF9">
        <w:rPr>
          <w:rFonts w:ascii="Times New Roman" w:hAnsi="Times New Roman" w:cs="Times New Roman"/>
          <w:i/>
          <w:iCs/>
        </w:rPr>
        <w:t xml:space="preserve">vgsc-h1 </w:t>
      </w:r>
      <w:r w:rsidRPr="006D0FF9">
        <w:rPr>
          <w:rFonts w:ascii="Times New Roman" w:hAnsi="Times New Roman" w:cs="Times New Roman"/>
        </w:rPr>
        <w:t>mutation associated with pyrethroid resistance.</w:t>
      </w:r>
    </w:p>
    <w:p w14:paraId="5799BB5D" w14:textId="77777777" w:rsidR="006548E0" w:rsidRPr="006D0FF9" w:rsidRDefault="006548E0" w:rsidP="006548E0">
      <w:pPr>
        <w:ind w:firstLine="720"/>
        <w:rPr>
          <w:rFonts w:ascii="Times New Roman" w:hAnsi="Times New Roman" w:cs="Times New Roman"/>
        </w:rPr>
      </w:pPr>
      <w:r w:rsidRPr="006D0FF9">
        <w:rPr>
          <w:rFonts w:ascii="Times New Roman" w:hAnsi="Times New Roman" w:cs="Times New Roman"/>
        </w:rPr>
        <w:t>Aphid population significantly declined before and after the foliar insecticide was applied for the untreated control (</w:t>
      </w:r>
      <w:r w:rsidRPr="006D0FF9">
        <w:rPr>
          <w:rFonts w:ascii="Times New Roman" w:hAnsi="Times New Roman" w:cs="Times New Roman"/>
          <w:i/>
          <w:iCs/>
        </w:rPr>
        <w:t xml:space="preserve">p </w:t>
      </w:r>
      <w:r w:rsidRPr="006D0FF9">
        <w:rPr>
          <w:rFonts w:ascii="Times New Roman" w:hAnsi="Times New Roman" w:cs="Times New Roman"/>
        </w:rPr>
        <w:t>&lt; 0.001), both low (</w:t>
      </w:r>
      <w:r w:rsidRPr="006D0FF9">
        <w:rPr>
          <w:rFonts w:ascii="Times New Roman" w:hAnsi="Times New Roman" w:cs="Times New Roman"/>
          <w:i/>
          <w:iCs/>
        </w:rPr>
        <w:t xml:space="preserve">p </w:t>
      </w:r>
      <w:r w:rsidRPr="006D0FF9">
        <w:rPr>
          <w:rFonts w:ascii="Times New Roman" w:hAnsi="Times New Roman" w:cs="Times New Roman"/>
        </w:rPr>
        <w:t>= 0.015) and high (</w:t>
      </w:r>
      <w:r w:rsidRPr="006D0FF9">
        <w:rPr>
          <w:rFonts w:ascii="Times New Roman" w:hAnsi="Times New Roman" w:cs="Times New Roman"/>
          <w:i/>
          <w:iCs/>
        </w:rPr>
        <w:t xml:space="preserve">p </w:t>
      </w:r>
      <w:r w:rsidRPr="006D0FF9">
        <w:rPr>
          <w:rFonts w:ascii="Times New Roman" w:hAnsi="Times New Roman" w:cs="Times New Roman"/>
        </w:rPr>
        <w:t>&lt; 0.001) rates of PQZ, as well as the TMX seed treatment (</w:t>
      </w:r>
      <w:r w:rsidRPr="006D0FF9">
        <w:rPr>
          <w:rFonts w:ascii="Times New Roman" w:hAnsi="Times New Roman" w:cs="Times New Roman"/>
          <w:i/>
          <w:iCs/>
        </w:rPr>
        <w:t xml:space="preserve">p </w:t>
      </w:r>
      <w:r w:rsidRPr="006D0FF9">
        <w:rPr>
          <w:rFonts w:ascii="Times New Roman" w:hAnsi="Times New Roman" w:cs="Times New Roman"/>
        </w:rPr>
        <w:t>= 0.007)</w:t>
      </w:r>
      <w:r w:rsidR="00C335D6" w:rsidRPr="006D0FF9">
        <w:rPr>
          <w:rFonts w:ascii="Times New Roman" w:hAnsi="Times New Roman" w:cs="Times New Roman"/>
        </w:rPr>
        <w:t xml:space="preserve"> (Figure 1)</w:t>
      </w:r>
      <w:r w:rsidRPr="006D0FF9">
        <w:rPr>
          <w:rFonts w:ascii="Times New Roman" w:hAnsi="Times New Roman" w:cs="Times New Roman"/>
        </w:rPr>
        <w:t>. When thiamethoxam was applied with λ-cyhalothrin to foliage, we observed a significant decrease between the time points (</w:t>
      </w:r>
      <w:r w:rsidRPr="006D0FF9">
        <w:rPr>
          <w:rFonts w:ascii="Times New Roman" w:hAnsi="Times New Roman" w:cs="Times New Roman"/>
          <w:i/>
          <w:iCs/>
        </w:rPr>
        <w:t xml:space="preserve">p </w:t>
      </w:r>
      <w:r w:rsidRPr="006D0FF9">
        <w:rPr>
          <w:rFonts w:ascii="Times New Roman" w:hAnsi="Times New Roman" w:cs="Times New Roman"/>
        </w:rPr>
        <w:t>&lt; 0.001); however when plots planted with TMX-treated seed were later sprayed with λ-cyhalothrin, we did not observe a significant difference between the two time points (</w:t>
      </w:r>
      <w:r w:rsidRPr="006D0FF9">
        <w:rPr>
          <w:rFonts w:ascii="Times New Roman" w:hAnsi="Times New Roman" w:cs="Times New Roman"/>
          <w:i/>
          <w:iCs/>
        </w:rPr>
        <w:t xml:space="preserve">p </w:t>
      </w:r>
      <w:r w:rsidRPr="006D0FF9">
        <w:rPr>
          <w:rFonts w:ascii="Times New Roman" w:hAnsi="Times New Roman" w:cs="Times New Roman"/>
        </w:rPr>
        <w:t>= 0.335). Plots sprayed with λ-cyhalothrin were the only ones to experience a significant increase in aphid population (</w:t>
      </w:r>
      <w:r w:rsidRPr="006D0FF9">
        <w:rPr>
          <w:rFonts w:ascii="Times New Roman" w:hAnsi="Times New Roman" w:cs="Times New Roman"/>
          <w:i/>
          <w:iCs/>
        </w:rPr>
        <w:t xml:space="preserve">p </w:t>
      </w:r>
      <w:r w:rsidRPr="006D0FF9">
        <w:rPr>
          <w:rFonts w:ascii="Times New Roman" w:hAnsi="Times New Roman" w:cs="Times New Roman"/>
        </w:rPr>
        <w:t>= 0.0236) between the two time points.</w:t>
      </w:r>
    </w:p>
    <w:p w14:paraId="3FB5D09A" w14:textId="77777777" w:rsidR="006548E0" w:rsidRPr="006D0FF9" w:rsidRDefault="006548E0" w:rsidP="00CC1423">
      <w:pPr>
        <w:rPr>
          <w:rFonts w:ascii="Times New Roman" w:hAnsi="Times New Roman" w:cs="Times New Roman"/>
        </w:rPr>
      </w:pPr>
    </w:p>
    <w:p w14:paraId="3D107A6A" w14:textId="77777777" w:rsidR="006548E0" w:rsidRPr="006D0FF9" w:rsidRDefault="006548E0" w:rsidP="00CC1423">
      <w:pPr>
        <w:rPr>
          <w:rFonts w:ascii="Times New Roman" w:hAnsi="Times New Roman" w:cs="Times New Roman"/>
        </w:rPr>
      </w:pPr>
      <w:r w:rsidRPr="006D0FF9">
        <w:rPr>
          <w:rFonts w:ascii="Times New Roman" w:hAnsi="Times New Roman" w:cs="Times New Roman"/>
          <w:noProof/>
        </w:rPr>
        <w:lastRenderedPageBreak/>
        <mc:AlternateContent>
          <mc:Choice Requires="wpg">
            <w:drawing>
              <wp:anchor distT="0" distB="0" distL="114300" distR="114300" simplePos="0" relativeHeight="251659264" behindDoc="0" locked="0" layoutInCell="1" allowOverlap="1" wp14:anchorId="5A3BB7C2" wp14:editId="40058344">
                <wp:simplePos x="0" y="0"/>
                <wp:positionH relativeFrom="page">
                  <wp:posOffset>1846613</wp:posOffset>
                </wp:positionH>
                <wp:positionV relativeFrom="paragraph">
                  <wp:posOffset>178130</wp:posOffset>
                </wp:positionV>
                <wp:extent cx="4982209" cy="2924809"/>
                <wp:effectExtent l="0" t="0" r="0" b="0"/>
                <wp:wrapNone/>
                <wp:docPr id="1" name="Group 1"/>
                <wp:cNvGraphicFramePr/>
                <a:graphic xmlns:a="http://schemas.openxmlformats.org/drawingml/2006/main">
                  <a:graphicData uri="http://schemas.microsoft.com/office/word/2010/wordprocessingGroup">
                    <wpg:wgp>
                      <wpg:cNvGrpSpPr/>
                      <wpg:grpSpPr>
                        <a:xfrm>
                          <a:off x="0" y="0"/>
                          <a:ext cx="4982209" cy="2924809"/>
                          <a:chOff x="-171450" y="-19050"/>
                          <a:chExt cx="4982209" cy="2924809"/>
                        </a:xfrm>
                      </wpg:grpSpPr>
                      <wps:wsp>
                        <wps:cNvPr id="217" name="Text Box 2"/>
                        <wps:cNvSpPr txBox="1">
                          <a:spLocks noChangeArrowheads="1"/>
                        </wps:cNvSpPr>
                        <wps:spPr bwMode="auto">
                          <a:xfrm>
                            <a:off x="-171450" y="-19050"/>
                            <a:ext cx="572134" cy="486409"/>
                          </a:xfrm>
                          <a:prstGeom prst="rect">
                            <a:avLst/>
                          </a:prstGeom>
                          <a:noFill/>
                          <a:ln w="9525">
                            <a:noFill/>
                            <a:miter lim="800000"/>
                            <a:headEnd/>
                            <a:tailEnd/>
                          </a:ln>
                        </wps:spPr>
                        <wps:txbx>
                          <w:txbxContent>
                            <w:p w14:paraId="4CE352A9" w14:textId="77777777" w:rsidR="006548E0" w:rsidRPr="00515FED" w:rsidRDefault="006548E0" w:rsidP="006548E0">
                              <w:pPr>
                                <w:rPr>
                                  <w:rFonts w:ascii="Times New Roman" w:hAnsi="Times New Roman" w:cs="Times New Roman"/>
                                  <w:b/>
                                  <w:bCs/>
                                  <w:color w:val="000000" w:themeColor="text1"/>
                                  <w:sz w:val="36"/>
                                  <w:szCs w:val="36"/>
                                </w:rPr>
                              </w:pPr>
                              <w:r w:rsidRPr="00515FED">
                                <w:rPr>
                                  <w:rFonts w:ascii="Times New Roman" w:hAnsi="Times New Roman" w:cs="Times New Roman"/>
                                  <w:b/>
                                  <w:bCs/>
                                  <w:color w:val="000000" w:themeColor="text1"/>
                                  <w:sz w:val="36"/>
                                  <w:szCs w:val="36"/>
                                </w:rPr>
                                <w:t>***</w:t>
                              </w:r>
                            </w:p>
                          </w:txbxContent>
                        </wps:txbx>
                        <wps:bodyPr rot="0" vert="horz" wrap="square" lIns="91440" tIns="45720" rIns="91440" bIns="45720" anchor="t" anchorCtr="0">
                          <a:spAutoFit/>
                        </wps:bodyPr>
                      </wps:wsp>
                      <wps:wsp>
                        <wps:cNvPr id="1524850792" name="Text Box 2"/>
                        <wps:cNvSpPr txBox="1">
                          <a:spLocks noChangeArrowheads="1"/>
                        </wps:cNvSpPr>
                        <wps:spPr bwMode="auto">
                          <a:xfrm>
                            <a:off x="561975" y="2419350"/>
                            <a:ext cx="572134" cy="486409"/>
                          </a:xfrm>
                          <a:prstGeom prst="rect">
                            <a:avLst/>
                          </a:prstGeom>
                          <a:noFill/>
                          <a:ln w="9525">
                            <a:noFill/>
                            <a:miter lim="800000"/>
                            <a:headEnd/>
                            <a:tailEnd/>
                          </a:ln>
                        </wps:spPr>
                        <wps:txbx>
                          <w:txbxContent>
                            <w:p w14:paraId="00C1C054" w14:textId="77777777" w:rsidR="006548E0" w:rsidRPr="00515FED" w:rsidRDefault="006548E0" w:rsidP="006548E0">
                              <w:pPr>
                                <w:rPr>
                                  <w:rFonts w:ascii="Times New Roman" w:hAnsi="Times New Roman" w:cs="Times New Roman"/>
                                  <w:b/>
                                  <w:bCs/>
                                  <w:color w:val="000000" w:themeColor="text1"/>
                                  <w:sz w:val="36"/>
                                  <w:szCs w:val="36"/>
                                </w:rPr>
                              </w:pPr>
                              <w:r w:rsidRPr="00515FED">
                                <w:rPr>
                                  <w:rFonts w:ascii="Times New Roman" w:hAnsi="Times New Roman" w:cs="Times New Roman"/>
                                  <w:b/>
                                  <w:bCs/>
                                  <w:color w:val="000000" w:themeColor="text1"/>
                                  <w:sz w:val="36"/>
                                  <w:szCs w:val="36"/>
                                </w:rPr>
                                <w:t>**</w:t>
                              </w:r>
                            </w:p>
                          </w:txbxContent>
                        </wps:txbx>
                        <wps:bodyPr rot="0" vert="horz" wrap="square" lIns="91440" tIns="45720" rIns="91440" bIns="45720" anchor="t" anchorCtr="0">
                          <a:spAutoFit/>
                        </wps:bodyPr>
                      </wps:wsp>
                      <wps:wsp>
                        <wps:cNvPr id="1081173784" name="Text Box 2"/>
                        <wps:cNvSpPr txBox="1">
                          <a:spLocks noChangeArrowheads="1"/>
                        </wps:cNvSpPr>
                        <wps:spPr bwMode="auto">
                          <a:xfrm>
                            <a:off x="1162050" y="1390344"/>
                            <a:ext cx="572134" cy="486409"/>
                          </a:xfrm>
                          <a:prstGeom prst="rect">
                            <a:avLst/>
                          </a:prstGeom>
                          <a:noFill/>
                          <a:ln w="9525">
                            <a:noFill/>
                            <a:miter lim="800000"/>
                            <a:headEnd/>
                            <a:tailEnd/>
                          </a:ln>
                        </wps:spPr>
                        <wps:txbx>
                          <w:txbxContent>
                            <w:p w14:paraId="17E9FD82" w14:textId="77777777" w:rsidR="006548E0" w:rsidRPr="00515FED" w:rsidRDefault="006548E0" w:rsidP="006548E0">
                              <w:pPr>
                                <w:rPr>
                                  <w:rFonts w:ascii="Times New Roman" w:hAnsi="Times New Roman" w:cs="Times New Roman"/>
                                  <w:b/>
                                  <w:bCs/>
                                  <w:color w:val="000000" w:themeColor="text1"/>
                                  <w:sz w:val="36"/>
                                  <w:szCs w:val="36"/>
                                </w:rPr>
                              </w:pPr>
                              <w:r w:rsidRPr="00515FED">
                                <w:rPr>
                                  <w:rFonts w:ascii="Times New Roman" w:hAnsi="Times New Roman" w:cs="Times New Roman"/>
                                  <w:b/>
                                  <w:bCs/>
                                  <w:color w:val="000000" w:themeColor="text1"/>
                                  <w:sz w:val="36"/>
                                  <w:szCs w:val="36"/>
                                </w:rPr>
                                <w:t>***</w:t>
                              </w:r>
                            </w:p>
                          </w:txbxContent>
                        </wps:txbx>
                        <wps:bodyPr rot="0" vert="horz" wrap="square" lIns="91440" tIns="45720" rIns="91440" bIns="45720" anchor="t" anchorCtr="0">
                          <a:spAutoFit/>
                        </wps:bodyPr>
                      </wps:wsp>
                      <wps:wsp>
                        <wps:cNvPr id="1092130550" name="Text Box 2"/>
                        <wps:cNvSpPr txBox="1">
                          <a:spLocks noChangeArrowheads="1"/>
                        </wps:cNvSpPr>
                        <wps:spPr bwMode="auto">
                          <a:xfrm>
                            <a:off x="1885950" y="2247409"/>
                            <a:ext cx="572134" cy="486409"/>
                          </a:xfrm>
                          <a:prstGeom prst="rect">
                            <a:avLst/>
                          </a:prstGeom>
                          <a:noFill/>
                          <a:ln w="9525">
                            <a:noFill/>
                            <a:miter lim="800000"/>
                            <a:headEnd/>
                            <a:tailEnd/>
                          </a:ln>
                        </wps:spPr>
                        <wps:txbx>
                          <w:txbxContent>
                            <w:p w14:paraId="08BDF884" w14:textId="77777777" w:rsidR="006548E0" w:rsidRPr="00515FED" w:rsidRDefault="006548E0" w:rsidP="006548E0">
                              <w:pPr>
                                <w:rPr>
                                  <w:rFonts w:ascii="Times New Roman" w:hAnsi="Times New Roman" w:cs="Times New Roman"/>
                                  <w:b/>
                                  <w:bCs/>
                                  <w:color w:val="000000" w:themeColor="text1"/>
                                  <w:sz w:val="36"/>
                                  <w:szCs w:val="36"/>
                                </w:rPr>
                              </w:pPr>
                              <w:r w:rsidRPr="00515FED">
                                <w:rPr>
                                  <w:rFonts w:ascii="Times New Roman" w:hAnsi="Times New Roman" w:cs="Times New Roman"/>
                                  <w:b/>
                                  <w:bCs/>
                                  <w:color w:val="000000" w:themeColor="text1"/>
                                  <w:sz w:val="36"/>
                                  <w:szCs w:val="36"/>
                                </w:rPr>
                                <w:t>***</w:t>
                              </w:r>
                            </w:p>
                          </w:txbxContent>
                        </wps:txbx>
                        <wps:bodyPr rot="0" vert="horz" wrap="square" lIns="91440" tIns="45720" rIns="91440" bIns="45720" anchor="t" anchorCtr="0">
                          <a:spAutoFit/>
                        </wps:bodyPr>
                      </wps:wsp>
                      <wps:wsp>
                        <wps:cNvPr id="1209324661" name="Text Box 2"/>
                        <wps:cNvSpPr txBox="1">
                          <a:spLocks noChangeArrowheads="1"/>
                        </wps:cNvSpPr>
                        <wps:spPr bwMode="auto">
                          <a:xfrm>
                            <a:off x="3343275" y="2371207"/>
                            <a:ext cx="572134" cy="486409"/>
                          </a:xfrm>
                          <a:prstGeom prst="rect">
                            <a:avLst/>
                          </a:prstGeom>
                          <a:noFill/>
                          <a:ln w="9525">
                            <a:noFill/>
                            <a:miter lim="800000"/>
                            <a:headEnd/>
                            <a:tailEnd/>
                          </a:ln>
                        </wps:spPr>
                        <wps:txbx>
                          <w:txbxContent>
                            <w:p w14:paraId="6D16E872" w14:textId="77777777" w:rsidR="006548E0" w:rsidRPr="00515FED" w:rsidRDefault="006548E0" w:rsidP="006548E0">
                              <w:pPr>
                                <w:rPr>
                                  <w:rFonts w:ascii="Times New Roman" w:hAnsi="Times New Roman" w:cs="Times New Roman"/>
                                  <w:b/>
                                  <w:bCs/>
                                  <w:color w:val="000000" w:themeColor="text1"/>
                                  <w:sz w:val="36"/>
                                  <w:szCs w:val="36"/>
                                </w:rPr>
                              </w:pPr>
                              <w:r w:rsidRPr="00515FED">
                                <w:rPr>
                                  <w:rFonts w:ascii="Times New Roman" w:hAnsi="Times New Roman" w:cs="Times New Roman"/>
                                  <w:b/>
                                  <w:bCs/>
                                  <w:color w:val="000000" w:themeColor="text1"/>
                                  <w:sz w:val="36"/>
                                  <w:szCs w:val="36"/>
                                </w:rPr>
                                <w:t>***</w:t>
                              </w:r>
                            </w:p>
                          </w:txbxContent>
                        </wps:txbx>
                        <wps:bodyPr rot="0" vert="horz" wrap="square" lIns="91440" tIns="45720" rIns="91440" bIns="45720" anchor="t" anchorCtr="0">
                          <a:spAutoFit/>
                        </wps:bodyPr>
                      </wps:wsp>
                      <wps:wsp>
                        <wps:cNvPr id="236414077" name="Text Box 2"/>
                        <wps:cNvSpPr txBox="1">
                          <a:spLocks noChangeArrowheads="1"/>
                        </wps:cNvSpPr>
                        <wps:spPr bwMode="auto">
                          <a:xfrm>
                            <a:off x="4238625" y="1799831"/>
                            <a:ext cx="572134" cy="486409"/>
                          </a:xfrm>
                          <a:prstGeom prst="rect">
                            <a:avLst/>
                          </a:prstGeom>
                          <a:noFill/>
                          <a:ln w="9525">
                            <a:noFill/>
                            <a:miter lim="800000"/>
                            <a:headEnd/>
                            <a:tailEnd/>
                          </a:ln>
                        </wps:spPr>
                        <wps:txbx>
                          <w:txbxContent>
                            <w:p w14:paraId="12801EA7" w14:textId="77777777" w:rsidR="006548E0" w:rsidRPr="00515FED" w:rsidRDefault="006548E0" w:rsidP="006548E0">
                              <w:pPr>
                                <w:rPr>
                                  <w:rFonts w:ascii="Times New Roman" w:hAnsi="Times New Roman" w:cs="Times New Roman"/>
                                  <w:b/>
                                  <w:bCs/>
                                  <w:color w:val="000000" w:themeColor="text1"/>
                                  <w:sz w:val="36"/>
                                  <w:szCs w:val="36"/>
                                </w:rPr>
                              </w:pPr>
                              <w:r w:rsidRPr="00515FED">
                                <w:rPr>
                                  <w:rFonts w:ascii="Times New Roman" w:hAnsi="Times New Roman" w:cs="Times New Roman"/>
                                  <w:b/>
                                  <w:bCs/>
                                  <w:color w:val="000000" w:themeColor="text1"/>
                                  <w:sz w:val="36"/>
                                  <w:szCs w:val="36"/>
                                </w:rPr>
                                <w:t>*</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5A3BB7C2" id="Group 1" o:spid="_x0000_s1026" style="position:absolute;margin-left:145.4pt;margin-top:14.05pt;width:392.3pt;height:230.3pt;z-index:251659264;mso-position-horizontal-relative:page;mso-height-relative:margin" coordorigin="-1714,-190" coordsize="49822,29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">
                <v:shapetype id="_x0000_t202" coordsize="21600,21600" o:spt="202" path="m,l,21600r21600,l21600,xe">
                  <v:stroke joinstyle="miter"/>
                  <v:path gradientshapeok="t" o:connecttype="rect"/>
                </v:shapetype>
                <v:shape id="Text Box 2" o:spid="_x0000_s1027" type="#_x0000_t202" style="position:absolute;left:-1714;top:-190;width:5720;height:4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4CE352A9" w14:textId="77777777" w:rsidR="006548E0" w:rsidRPr="00515FED" w:rsidRDefault="006548E0" w:rsidP="006548E0">
                        <w:pPr>
                          <w:rPr>
                            <w:rFonts w:ascii="Times New Roman" w:hAnsi="Times New Roman" w:cs="Times New Roman"/>
                            <w:b/>
                            <w:bCs/>
                            <w:color w:val="000000" w:themeColor="text1"/>
                            <w:sz w:val="36"/>
                            <w:szCs w:val="36"/>
                          </w:rPr>
                        </w:pPr>
                        <w:r w:rsidRPr="00515FED">
                          <w:rPr>
                            <w:rFonts w:ascii="Times New Roman" w:hAnsi="Times New Roman" w:cs="Times New Roman"/>
                            <w:b/>
                            <w:bCs/>
                            <w:color w:val="000000" w:themeColor="text1"/>
                            <w:sz w:val="36"/>
                            <w:szCs w:val="36"/>
                          </w:rPr>
                          <w:t>***</w:t>
                        </w:r>
                      </w:p>
                    </w:txbxContent>
                  </v:textbox>
                </v:shape>
                <v:shape id="Text Box 2" o:spid="_x0000_s1028" type="#_x0000_t202" style="position:absolute;left:5619;top:24193;width:5722;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" filled="f" stroked="f">
                  <v:textbox style="mso-fit-shape-to-text:t">
                    <w:txbxContent>
                      <w:p w14:paraId="00C1C054" w14:textId="77777777" w:rsidR="006548E0" w:rsidRPr="00515FED" w:rsidRDefault="006548E0" w:rsidP="006548E0">
                        <w:pPr>
                          <w:rPr>
                            <w:rFonts w:ascii="Times New Roman" w:hAnsi="Times New Roman" w:cs="Times New Roman"/>
                            <w:b/>
                            <w:bCs/>
                            <w:color w:val="000000" w:themeColor="text1"/>
                            <w:sz w:val="36"/>
                            <w:szCs w:val="36"/>
                          </w:rPr>
                        </w:pPr>
                        <w:r w:rsidRPr="00515FED">
                          <w:rPr>
                            <w:rFonts w:ascii="Times New Roman" w:hAnsi="Times New Roman" w:cs="Times New Roman"/>
                            <w:b/>
                            <w:bCs/>
                            <w:color w:val="000000" w:themeColor="text1"/>
                            <w:sz w:val="36"/>
                            <w:szCs w:val="36"/>
                          </w:rPr>
                          <w:t>**</w:t>
                        </w:r>
                      </w:p>
                    </w:txbxContent>
                  </v:textbox>
                </v:shape>
                <v:shape id="Text Box 2" o:spid="_x0000_s1029" type="#_x0000_t202" style="position:absolute;left:11620;top:13903;width:5721;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" filled="f" stroked="f">
                  <v:textbox style="mso-fit-shape-to-text:t">
                    <w:txbxContent>
                      <w:p w14:paraId="17E9FD82" w14:textId="77777777" w:rsidR="006548E0" w:rsidRPr="00515FED" w:rsidRDefault="006548E0" w:rsidP="006548E0">
                        <w:pPr>
                          <w:rPr>
                            <w:rFonts w:ascii="Times New Roman" w:hAnsi="Times New Roman" w:cs="Times New Roman"/>
                            <w:b/>
                            <w:bCs/>
                            <w:color w:val="000000" w:themeColor="text1"/>
                            <w:sz w:val="36"/>
                            <w:szCs w:val="36"/>
                          </w:rPr>
                        </w:pPr>
                        <w:r w:rsidRPr="00515FED">
                          <w:rPr>
                            <w:rFonts w:ascii="Times New Roman" w:hAnsi="Times New Roman" w:cs="Times New Roman"/>
                            <w:b/>
                            <w:bCs/>
                            <w:color w:val="000000" w:themeColor="text1"/>
                            <w:sz w:val="36"/>
                            <w:szCs w:val="36"/>
                          </w:rPr>
                          <w:t>***</w:t>
                        </w:r>
                      </w:p>
                    </w:txbxContent>
                  </v:textbox>
                </v:shape>
                <v:shape id="Text Box 2" o:spid="_x0000_s1030" type="#_x0000_t202" style="position:absolute;left:18859;top:22474;width:5721;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" filled="f" stroked="f">
                  <v:textbox style="mso-fit-shape-to-text:t">
                    <w:txbxContent>
                      <w:p w14:paraId="08BDF884" w14:textId="77777777" w:rsidR="006548E0" w:rsidRPr="00515FED" w:rsidRDefault="006548E0" w:rsidP="006548E0">
                        <w:pPr>
                          <w:rPr>
                            <w:rFonts w:ascii="Times New Roman" w:hAnsi="Times New Roman" w:cs="Times New Roman"/>
                            <w:b/>
                            <w:bCs/>
                            <w:color w:val="000000" w:themeColor="text1"/>
                            <w:sz w:val="36"/>
                            <w:szCs w:val="36"/>
                          </w:rPr>
                        </w:pPr>
                        <w:r w:rsidRPr="00515FED">
                          <w:rPr>
                            <w:rFonts w:ascii="Times New Roman" w:hAnsi="Times New Roman" w:cs="Times New Roman"/>
                            <w:b/>
                            <w:bCs/>
                            <w:color w:val="000000" w:themeColor="text1"/>
                            <w:sz w:val="36"/>
                            <w:szCs w:val="36"/>
                          </w:rPr>
                          <w:t>***</w:t>
                        </w:r>
                      </w:p>
                    </w:txbxContent>
                  </v:textbox>
                </v:shape>
                <v:shape id="Text Box 2" o:spid="_x0000_s1031" type="#_x0000_t202" style="position:absolute;left:33432;top:23712;width:5722;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" filled="f" stroked="f">
                  <v:textbox style="mso-fit-shape-to-text:t">
                    <w:txbxContent>
                      <w:p w14:paraId="6D16E872" w14:textId="77777777" w:rsidR="006548E0" w:rsidRPr="00515FED" w:rsidRDefault="006548E0" w:rsidP="006548E0">
                        <w:pPr>
                          <w:rPr>
                            <w:rFonts w:ascii="Times New Roman" w:hAnsi="Times New Roman" w:cs="Times New Roman"/>
                            <w:b/>
                            <w:bCs/>
                            <w:color w:val="000000" w:themeColor="text1"/>
                            <w:sz w:val="36"/>
                            <w:szCs w:val="36"/>
                          </w:rPr>
                        </w:pPr>
                        <w:r w:rsidRPr="00515FED">
                          <w:rPr>
                            <w:rFonts w:ascii="Times New Roman" w:hAnsi="Times New Roman" w:cs="Times New Roman"/>
                            <w:b/>
                            <w:bCs/>
                            <w:color w:val="000000" w:themeColor="text1"/>
                            <w:sz w:val="36"/>
                            <w:szCs w:val="36"/>
                          </w:rPr>
                          <w:t>***</w:t>
                        </w:r>
                      </w:p>
                    </w:txbxContent>
                  </v:textbox>
                </v:shape>
                <v:shape id="Text Box 2" o:spid="_x0000_s1032" type="#_x0000_t202" style="position:absolute;left:42386;top:17998;width:5721;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" filled="f" stroked="f">
                  <v:textbox style="mso-fit-shape-to-text:t">
                    <w:txbxContent>
                      <w:p w14:paraId="12801EA7" w14:textId="77777777" w:rsidR="006548E0" w:rsidRPr="00515FED" w:rsidRDefault="006548E0" w:rsidP="006548E0">
                        <w:pPr>
                          <w:rPr>
                            <w:rFonts w:ascii="Times New Roman" w:hAnsi="Times New Roman" w:cs="Times New Roman"/>
                            <w:b/>
                            <w:bCs/>
                            <w:color w:val="000000" w:themeColor="text1"/>
                            <w:sz w:val="36"/>
                            <w:szCs w:val="36"/>
                          </w:rPr>
                        </w:pPr>
                        <w:r w:rsidRPr="00515FED">
                          <w:rPr>
                            <w:rFonts w:ascii="Times New Roman" w:hAnsi="Times New Roman" w:cs="Times New Roman"/>
                            <w:b/>
                            <w:bCs/>
                            <w:color w:val="000000" w:themeColor="text1"/>
                            <w:sz w:val="36"/>
                            <w:szCs w:val="36"/>
                          </w:rPr>
                          <w:t>*</w:t>
                        </w:r>
                      </w:p>
                    </w:txbxContent>
                  </v:textbox>
                </v:shape>
                <w10:wrap anchorx="page"/>
              </v:group>
            </w:pict>
          </mc:Fallback>
        </mc:AlternateContent>
      </w:r>
      <w:r w:rsidRPr="006D0FF9">
        <w:rPr>
          <w:rFonts w:ascii="Times New Roman" w:hAnsi="Times New Roman" w:cs="Times New Roman"/>
          <w:noProof/>
        </w:rPr>
        <w:drawing>
          <wp:inline distT="0" distB="0" distL="0" distR="0" wp14:anchorId="2E898FDC" wp14:editId="6E60C1B0">
            <wp:extent cx="5943600" cy="5490845"/>
            <wp:effectExtent l="0" t="0" r="0" b="14605"/>
            <wp:docPr id="896200120" name="Chart 1">
              <a:extLst xmlns:a="http://schemas.openxmlformats.org/drawingml/2006/main">
                <a:ext uri="{FF2B5EF4-FFF2-40B4-BE49-F238E27FC236}">
                  <a16:creationId xmlns:a16="http://schemas.microsoft.com/office/drawing/2014/main" id="{31D73B2C-6906-40C2-9D4B-1279D0FC9F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C34FF83" w14:textId="77777777" w:rsidR="006548E0" w:rsidRPr="006D0FF9" w:rsidRDefault="006548E0" w:rsidP="006548E0">
      <w:pPr>
        <w:pStyle w:val="Caption"/>
        <w:rPr>
          <w:rFonts w:ascii="Times New Roman" w:hAnsi="Times New Roman" w:cs="Times New Roman"/>
          <w:i w:val="0"/>
          <w:iCs w:val="0"/>
          <w:color w:val="000000" w:themeColor="text1"/>
          <w:sz w:val="24"/>
          <w:szCs w:val="24"/>
        </w:rPr>
      </w:pPr>
      <w:r w:rsidRPr="006D0FF9">
        <w:rPr>
          <w:rFonts w:ascii="Times New Roman" w:hAnsi="Times New Roman" w:cs="Times New Roman"/>
          <w:b/>
          <w:bCs/>
          <w:i w:val="0"/>
          <w:iCs w:val="0"/>
          <w:color w:val="000000" w:themeColor="text1"/>
          <w:sz w:val="24"/>
          <w:szCs w:val="24"/>
        </w:rPr>
        <w:t>Figure 1</w:t>
      </w:r>
      <w:r w:rsidRPr="006D0FF9">
        <w:rPr>
          <w:rFonts w:ascii="Times New Roman" w:hAnsi="Times New Roman" w:cs="Times New Roman"/>
          <w:i w:val="0"/>
          <w:iCs w:val="0"/>
          <w:color w:val="000000" w:themeColor="text1"/>
          <w:sz w:val="24"/>
          <w:szCs w:val="24"/>
        </w:rPr>
        <w:t>. Mean aphids per plant estimated before and after a insecticides were applied to foliage on August 16</w:t>
      </w:r>
      <w:r w:rsidRPr="006D0FF9">
        <w:rPr>
          <w:rFonts w:ascii="Times New Roman" w:hAnsi="Times New Roman" w:cs="Times New Roman"/>
          <w:i w:val="0"/>
          <w:iCs w:val="0"/>
          <w:color w:val="000000" w:themeColor="text1"/>
          <w:sz w:val="24"/>
          <w:szCs w:val="24"/>
          <w:vertAlign w:val="superscript"/>
        </w:rPr>
        <w:t>th</w:t>
      </w:r>
      <w:r w:rsidRPr="006D0FF9">
        <w:rPr>
          <w:rFonts w:ascii="Times New Roman" w:hAnsi="Times New Roman" w:cs="Times New Roman"/>
          <w:i w:val="0"/>
          <w:iCs w:val="0"/>
          <w:color w:val="000000" w:themeColor="text1"/>
          <w:sz w:val="24"/>
          <w:szCs w:val="24"/>
        </w:rPr>
        <w:t xml:space="preserve">, 2023, at the Northwest Iowa Research Farm. Gray and striped bars represent the estimate before (August, 7, 2023), and after (August 24, 2023) insecticides were applied. Treatments include thiamethoxam (TMX) in both seed-applied (ST) and foliar-applied (FS) forms, two rates of pyrifluquinazon (PQZ), and lambda-cyhalothrin (λ-cy). Differences within a treatment were determined using a paired t-test. Means that are significantly different from each other are noted with “*” representing a p-value of less than 0.05, “**” less than 0.01, and “***” less than 0.001. </w:t>
      </w:r>
    </w:p>
    <w:p w14:paraId="583B179C" w14:textId="77777777" w:rsidR="006548E0" w:rsidRPr="006D0FF9" w:rsidRDefault="006548E0" w:rsidP="00CC1423">
      <w:pPr>
        <w:rPr>
          <w:rFonts w:ascii="Times New Roman" w:hAnsi="Times New Roman" w:cs="Times New Roman"/>
        </w:rPr>
      </w:pPr>
    </w:p>
    <w:p w14:paraId="6E059F66" w14:textId="77777777" w:rsidR="00C335D6" w:rsidRPr="006D0FF9" w:rsidRDefault="006548E0" w:rsidP="00CC1423">
      <w:pPr>
        <w:rPr>
          <w:rFonts w:ascii="Times New Roman" w:hAnsi="Times New Roman" w:cs="Times New Roman"/>
        </w:rPr>
      </w:pPr>
      <w:r w:rsidRPr="006D0FF9">
        <w:rPr>
          <w:rFonts w:ascii="Times New Roman" w:hAnsi="Times New Roman" w:cs="Times New Roman"/>
        </w:rPr>
        <w:t>I</w:t>
      </w:r>
      <w:r w:rsidR="00450CCB" w:rsidRPr="006D0FF9">
        <w:rPr>
          <w:rFonts w:ascii="Times New Roman" w:hAnsi="Times New Roman" w:cs="Times New Roman"/>
        </w:rPr>
        <w:t xml:space="preserve">ncreases in aphid populations following the application of a pyrethroid is likely due to both a loss of efficacy on this pest but also a disruption of arthropod-based biological control. </w:t>
      </w:r>
    </w:p>
    <w:p w14:paraId="68C10330" w14:textId="77777777" w:rsidR="00450CCB" w:rsidRPr="006D0FF9" w:rsidRDefault="00450CCB" w:rsidP="00CC1423">
      <w:pPr>
        <w:rPr>
          <w:rFonts w:ascii="Times New Roman" w:hAnsi="Times New Roman" w:cs="Times New Roman"/>
        </w:rPr>
      </w:pPr>
      <w:r w:rsidRPr="006D0FF9">
        <w:rPr>
          <w:rFonts w:ascii="Times New Roman" w:hAnsi="Times New Roman" w:cs="Times New Roman"/>
        </w:rPr>
        <w:t xml:space="preserve">Combined, these </w:t>
      </w:r>
      <w:r w:rsidR="00C335D6" w:rsidRPr="006D0FF9">
        <w:rPr>
          <w:rFonts w:ascii="Times New Roman" w:hAnsi="Times New Roman" w:cs="Times New Roman"/>
        </w:rPr>
        <w:t xml:space="preserve">data </w:t>
      </w:r>
      <w:r w:rsidRPr="006D0FF9">
        <w:rPr>
          <w:rFonts w:ascii="Times New Roman" w:hAnsi="Times New Roman" w:cs="Times New Roman"/>
        </w:rPr>
        <w:t>indicate that pyrethroid resistance in soybean aphid is an important consideration when determining how to manage outbreaks.</w:t>
      </w:r>
    </w:p>
    <w:p w14:paraId="4FA44172" w14:textId="77777777" w:rsidR="00CC1423" w:rsidRPr="006D0FF9" w:rsidRDefault="00FB50CF" w:rsidP="00CC1423">
      <w:pPr>
        <w:rPr>
          <w:rFonts w:ascii="Times New Roman" w:hAnsi="Times New Roman" w:cs="Times New Roman"/>
          <w:b/>
        </w:rPr>
      </w:pPr>
      <w:r w:rsidRPr="006D0FF9">
        <w:rPr>
          <w:rFonts w:ascii="Times New Roman" w:hAnsi="Times New Roman" w:cs="Times New Roman"/>
          <w:b/>
        </w:rPr>
        <w:lastRenderedPageBreak/>
        <w:t xml:space="preserve">Objective 2- </w:t>
      </w:r>
    </w:p>
    <w:p w14:paraId="6B6F99AA" w14:textId="77777777" w:rsidR="00CC1423" w:rsidRPr="006D0FF9" w:rsidRDefault="00C335D6" w:rsidP="00CC1423">
      <w:pPr>
        <w:rPr>
          <w:rFonts w:ascii="Times New Roman" w:eastAsia="Times New Roman" w:hAnsi="Times New Roman" w:cs="Times New Roman"/>
          <w:sz w:val="24"/>
          <w:szCs w:val="24"/>
        </w:rPr>
      </w:pPr>
      <w:r w:rsidRPr="006D0FF9">
        <w:rPr>
          <w:rFonts w:ascii="Times New Roman" w:hAnsi="Times New Roman" w:cs="Times New Roman"/>
        </w:rPr>
        <w:t>Using results in objective 1, we identified the most common mutations contributing to pyrethroid resistance in the soybean aphid. We created dsRNA that target these mutations, when applied to soybean aphids can silence the resistance genes.  The experiments demonstrating this were compiled in a patent application by the Iowa State Research foundation (ISURF) (</w:t>
      </w:r>
      <w:r w:rsidR="00CC1423" w:rsidRPr="006D0FF9">
        <w:rPr>
          <w:rFonts w:ascii="Times New Roman" w:hAnsi="Times New Roman" w:cs="Times New Roman"/>
        </w:rPr>
        <w:t>#05432 R2. O'Neal, M.E., Coates, B.S., I. Valmorbida, J. Arnemann. Compositions And Methods For Restoring Susceptibility To Pyrethroid insecticides In Resistant Populations</w:t>
      </w:r>
      <w:r w:rsidRPr="006D0FF9">
        <w:rPr>
          <w:rFonts w:ascii="Times New Roman" w:hAnsi="Times New Roman" w:cs="Times New Roman"/>
        </w:rPr>
        <w:t>)</w:t>
      </w:r>
      <w:r w:rsidR="00CC1423" w:rsidRPr="006D0FF9">
        <w:rPr>
          <w:rFonts w:ascii="Times New Roman" w:hAnsi="Times New Roman" w:cs="Times New Roman"/>
        </w:rPr>
        <w:t xml:space="preserve">. </w:t>
      </w:r>
      <w:r w:rsidRPr="006D0FF9">
        <w:rPr>
          <w:rFonts w:ascii="Times New Roman" w:hAnsi="Times New Roman" w:cs="Times New Roman"/>
        </w:rPr>
        <w:t>On May 28</w:t>
      </w:r>
      <w:r w:rsidRPr="006D0FF9">
        <w:rPr>
          <w:rFonts w:ascii="Times New Roman" w:hAnsi="Times New Roman" w:cs="Times New Roman"/>
          <w:vertAlign w:val="superscript"/>
        </w:rPr>
        <w:t>th</w:t>
      </w:r>
      <w:r w:rsidRPr="006D0FF9">
        <w:rPr>
          <w:rFonts w:ascii="Times New Roman" w:hAnsi="Times New Roman" w:cs="Times New Roman"/>
        </w:rPr>
        <w:t>, ISURF will complete records indicating</w:t>
      </w:r>
      <w:r w:rsidRPr="006D0FF9">
        <w:rPr>
          <w:rFonts w:ascii="Times New Roman" w:eastAsia="Times New Roman" w:hAnsi="Times New Roman" w:cs="Times New Roman"/>
          <w:sz w:val="24"/>
          <w:szCs w:val="24"/>
        </w:rPr>
        <w:t xml:space="preserve"> our ownership interest in the United States Patent and Trademark Office and puts third parties on notice of same.  </w:t>
      </w:r>
      <w:r w:rsidR="00CC1423" w:rsidRPr="006D0FF9">
        <w:rPr>
          <w:rFonts w:ascii="Times New Roman" w:hAnsi="Times New Roman" w:cs="Times New Roman"/>
        </w:rPr>
        <w:t>These filings are for the general technology that would address insecticide resistance by coupling RNAi that targets the resistant mutations, resulting in a return to the susceptible phenotype. Furthermore, this filing describes the a specific use of this technology for a key insect pest of soybeans that has developed resistance to the commonly used pyrethroids.</w:t>
      </w:r>
    </w:p>
    <w:p w14:paraId="3366F423" w14:textId="77777777" w:rsidR="00CC1423" w:rsidRPr="006D0FF9" w:rsidRDefault="00CC1423" w:rsidP="00CC1423">
      <w:pPr>
        <w:rPr>
          <w:rFonts w:ascii="Times New Roman" w:hAnsi="Times New Roman" w:cs="Times New Roman"/>
        </w:rPr>
      </w:pPr>
    </w:p>
    <w:p w14:paraId="0FB0B36A" w14:textId="77777777" w:rsidR="003657A3" w:rsidRPr="006D0FF9" w:rsidRDefault="00CC1423" w:rsidP="00CC1423">
      <w:pPr>
        <w:rPr>
          <w:rFonts w:ascii="Times New Roman" w:hAnsi="Times New Roman" w:cs="Times New Roman"/>
        </w:rPr>
      </w:pPr>
      <w:r w:rsidRPr="006D0FF9">
        <w:rPr>
          <w:rFonts w:ascii="Times New Roman" w:hAnsi="Times New Roman" w:cs="Times New Roman"/>
        </w:rPr>
        <w:t xml:space="preserve">Since this patent filing, we have reached out to Greenlight Biosciences a leading company that has produced the first </w:t>
      </w:r>
      <w:r w:rsidR="005366FD" w:rsidRPr="006D0FF9">
        <w:rPr>
          <w:rFonts w:ascii="Times New Roman" w:hAnsi="Times New Roman" w:cs="Times New Roman"/>
        </w:rPr>
        <w:t xml:space="preserve">dsRNA </w:t>
      </w:r>
      <w:r w:rsidRPr="006D0FF9">
        <w:rPr>
          <w:rFonts w:ascii="Times New Roman" w:hAnsi="Times New Roman" w:cs="Times New Roman"/>
        </w:rPr>
        <w:t>based insecticide for use on crops in the US</w:t>
      </w:r>
      <w:r w:rsidR="00D312D9" w:rsidRPr="006D0FF9">
        <w:rPr>
          <w:rFonts w:ascii="Times New Roman" w:hAnsi="Times New Roman" w:cs="Times New Roman"/>
        </w:rPr>
        <w:t xml:space="preserve"> </w:t>
      </w:r>
      <w:r w:rsidR="00D312D9" w:rsidRPr="006D0FF9">
        <w:rPr>
          <w:rFonts w:ascii="Times New Roman" w:hAnsi="Times New Roman" w:cs="Times New Roman"/>
        </w:rPr>
        <w:t>(https://</w:t>
      </w:r>
      <w:r w:rsidR="00D312D9" w:rsidRPr="006D0FF9">
        <w:rPr>
          <w:rFonts w:ascii="Times New Roman" w:hAnsi="Times New Roman" w:cs="Times New Roman"/>
        </w:rPr>
        <w:t>www.greenlightbiosciences.com/)</w:t>
      </w:r>
      <w:r w:rsidRPr="006D0FF9">
        <w:rPr>
          <w:rFonts w:ascii="Times New Roman" w:hAnsi="Times New Roman" w:cs="Times New Roman"/>
        </w:rPr>
        <w:t xml:space="preserve">.  </w:t>
      </w:r>
      <w:r w:rsidR="00D312D9" w:rsidRPr="006D0FF9">
        <w:rPr>
          <w:rFonts w:ascii="Times New Roman" w:hAnsi="Times New Roman" w:cs="Times New Roman"/>
        </w:rPr>
        <w:t xml:space="preserve">This interaction has resulted in an agreement </w:t>
      </w:r>
      <w:r w:rsidR="003657A3" w:rsidRPr="006D0FF9">
        <w:rPr>
          <w:rFonts w:ascii="Times New Roman" w:hAnsi="Times New Roman" w:cs="Times New Roman"/>
        </w:rPr>
        <w:t>to participate in future research that would lead to commercialization of a dsRNA-based insecticide for soybean aphids. This is part of our next proposal to the Iowa Soybean Association.</w:t>
      </w:r>
    </w:p>
    <w:p w14:paraId="08DFB50A" w14:textId="77777777" w:rsidR="00CC1423" w:rsidRPr="006D0FF9" w:rsidRDefault="00CC1423" w:rsidP="00CC1423">
      <w:pPr>
        <w:rPr>
          <w:rFonts w:ascii="Times New Roman" w:hAnsi="Times New Roman" w:cs="Times New Roman"/>
        </w:rPr>
      </w:pPr>
    </w:p>
    <w:p w14:paraId="0930F7B5" w14:textId="77777777" w:rsidR="00CC1423" w:rsidRPr="006D0FF9" w:rsidRDefault="00CC1423" w:rsidP="00CC1423">
      <w:pPr>
        <w:rPr>
          <w:rFonts w:ascii="Times New Roman" w:hAnsi="Times New Roman" w:cs="Times New Roman"/>
        </w:rPr>
      </w:pPr>
      <w:r w:rsidRPr="006D0FF9">
        <w:rPr>
          <w:rFonts w:ascii="Times New Roman" w:hAnsi="Times New Roman" w:cs="Times New Roman"/>
        </w:rPr>
        <w:t>Obj</w:t>
      </w:r>
      <w:r w:rsidR="00FB50CF" w:rsidRPr="006D0FF9">
        <w:rPr>
          <w:rFonts w:ascii="Times New Roman" w:hAnsi="Times New Roman" w:cs="Times New Roman"/>
        </w:rPr>
        <w:t>ective</w:t>
      </w:r>
      <w:r w:rsidRPr="006D0FF9">
        <w:rPr>
          <w:rFonts w:ascii="Times New Roman" w:hAnsi="Times New Roman" w:cs="Times New Roman"/>
        </w:rPr>
        <w:t xml:space="preserve"> 3</w:t>
      </w:r>
    </w:p>
    <w:p w14:paraId="369BA1A3" w14:textId="77777777" w:rsidR="00D55237" w:rsidRPr="006D0FF9" w:rsidRDefault="00D55237" w:rsidP="00CC1423">
      <w:pPr>
        <w:rPr>
          <w:rFonts w:ascii="Times New Roman" w:hAnsi="Times New Roman" w:cs="Times New Roman"/>
        </w:rPr>
      </w:pPr>
      <w:r w:rsidRPr="006D0FF9">
        <w:rPr>
          <w:rFonts w:ascii="Times New Roman" w:hAnsi="Times New Roman" w:cs="Times New Roman"/>
        </w:rPr>
        <w:t xml:space="preserve">We requested a no-cost extension to share these data into 2025.  This resulted in several timely presentations and documents that would get the word out about the </w:t>
      </w:r>
    </w:p>
    <w:p w14:paraId="0B94BD9D" w14:textId="77777777" w:rsidR="00CC1423" w:rsidRPr="006D0FF9" w:rsidRDefault="00CC1423" w:rsidP="00CC1423">
      <w:pPr>
        <w:rPr>
          <w:rFonts w:ascii="Times New Roman" w:hAnsi="Times New Roman" w:cs="Times New Roman"/>
        </w:rPr>
      </w:pPr>
      <w:r w:rsidRPr="006D0FF9">
        <w:rPr>
          <w:rFonts w:ascii="Times New Roman" w:hAnsi="Times New Roman" w:cs="Times New Roman"/>
        </w:rPr>
        <w:t>Final extension deliverables in 2025</w:t>
      </w:r>
    </w:p>
    <w:p w14:paraId="643AE9E1" w14:textId="77777777" w:rsidR="00CC1423" w:rsidRPr="006D0FF9" w:rsidRDefault="00CC1423" w:rsidP="00CC1423">
      <w:pPr>
        <w:rPr>
          <w:rFonts w:ascii="Times New Roman" w:hAnsi="Times New Roman" w:cs="Times New Roman"/>
        </w:rPr>
      </w:pPr>
      <w:r w:rsidRPr="006D0FF9">
        <w:rPr>
          <w:rFonts w:ascii="Times New Roman" w:hAnsi="Times New Roman" w:cs="Times New Roman"/>
        </w:rPr>
        <w:t>Hodgson, E. W., and A. Dean. Soybean aphid resistance sucks. Iowa State University Extension and Outreach CropsTV, January - March 2025</w:t>
      </w:r>
    </w:p>
    <w:p w14:paraId="432B3F45" w14:textId="77777777" w:rsidR="00CC1423" w:rsidRPr="006D0FF9" w:rsidRDefault="00CC1423" w:rsidP="00CC1423">
      <w:pPr>
        <w:rPr>
          <w:rFonts w:ascii="Times New Roman" w:hAnsi="Times New Roman" w:cs="Times New Roman"/>
        </w:rPr>
      </w:pPr>
    </w:p>
    <w:p w14:paraId="6D270E6F" w14:textId="77777777" w:rsidR="00CC1423" w:rsidRPr="006D0FF9" w:rsidRDefault="00CC1423" w:rsidP="00CC1423">
      <w:pPr>
        <w:rPr>
          <w:rFonts w:ascii="Times New Roman" w:hAnsi="Times New Roman" w:cs="Times New Roman"/>
        </w:rPr>
      </w:pPr>
      <w:r w:rsidRPr="006D0FF9">
        <w:rPr>
          <w:rFonts w:ascii="Times New Roman" w:hAnsi="Times New Roman" w:cs="Times New Roman"/>
        </w:rPr>
        <w:t xml:space="preserve">Hodgson, E. W., and A. Dean. Resistance is a sticky situation for soybean aphid. Iowa State University Extension and Outreach Crop Advantage Series Workshops. </w:t>
      </w:r>
    </w:p>
    <w:p w14:paraId="0E61A666" w14:textId="77777777" w:rsidR="00CC1423" w:rsidRPr="006D0FF9" w:rsidRDefault="00CC1423" w:rsidP="00CC1423">
      <w:pPr>
        <w:rPr>
          <w:rFonts w:ascii="Times New Roman" w:hAnsi="Times New Roman" w:cs="Times New Roman"/>
        </w:rPr>
      </w:pPr>
      <w:r w:rsidRPr="006D0FF9">
        <w:rPr>
          <w:rFonts w:ascii="Times New Roman" w:hAnsi="Times New Roman" w:cs="Times New Roman"/>
        </w:rPr>
        <w:tab/>
        <w:t>- Storm Lake, IA. [12 people] 2 January 2025</w:t>
      </w:r>
    </w:p>
    <w:p w14:paraId="53394416" w14:textId="77777777" w:rsidR="00CC1423" w:rsidRPr="006D0FF9" w:rsidRDefault="00CC1423" w:rsidP="00CC1423">
      <w:pPr>
        <w:rPr>
          <w:rFonts w:ascii="Times New Roman" w:hAnsi="Times New Roman" w:cs="Times New Roman"/>
        </w:rPr>
      </w:pPr>
      <w:r w:rsidRPr="006D0FF9">
        <w:rPr>
          <w:rFonts w:ascii="Times New Roman" w:hAnsi="Times New Roman" w:cs="Times New Roman"/>
        </w:rPr>
        <w:tab/>
        <w:t>- Sioux Center, IA. [7 people] 7 January 2025</w:t>
      </w:r>
    </w:p>
    <w:p w14:paraId="56F5E033" w14:textId="77777777" w:rsidR="00CC1423" w:rsidRPr="006D0FF9" w:rsidRDefault="00CC1423" w:rsidP="00CC1423">
      <w:pPr>
        <w:rPr>
          <w:rFonts w:ascii="Times New Roman" w:hAnsi="Times New Roman" w:cs="Times New Roman"/>
        </w:rPr>
      </w:pPr>
      <w:r w:rsidRPr="006D0FF9">
        <w:rPr>
          <w:rFonts w:ascii="Times New Roman" w:hAnsi="Times New Roman" w:cs="Times New Roman"/>
        </w:rPr>
        <w:tab/>
        <w:t>- Burlington, IA. [2 people] 9 January 2025</w:t>
      </w:r>
    </w:p>
    <w:p w14:paraId="31A6E70F" w14:textId="77777777" w:rsidR="00CC1423" w:rsidRPr="006D0FF9" w:rsidRDefault="00CC1423" w:rsidP="00CC1423">
      <w:pPr>
        <w:rPr>
          <w:rFonts w:ascii="Times New Roman" w:hAnsi="Times New Roman" w:cs="Times New Roman"/>
        </w:rPr>
      </w:pPr>
      <w:r w:rsidRPr="006D0FF9">
        <w:rPr>
          <w:rFonts w:ascii="Times New Roman" w:hAnsi="Times New Roman" w:cs="Times New Roman"/>
        </w:rPr>
        <w:tab/>
        <w:t>- Mason City, IA. [85 people] 10 January 2025</w:t>
      </w:r>
    </w:p>
    <w:p w14:paraId="6AFAFED1" w14:textId="77777777" w:rsidR="00CC1423" w:rsidRPr="006D0FF9" w:rsidRDefault="00CC1423" w:rsidP="00CC1423">
      <w:pPr>
        <w:rPr>
          <w:rFonts w:ascii="Times New Roman" w:hAnsi="Times New Roman" w:cs="Times New Roman"/>
        </w:rPr>
      </w:pPr>
      <w:r w:rsidRPr="006D0FF9">
        <w:rPr>
          <w:rFonts w:ascii="Times New Roman" w:hAnsi="Times New Roman" w:cs="Times New Roman"/>
        </w:rPr>
        <w:tab/>
        <w:t>- Waterloo, IA. [15 people] 16 January 2025</w:t>
      </w:r>
    </w:p>
    <w:p w14:paraId="3A0E85FF" w14:textId="77777777" w:rsidR="00CC1423" w:rsidRPr="006D0FF9" w:rsidRDefault="00CC1423" w:rsidP="00CC1423">
      <w:pPr>
        <w:rPr>
          <w:rFonts w:ascii="Times New Roman" w:hAnsi="Times New Roman" w:cs="Times New Roman"/>
        </w:rPr>
      </w:pPr>
      <w:r w:rsidRPr="006D0FF9">
        <w:rPr>
          <w:rFonts w:ascii="Times New Roman" w:hAnsi="Times New Roman" w:cs="Times New Roman"/>
        </w:rPr>
        <w:tab/>
        <w:t>- Okoboji, IA. [82 people] 14 January 2025</w:t>
      </w:r>
    </w:p>
    <w:p w14:paraId="5A375B08" w14:textId="77777777" w:rsidR="00CC1423" w:rsidRPr="006D0FF9" w:rsidRDefault="00CC1423" w:rsidP="00CC1423">
      <w:pPr>
        <w:rPr>
          <w:rFonts w:ascii="Times New Roman" w:hAnsi="Times New Roman" w:cs="Times New Roman"/>
        </w:rPr>
      </w:pPr>
      <w:r w:rsidRPr="006D0FF9">
        <w:rPr>
          <w:rFonts w:ascii="Times New Roman" w:hAnsi="Times New Roman" w:cs="Times New Roman"/>
        </w:rPr>
        <w:tab/>
        <w:t>- Davenport, IA. [8 people] 17 January 2025</w:t>
      </w:r>
    </w:p>
    <w:p w14:paraId="18AC221E" w14:textId="77777777" w:rsidR="00CC1423" w:rsidRPr="006D0FF9" w:rsidRDefault="00CC1423" w:rsidP="00CC1423">
      <w:pPr>
        <w:rPr>
          <w:rFonts w:ascii="Times New Roman" w:hAnsi="Times New Roman" w:cs="Times New Roman"/>
        </w:rPr>
      </w:pPr>
      <w:r w:rsidRPr="006D0FF9">
        <w:rPr>
          <w:rFonts w:ascii="Times New Roman" w:hAnsi="Times New Roman" w:cs="Times New Roman"/>
        </w:rPr>
        <w:tab/>
        <w:t>- Le Mars, IA. [35 people] 28 January 2025</w:t>
      </w:r>
    </w:p>
    <w:p w14:paraId="1EA59511" w14:textId="77777777" w:rsidR="00CC1423" w:rsidRPr="006548E0" w:rsidRDefault="00CC1423">
      <w:pPr>
        <w:rPr>
          <w:rFonts w:ascii="Times New Roman" w:hAnsi="Times New Roman" w:cs="Times New Roman"/>
        </w:rPr>
      </w:pPr>
      <w:r w:rsidRPr="006548E0">
        <w:rPr>
          <w:rFonts w:ascii="Times New Roman" w:hAnsi="Times New Roman" w:cs="Times New Roman"/>
        </w:rPr>
        <w:lastRenderedPageBreak/>
        <w:br w:type="page"/>
      </w:r>
    </w:p>
    <w:p w14:paraId="5154818B" w14:textId="77777777" w:rsidR="00CC1423" w:rsidRPr="006548E0" w:rsidRDefault="00816CF1" w:rsidP="00CC1423">
      <w:pPr>
        <w:rPr>
          <w:rFonts w:ascii="Times New Roman" w:hAnsi="Times New Roman" w:cs="Times New Roman"/>
        </w:rPr>
      </w:pPr>
      <w:r w:rsidRPr="006548E0">
        <w:rPr>
          <w:rFonts w:ascii="Times New Roman" w:hAnsi="Times New Roman" w:cs="Times New Roman"/>
        </w:rPr>
        <w:lastRenderedPageBreak/>
        <w:t>From the last progress report</w:t>
      </w:r>
    </w:p>
    <w:p w14:paraId="31FA9F91" w14:textId="77777777" w:rsidR="00816CF1" w:rsidRPr="006548E0" w:rsidRDefault="00816CF1" w:rsidP="00816CF1">
      <w:pPr>
        <w:rPr>
          <w:rFonts w:ascii="Times New Roman" w:hAnsi="Times New Roman" w:cs="Times New Roman"/>
        </w:rPr>
      </w:pPr>
      <w:r w:rsidRPr="006548E0">
        <w:rPr>
          <w:rFonts w:ascii="Times New Roman" w:hAnsi="Times New Roman" w:cs="Times New Roman"/>
        </w:rPr>
        <w:t>1. Tracking insecticide resistant soybean aphids:</w:t>
      </w:r>
    </w:p>
    <w:p w14:paraId="76C850FE" w14:textId="77777777" w:rsidR="00816CF1" w:rsidRPr="006548E0" w:rsidRDefault="00816CF1" w:rsidP="00816CF1">
      <w:pPr>
        <w:rPr>
          <w:rFonts w:ascii="Times New Roman" w:hAnsi="Times New Roman" w:cs="Times New Roman"/>
        </w:rPr>
      </w:pPr>
      <w:r w:rsidRPr="006548E0">
        <w:rPr>
          <w:rFonts w:ascii="Times New Roman" w:hAnsi="Times New Roman" w:cs="Times New Roman"/>
        </w:rPr>
        <w:t>To shorten a long story filled with a lot of data (described below), over 99% of the aphids captured in Iowa over a three year period had mutations that make them resistant to the most commonly used insecticides by soybean farmers. These aphids are present before insecticides are applied making those farmers using these insecticides at risk of yield loss in the future.</w:t>
      </w:r>
    </w:p>
    <w:p w14:paraId="7DD81FDF" w14:textId="77777777" w:rsidR="00816CF1" w:rsidRPr="006548E0" w:rsidRDefault="00816CF1" w:rsidP="00816CF1">
      <w:pPr>
        <w:rPr>
          <w:rFonts w:ascii="Times New Roman" w:hAnsi="Times New Roman" w:cs="Times New Roman"/>
        </w:rPr>
      </w:pPr>
    </w:p>
    <w:p w14:paraId="674BBB1A" w14:textId="77777777" w:rsidR="00816CF1" w:rsidRPr="006548E0" w:rsidRDefault="00816CF1" w:rsidP="00816CF1">
      <w:pPr>
        <w:rPr>
          <w:rFonts w:ascii="Times New Roman" w:hAnsi="Times New Roman" w:cs="Times New Roman"/>
        </w:rPr>
      </w:pPr>
      <w:r w:rsidRPr="006548E0">
        <w:rPr>
          <w:rFonts w:ascii="Times New Roman" w:hAnsi="Times New Roman" w:cs="Times New Roman"/>
        </w:rPr>
        <w:t xml:space="preserve">This level of resistance in a population is unlikely to be reversed. In other words, unless farmers switch to a different insecticide or use a different management strategy (like aphid-resistant soybeans), then they will not be able to prevent soybean aphid outbreaks in the future. </w:t>
      </w:r>
    </w:p>
    <w:p w14:paraId="5F55AF7B" w14:textId="77777777" w:rsidR="00816CF1" w:rsidRPr="006548E0" w:rsidRDefault="00816CF1" w:rsidP="00816CF1">
      <w:pPr>
        <w:rPr>
          <w:rFonts w:ascii="Times New Roman" w:hAnsi="Times New Roman" w:cs="Times New Roman"/>
        </w:rPr>
      </w:pPr>
    </w:p>
    <w:p w14:paraId="7539F61F" w14:textId="77777777" w:rsidR="00816CF1" w:rsidRPr="006548E0" w:rsidRDefault="00816CF1" w:rsidP="00816CF1">
      <w:pPr>
        <w:rPr>
          <w:rFonts w:ascii="Times New Roman" w:hAnsi="Times New Roman" w:cs="Times New Roman"/>
        </w:rPr>
      </w:pPr>
      <w:r w:rsidRPr="006548E0">
        <w:rPr>
          <w:rFonts w:ascii="Times New Roman" w:hAnsi="Times New Roman" w:cs="Times New Roman"/>
        </w:rPr>
        <w:t>How did we come to this conclusion.</w:t>
      </w:r>
    </w:p>
    <w:p w14:paraId="4BA3E771" w14:textId="77777777" w:rsidR="00816CF1" w:rsidRPr="006548E0" w:rsidRDefault="00816CF1" w:rsidP="00816CF1">
      <w:pPr>
        <w:rPr>
          <w:rFonts w:ascii="Times New Roman" w:hAnsi="Times New Roman" w:cs="Times New Roman"/>
        </w:rPr>
      </w:pPr>
      <w:r w:rsidRPr="006548E0">
        <w:rPr>
          <w:rFonts w:ascii="Times New Roman" w:hAnsi="Times New Roman" w:cs="Times New Roman"/>
        </w:rPr>
        <w:t xml:space="preserve">We collected aphids from commercial soybean fields in 2021, 2022, and 2023. We sequenced the DNA from key regions of these aphids to determine if they had mutations associated with insecticide resistance. We prioritized selecting fields in a region of Iowa with a high probability of experiencing a soybean aphid outbreak. Historically, the northern three tiers of counties in Iowa have experienced a higher frequency of economic outbreaks than rest of Iowa. Furthermore, soybean aphids with resistance to pyrethroids have been reported in this region. We identified commercial fields managed by farmers willing to give us access to survey aphids before and after an insecticide was applied.  A pyrethroid was applied to 10 fields within North Central and Northwest Iowa according to the farmer’s practices, nine receiving lambda-cyhalothrin (warrior) and one bifenthrin. </w:t>
      </w:r>
    </w:p>
    <w:p w14:paraId="69F2AE58" w14:textId="77777777" w:rsidR="00816CF1" w:rsidRPr="006548E0" w:rsidRDefault="00816CF1" w:rsidP="00816CF1">
      <w:pPr>
        <w:rPr>
          <w:rFonts w:ascii="Times New Roman" w:hAnsi="Times New Roman" w:cs="Times New Roman"/>
        </w:rPr>
      </w:pPr>
    </w:p>
    <w:p w14:paraId="1E174D13" w14:textId="77777777" w:rsidR="00816CF1" w:rsidRPr="006548E0" w:rsidRDefault="00816CF1" w:rsidP="00816CF1">
      <w:pPr>
        <w:rPr>
          <w:rFonts w:ascii="Times New Roman" w:hAnsi="Times New Roman" w:cs="Times New Roman"/>
        </w:rPr>
      </w:pPr>
      <w:r w:rsidRPr="006548E0">
        <w:rPr>
          <w:rFonts w:ascii="Times New Roman" w:hAnsi="Times New Roman" w:cs="Times New Roman"/>
        </w:rPr>
        <w:t>The DNA sequencing data revealed almost all of the 1958 aphids collected had one or more mutations associated with pyrethroid resistance whether collected in a soybean field or suction trap. Nonsynonymous mutations were identified at four positions within the region of the soybean aphids genome were these mutations occur (DIISIV-S6 VGSC amplicon). They were an A-T transition at position 40 of the amplicon, causing a methionine to leucine shift (M918L), a G-A transition at position 42 (the last base of 918) causing a methionine to isoleucine shift (M918I), a T-A transition at position 61, causing a leucine to methionine shift (L925M), and a C-T transition at position 395, causing the kdr leucine to phenylalanine shift (L1014F). Differing zygosity and mutation combinations resulted in a total of 21 resistant variants identified from both field and suction trap collected aphids, in addition to the wild type which did not have any resistance mutations.</w:t>
      </w:r>
    </w:p>
    <w:p w14:paraId="7EF482FA" w14:textId="77777777" w:rsidR="00816CF1" w:rsidRPr="006548E0" w:rsidRDefault="00816CF1" w:rsidP="00816CF1">
      <w:pPr>
        <w:rPr>
          <w:rFonts w:ascii="Times New Roman" w:hAnsi="Times New Roman" w:cs="Times New Roman"/>
        </w:rPr>
      </w:pPr>
    </w:p>
    <w:p w14:paraId="0551B00D" w14:textId="77777777" w:rsidR="00816CF1" w:rsidRPr="006548E0" w:rsidRDefault="00816CF1" w:rsidP="00816CF1">
      <w:pPr>
        <w:rPr>
          <w:rFonts w:ascii="Times New Roman" w:hAnsi="Times New Roman" w:cs="Times New Roman"/>
        </w:rPr>
      </w:pPr>
      <w:r w:rsidRPr="006548E0">
        <w:rPr>
          <w:rFonts w:ascii="Times New Roman" w:hAnsi="Times New Roman" w:cs="Times New Roman"/>
        </w:rPr>
        <w:t>Within the field survey, we identified 18 genotypes (i.e. variants) with one or more mutations associated with pyrethroid resistance (See attached table). Aphids without a VGSC mutation (wild type, [WT]) represented &lt; 0.1% of the aphids sequenced. The five most common variants represented ~90% of all aphids collected across all timepoints (Table 1). The L1014F heterozygote was the most frequently collected (variant 1, 36%), followed by the L925M + L1014F double heterozygote (variant 2, 25%), the M918I + L1014F double heterozygote (variant 3, 17%), the L1014F homozygote (variant 4, 9%). The same four variants represented 90 and 80% of the aphids sequenced collected before and after a pyrethroid application.</w:t>
      </w:r>
    </w:p>
    <w:p w14:paraId="29DBA6AF" w14:textId="77777777" w:rsidR="00816CF1" w:rsidRPr="006548E0" w:rsidRDefault="00816CF1" w:rsidP="00816CF1">
      <w:pPr>
        <w:rPr>
          <w:rFonts w:ascii="Times New Roman" w:hAnsi="Times New Roman" w:cs="Times New Roman"/>
        </w:rPr>
      </w:pPr>
    </w:p>
    <w:p w14:paraId="6A9657BF" w14:textId="77777777" w:rsidR="00816CF1" w:rsidRPr="006548E0" w:rsidRDefault="00816CF1" w:rsidP="00816CF1">
      <w:pPr>
        <w:rPr>
          <w:rFonts w:ascii="Times New Roman" w:hAnsi="Times New Roman" w:cs="Times New Roman"/>
        </w:rPr>
      </w:pPr>
      <w:r w:rsidRPr="006548E0">
        <w:rPr>
          <w:rFonts w:ascii="Times New Roman" w:hAnsi="Times New Roman" w:cs="Times New Roman"/>
        </w:rPr>
        <w:t>2. Commercialization of a novel pesticide:</w:t>
      </w:r>
    </w:p>
    <w:p w14:paraId="24B121DD" w14:textId="77777777" w:rsidR="00816CF1" w:rsidRPr="006548E0" w:rsidRDefault="00816CF1" w:rsidP="00816CF1">
      <w:pPr>
        <w:rPr>
          <w:rFonts w:ascii="Times New Roman" w:hAnsi="Times New Roman" w:cs="Times New Roman"/>
        </w:rPr>
      </w:pPr>
      <w:r w:rsidRPr="006548E0">
        <w:rPr>
          <w:rFonts w:ascii="Times New Roman" w:hAnsi="Times New Roman" w:cs="Times New Roman"/>
        </w:rPr>
        <w:t>Dr. O’Neal supervised a PhD candidate from the Federal University of Santa Maria, Bruna Wojahn, to conduct research in his lab at ISU throughout 2024, as part of a larger project to determine the mechanisms of mutations that make the soybean aphid resistant to pyrethroid insecticides. This work includes a collaboration with USDA scientist, Brad Coates and a MS student, Matthew Pfab (supported by ISA). This research revealed that specific strands of RNA can alter the phenotype of insecticide resistant aphids so that they are susceptible to insecticides. The team learned that combining the RNA with a pyrethroid can be a source of mortality to both resistant and susceptible populations of aphids. This discovery suggests a novel form of management that could counter resistance and allow farmers to use pyrethroids as opposed to more toxic and expensive active ingredients. The team produced sufficient evidence for a patent that was prepared and submitted by ISURF. Preliminary results were shared at the Entomological Society of America’s national meeting, resulting in a first-place award for Wojahn.</w:t>
      </w:r>
    </w:p>
    <w:p w14:paraId="3A6CEF35" w14:textId="77777777" w:rsidR="00816CF1" w:rsidRPr="006548E0" w:rsidRDefault="00816CF1" w:rsidP="00816CF1">
      <w:pPr>
        <w:rPr>
          <w:rFonts w:ascii="Times New Roman" w:hAnsi="Times New Roman" w:cs="Times New Roman"/>
        </w:rPr>
      </w:pPr>
    </w:p>
    <w:p w14:paraId="00218885" w14:textId="77777777" w:rsidR="00816CF1" w:rsidRPr="006548E0" w:rsidRDefault="00816CF1" w:rsidP="00816CF1">
      <w:pPr>
        <w:rPr>
          <w:rFonts w:ascii="Times New Roman" w:hAnsi="Times New Roman" w:cs="Times New Roman"/>
        </w:rPr>
      </w:pPr>
      <w:r w:rsidRPr="006548E0">
        <w:rPr>
          <w:rFonts w:ascii="Times New Roman" w:hAnsi="Times New Roman" w:cs="Times New Roman"/>
        </w:rPr>
        <w:t>Patent application filed: ISURF #05432 R2. O'Neal, M.E., Coates, B.S., I. Valmorbida, J. Arnemann. Compositions And Methods For Restoring Susceptibility To Pyrethroid insecticides In Resistant Populations. On November 7 and December 15, 2024, provisional applications were filed under U.S. serial nos. 63/717,613 and 63/610,693. These filings are for the general technology that would address insecticide resistance by coupling RNAi that targets the resistant mutations, resulting in a return to the susceptible phenotype. Furthermore, this filing describes the a specific use of this technology for a key insect pest of soybeans that has developed resistance to the commonly used pyrethroids.</w:t>
      </w:r>
    </w:p>
    <w:p w14:paraId="217EF5A3" w14:textId="77777777" w:rsidR="00816CF1" w:rsidRPr="006548E0" w:rsidRDefault="00816CF1" w:rsidP="00816CF1">
      <w:pPr>
        <w:rPr>
          <w:rFonts w:ascii="Times New Roman" w:hAnsi="Times New Roman" w:cs="Times New Roman"/>
        </w:rPr>
      </w:pPr>
    </w:p>
    <w:p w14:paraId="1EA24536" w14:textId="77777777" w:rsidR="00816CF1" w:rsidRPr="006548E0" w:rsidRDefault="00816CF1" w:rsidP="00816CF1">
      <w:pPr>
        <w:rPr>
          <w:rFonts w:ascii="Times New Roman" w:hAnsi="Times New Roman" w:cs="Times New Roman"/>
        </w:rPr>
      </w:pPr>
      <w:r w:rsidRPr="006548E0">
        <w:rPr>
          <w:rFonts w:ascii="Times New Roman" w:hAnsi="Times New Roman" w:cs="Times New Roman"/>
        </w:rPr>
        <w:t>Since this patent filing, we have reached out to Greenlight Biosciences (https://www.greenlightbiosciences.com/), a leading company that has produced the first RNAi-based insecticide for use on crops in the US.  This is a challenging process as Dr. O'Neal and Coates need to work with ISU and USDA to generate a non-disclosure agreement (NDA) with Greenlight Biosciences to discuss the potential of licensing this technology for the management of insecticide resistant soybean aphids. An NDA is currently (2/17/2025) is being reviewed by lawyers at Greenlight Biosciences.  Once this review is completed, we can share results generated from this ISA funded project. As we wait on this review, we are also waiting on sharing the specific results from this larger project.</w:t>
      </w:r>
    </w:p>
    <w:sectPr w:rsidR="00816CF1" w:rsidRPr="006548E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O'Neal, Matthew E [PPEM]" w:date="2025-01-07T13:09:00Z" w:initials="OME[">
    <w:p w14:paraId="10F363D1" w14:textId="77777777" w:rsidR="00FB50CF" w:rsidRDefault="00FB50CF" w:rsidP="00FB50CF">
      <w:pPr>
        <w:pStyle w:val="CommentText"/>
      </w:pPr>
      <w:r>
        <w:rPr>
          <w:rStyle w:val="CommentReference"/>
        </w:rPr>
        <w:annotationRef/>
      </w:r>
      <w:r>
        <w:t>Is this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F363D1"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4F5A8B"/>
    <w:multiLevelType w:val="hybridMultilevel"/>
    <w:tmpl w:val="99B8A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Neal, Matthew E [PPEM]">
    <w15:presenceInfo w15:providerId="AD" w15:userId="S-1-5-21-1659004503-1450960922-1606980848-1210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423"/>
    <w:rsid w:val="00020D13"/>
    <w:rsid w:val="00233FC8"/>
    <w:rsid w:val="003657A3"/>
    <w:rsid w:val="00450CCB"/>
    <w:rsid w:val="00523353"/>
    <w:rsid w:val="005366FD"/>
    <w:rsid w:val="006548E0"/>
    <w:rsid w:val="006A5741"/>
    <w:rsid w:val="006D0FF9"/>
    <w:rsid w:val="00816CF1"/>
    <w:rsid w:val="00C16841"/>
    <w:rsid w:val="00C335D6"/>
    <w:rsid w:val="00C45858"/>
    <w:rsid w:val="00CC1423"/>
    <w:rsid w:val="00D312D9"/>
    <w:rsid w:val="00D55237"/>
    <w:rsid w:val="00DD7EF6"/>
    <w:rsid w:val="00FB5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5E874"/>
  <w15:chartTrackingRefBased/>
  <w15:docId w15:val="{D9CFEFCB-153D-4FCA-8189-BE0B7544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0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450CCB"/>
    <w:rPr>
      <w:sz w:val="16"/>
      <w:szCs w:val="16"/>
    </w:rPr>
  </w:style>
  <w:style w:type="paragraph" w:styleId="CommentText">
    <w:name w:val="annotation text"/>
    <w:basedOn w:val="Normal"/>
    <w:link w:val="CommentTextChar"/>
    <w:uiPriority w:val="99"/>
    <w:unhideWhenUsed/>
    <w:rsid w:val="00450CCB"/>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450CCB"/>
    <w:rPr>
      <w:kern w:val="2"/>
      <w:sz w:val="20"/>
      <w:szCs w:val="20"/>
      <w14:ligatures w14:val="standardContextual"/>
    </w:rPr>
  </w:style>
  <w:style w:type="paragraph" w:styleId="BalloonText">
    <w:name w:val="Balloon Text"/>
    <w:basedOn w:val="Normal"/>
    <w:link w:val="BalloonTextChar"/>
    <w:uiPriority w:val="99"/>
    <w:semiHidden/>
    <w:unhideWhenUsed/>
    <w:rsid w:val="00450C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CCB"/>
    <w:rPr>
      <w:rFonts w:ascii="Segoe UI" w:hAnsi="Segoe UI" w:cs="Segoe UI"/>
      <w:sz w:val="18"/>
      <w:szCs w:val="18"/>
    </w:rPr>
  </w:style>
  <w:style w:type="paragraph" w:styleId="Caption">
    <w:name w:val="caption"/>
    <w:basedOn w:val="Normal"/>
    <w:next w:val="Normal"/>
    <w:uiPriority w:val="35"/>
    <w:unhideWhenUsed/>
    <w:qFormat/>
    <w:rsid w:val="006548E0"/>
    <w:pPr>
      <w:spacing w:after="200" w:line="240" w:lineRule="auto"/>
    </w:pPr>
    <w:rPr>
      <w:i/>
      <w:iCs/>
      <w:color w:val="44546A" w:themeColor="text2"/>
      <w:kern w:val="2"/>
      <w:sz w:val="18"/>
      <w:szCs w:val="18"/>
      <w14:ligatures w14:val="standardContextual"/>
    </w:rPr>
  </w:style>
  <w:style w:type="table" w:styleId="TableGrid">
    <w:name w:val="Table Grid"/>
    <w:basedOn w:val="TableNormal"/>
    <w:uiPriority w:val="39"/>
    <w:rsid w:val="00FB50C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B50CF"/>
  </w:style>
  <w:style w:type="paragraph" w:styleId="ListParagraph">
    <w:name w:val="List Paragraph"/>
    <w:basedOn w:val="Normal"/>
    <w:uiPriority w:val="34"/>
    <w:qFormat/>
    <w:rsid w:val="00FB50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28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tthew%20Pfab\Box\Pfab%20MS%20work\2023%20Soybean%20Aphid%20Studies\Sutherland%20Efficacy%20Data%202023.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5338851874285"/>
          <c:y val="3.2811334824757642E-2"/>
          <c:w val="0.82377414361666335"/>
          <c:h val="0.81797849198811234"/>
        </c:manualLayout>
      </c:layout>
      <c:barChart>
        <c:barDir val="col"/>
        <c:grouping val="clustered"/>
        <c:varyColors val="0"/>
        <c:ser>
          <c:idx val="0"/>
          <c:order val="0"/>
          <c:tx>
            <c:strRef>
              <c:f>Table!$L$2</c:f>
              <c:strCache>
                <c:ptCount val="1"/>
                <c:pt idx="0">
                  <c:v>Before </c:v>
                </c:pt>
              </c:strCache>
            </c:strRef>
          </c:tx>
          <c:spPr>
            <a:solidFill>
              <a:schemeClr val="bg1">
                <a:lumMod val="75000"/>
              </a:schemeClr>
            </a:solidFill>
            <a:ln w="19050">
              <a:solidFill>
                <a:schemeClr val="tx1"/>
              </a:solidFill>
            </a:ln>
            <a:effectLst/>
          </c:spPr>
          <c:invertIfNegative val="0"/>
          <c:errBars>
            <c:errBarType val="both"/>
            <c:errValType val="cust"/>
            <c:noEndCap val="0"/>
            <c:plus>
              <c:numRef>
                <c:f>Table!$N$3:$N$9</c:f>
                <c:numCache>
                  <c:formatCode>General</c:formatCode>
                  <c:ptCount val="7"/>
                  <c:pt idx="0">
                    <c:v>13.756</c:v>
                  </c:pt>
                  <c:pt idx="1">
                    <c:v>5.5650000000000004</c:v>
                  </c:pt>
                  <c:pt idx="2">
                    <c:v>9.0549999999999997</c:v>
                  </c:pt>
                  <c:pt idx="3">
                    <c:v>6.35</c:v>
                  </c:pt>
                  <c:pt idx="4">
                    <c:v>11.239000000000001</c:v>
                  </c:pt>
                  <c:pt idx="5">
                    <c:v>5.7430000000000003</c:v>
                  </c:pt>
                  <c:pt idx="6">
                    <c:v>3.8239999999999998</c:v>
                  </c:pt>
                </c:numCache>
              </c:numRef>
            </c:plus>
            <c:minus>
              <c:numRef>
                <c:f>Table!$N$3:$N$9</c:f>
                <c:numCache>
                  <c:formatCode>General</c:formatCode>
                  <c:ptCount val="7"/>
                  <c:pt idx="0">
                    <c:v>13.756</c:v>
                  </c:pt>
                  <c:pt idx="1">
                    <c:v>5.5650000000000004</c:v>
                  </c:pt>
                  <c:pt idx="2">
                    <c:v>9.0549999999999997</c:v>
                  </c:pt>
                  <c:pt idx="3">
                    <c:v>6.35</c:v>
                  </c:pt>
                  <c:pt idx="4">
                    <c:v>11.239000000000001</c:v>
                  </c:pt>
                  <c:pt idx="5">
                    <c:v>5.7430000000000003</c:v>
                  </c:pt>
                  <c:pt idx="6">
                    <c:v>3.8239999999999998</c:v>
                  </c:pt>
                </c:numCache>
              </c:numRef>
            </c:minus>
            <c:spPr>
              <a:noFill/>
              <a:ln w="19050" cap="flat" cmpd="sng" algn="ctr">
                <a:solidFill>
                  <a:schemeClr val="tx1"/>
                </a:solidFill>
                <a:round/>
              </a:ln>
              <a:effectLst/>
            </c:spPr>
          </c:errBars>
          <c:cat>
            <c:strRef>
              <c:f>Table!$K$3:$K$9</c:f>
              <c:strCache>
                <c:ptCount val="7"/>
                <c:pt idx="0">
                  <c:v>Control</c:v>
                </c:pt>
                <c:pt idx="1">
                  <c:v>PQZ 1.2 fl oz (FS)</c:v>
                </c:pt>
                <c:pt idx="2">
                  <c:v>PQZ 1.6 fl oz (FS)</c:v>
                </c:pt>
                <c:pt idx="3">
                  <c:v>TMX (ST)</c:v>
                </c:pt>
                <c:pt idx="4">
                  <c:v>TMX (ST) + λ-cy (FS)</c:v>
                </c:pt>
                <c:pt idx="5">
                  <c:v>TMX (FS) + λ-cy  (FS)</c:v>
                </c:pt>
                <c:pt idx="6">
                  <c:v>λ-cy (FS)</c:v>
                </c:pt>
              </c:strCache>
            </c:strRef>
          </c:cat>
          <c:val>
            <c:numRef>
              <c:f>Table!$L$3:$L$9</c:f>
              <c:numCache>
                <c:formatCode>General</c:formatCode>
                <c:ptCount val="7"/>
                <c:pt idx="0">
                  <c:v>60.74</c:v>
                </c:pt>
                <c:pt idx="1">
                  <c:v>24.36</c:v>
                </c:pt>
                <c:pt idx="2">
                  <c:v>39.81</c:v>
                </c:pt>
                <c:pt idx="3">
                  <c:v>27.35</c:v>
                </c:pt>
                <c:pt idx="4">
                  <c:v>49.29</c:v>
                </c:pt>
                <c:pt idx="5">
                  <c:v>25.12</c:v>
                </c:pt>
                <c:pt idx="6">
                  <c:v>16.68</c:v>
                </c:pt>
              </c:numCache>
            </c:numRef>
          </c:val>
          <c:extLst>
            <c:ext xmlns:c16="http://schemas.microsoft.com/office/drawing/2014/chart" uri="{C3380CC4-5D6E-409C-BE32-E72D297353CC}">
              <c16:uniqueId val="{00000000-3AEE-4200-BCAB-029FB3500F1B}"/>
            </c:ext>
          </c:extLst>
        </c:ser>
        <c:ser>
          <c:idx val="1"/>
          <c:order val="1"/>
          <c:tx>
            <c:strRef>
              <c:f>Table!$M$2</c:f>
              <c:strCache>
                <c:ptCount val="1"/>
                <c:pt idx="0">
                  <c:v>After</c:v>
                </c:pt>
              </c:strCache>
            </c:strRef>
          </c:tx>
          <c:spPr>
            <a:pattFill prst="wdUpDiag">
              <a:fgClr>
                <a:schemeClr val="tx1"/>
              </a:fgClr>
              <a:bgClr>
                <a:schemeClr val="bg1"/>
              </a:bgClr>
            </a:pattFill>
            <a:ln w="19050">
              <a:solidFill>
                <a:sysClr val="windowText" lastClr="000000"/>
              </a:solidFill>
            </a:ln>
            <a:effectLst/>
          </c:spPr>
          <c:invertIfNegative val="0"/>
          <c:errBars>
            <c:errBarType val="both"/>
            <c:errValType val="cust"/>
            <c:noEndCap val="0"/>
            <c:plus>
              <c:numRef>
                <c:f>Table!$O$3:$O$9</c:f>
                <c:numCache>
                  <c:formatCode>General</c:formatCode>
                  <c:ptCount val="7"/>
                  <c:pt idx="0">
                    <c:v>2.044</c:v>
                  </c:pt>
                  <c:pt idx="1">
                    <c:v>2.109</c:v>
                  </c:pt>
                  <c:pt idx="2">
                    <c:v>1.383</c:v>
                  </c:pt>
                  <c:pt idx="3">
                    <c:v>2.6789999999999998</c:v>
                  </c:pt>
                  <c:pt idx="4">
                    <c:v>8.3960000000000008</c:v>
                  </c:pt>
                  <c:pt idx="5">
                    <c:v>0.93100000000000005</c:v>
                  </c:pt>
                  <c:pt idx="6">
                    <c:v>7.6139999999999999</c:v>
                  </c:pt>
                </c:numCache>
              </c:numRef>
            </c:plus>
            <c:minus>
              <c:numRef>
                <c:f>Table!$O$3:$O$9</c:f>
                <c:numCache>
                  <c:formatCode>General</c:formatCode>
                  <c:ptCount val="7"/>
                  <c:pt idx="0">
                    <c:v>2.044</c:v>
                  </c:pt>
                  <c:pt idx="1">
                    <c:v>2.109</c:v>
                  </c:pt>
                  <c:pt idx="2">
                    <c:v>1.383</c:v>
                  </c:pt>
                  <c:pt idx="3">
                    <c:v>2.6789999999999998</c:v>
                  </c:pt>
                  <c:pt idx="4">
                    <c:v>8.3960000000000008</c:v>
                  </c:pt>
                  <c:pt idx="5">
                    <c:v>0.93100000000000005</c:v>
                  </c:pt>
                  <c:pt idx="6">
                    <c:v>7.6139999999999999</c:v>
                  </c:pt>
                </c:numCache>
              </c:numRef>
            </c:minus>
            <c:spPr>
              <a:noFill/>
              <a:ln w="19050" cap="flat" cmpd="sng" algn="ctr">
                <a:solidFill>
                  <a:schemeClr val="tx1"/>
                </a:solidFill>
                <a:round/>
              </a:ln>
              <a:effectLst/>
            </c:spPr>
          </c:errBars>
          <c:cat>
            <c:strRef>
              <c:f>Table!$K$3:$K$9</c:f>
              <c:strCache>
                <c:ptCount val="7"/>
                <c:pt idx="0">
                  <c:v>Control</c:v>
                </c:pt>
                <c:pt idx="1">
                  <c:v>PQZ 1.2 fl oz (FS)</c:v>
                </c:pt>
                <c:pt idx="2">
                  <c:v>PQZ 1.6 fl oz (FS)</c:v>
                </c:pt>
                <c:pt idx="3">
                  <c:v>TMX (ST)</c:v>
                </c:pt>
                <c:pt idx="4">
                  <c:v>TMX (ST) + λ-cy (FS)</c:v>
                </c:pt>
                <c:pt idx="5">
                  <c:v>TMX (FS) + λ-cy  (FS)</c:v>
                </c:pt>
                <c:pt idx="6">
                  <c:v>λ-cy (FS)</c:v>
                </c:pt>
              </c:strCache>
            </c:strRef>
          </c:cat>
          <c:val>
            <c:numRef>
              <c:f>Table!$M$3:$M$9</c:f>
              <c:numCache>
                <c:formatCode>General</c:formatCode>
                <c:ptCount val="7"/>
                <c:pt idx="0">
                  <c:v>8.81</c:v>
                </c:pt>
                <c:pt idx="1">
                  <c:v>9.07</c:v>
                </c:pt>
                <c:pt idx="2">
                  <c:v>5.89</c:v>
                </c:pt>
                <c:pt idx="3">
                  <c:v>11.54</c:v>
                </c:pt>
                <c:pt idx="4">
                  <c:v>36.54</c:v>
                </c:pt>
                <c:pt idx="5">
                  <c:v>3.87</c:v>
                </c:pt>
                <c:pt idx="6">
                  <c:v>33.56</c:v>
                </c:pt>
              </c:numCache>
            </c:numRef>
          </c:val>
          <c:extLst>
            <c:ext xmlns:c16="http://schemas.microsoft.com/office/drawing/2014/chart" uri="{C3380CC4-5D6E-409C-BE32-E72D297353CC}">
              <c16:uniqueId val="{00000001-3AEE-4200-BCAB-029FB3500F1B}"/>
            </c:ext>
          </c:extLst>
        </c:ser>
        <c:dLbls>
          <c:showLegendKey val="0"/>
          <c:showVal val="0"/>
          <c:showCatName val="0"/>
          <c:showSerName val="0"/>
          <c:showPercent val="0"/>
          <c:showBubbleSize val="0"/>
        </c:dLbls>
        <c:gapWidth val="219"/>
        <c:overlap val="-27"/>
        <c:axId val="903458672"/>
        <c:axId val="1048278048"/>
      </c:barChart>
      <c:catAx>
        <c:axId val="903458672"/>
        <c:scaling>
          <c:orientation val="minMax"/>
        </c:scaling>
        <c:delete val="0"/>
        <c:axPos val="b"/>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a:t>Treatment</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8278048"/>
        <c:crosses val="autoZero"/>
        <c:auto val="1"/>
        <c:lblAlgn val="ctr"/>
        <c:lblOffset val="100"/>
        <c:noMultiLvlLbl val="0"/>
      </c:catAx>
      <c:valAx>
        <c:axId val="1048278048"/>
        <c:scaling>
          <c:orientation val="minMax"/>
          <c:min val="0"/>
        </c:scaling>
        <c:delete val="0"/>
        <c:axPos val="l"/>
        <c:title>
          <c:tx>
            <c:rich>
              <a:bodyPr rot="-540000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a:t>Mean aphids per plant (±SEM) </a:t>
                </a:r>
              </a:p>
            </c:rich>
          </c:tx>
          <c:layout>
            <c:manualLayout>
              <c:xMode val="edge"/>
              <c:yMode val="edge"/>
              <c:x val="2.1791506830876911E-2"/>
              <c:y val="0.15682103574222184"/>
            </c:manualLayout>
          </c:layout>
          <c:overlay val="0"/>
          <c:spPr>
            <a:noFill/>
            <a:ln>
              <a:noFill/>
            </a:ln>
            <a:effectLst/>
          </c:spPr>
          <c:txPr>
            <a:bodyPr rot="-540000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19050">
            <a:solidFill>
              <a:schemeClr val="tx1"/>
            </a:solidFill>
          </a:ln>
          <a:effectLst/>
        </c:spPr>
        <c:txPr>
          <a:bodyPr rot="-60000000" spcFirstLastPara="1" vertOverflow="ellipsis" vert="horz" wrap="square" anchor="ctr" anchorCtr="1"/>
          <a:lstStyle/>
          <a:p>
            <a:pPr>
              <a:defRPr sz="15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03458672"/>
        <c:crosses val="autoZero"/>
        <c:crossBetween val="between"/>
      </c:valAx>
      <c:spPr>
        <a:noFill/>
        <a:ln>
          <a:noFill/>
        </a:ln>
        <a:effectLst/>
      </c:spPr>
    </c:plotArea>
    <c:legend>
      <c:legendPos val="b"/>
      <c:layout>
        <c:manualLayout>
          <c:xMode val="edge"/>
          <c:yMode val="edge"/>
          <c:x val="0.79258042263947781"/>
          <c:y val="3.7569306402520951E-2"/>
          <c:w val="0.1813713910761155"/>
          <c:h val="0.1972062587816629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0.84429</cdr:x>
      <cdr:y>0.46941</cdr:y>
    </cdr:from>
    <cdr:to>
      <cdr:x>0.91003</cdr:x>
      <cdr:y>0.51311</cdr:y>
    </cdr:to>
    <cdr:sp macro="" textlink="">
      <cdr:nvSpPr>
        <cdr:cNvPr id="2" name="TextBox 1">
          <a:extLst xmlns:a="http://schemas.openxmlformats.org/drawingml/2006/main">
            <a:ext uri="{FF2B5EF4-FFF2-40B4-BE49-F238E27FC236}">
              <a16:creationId xmlns:a16="http://schemas.microsoft.com/office/drawing/2014/main" id="{C3EAC770-717F-8303-630D-C4A158E8E233}"/>
            </a:ext>
          </a:extLst>
        </cdr:cNvPr>
        <cdr:cNvSpPr txBox="1"/>
      </cdr:nvSpPr>
      <cdr:spPr>
        <a:xfrm xmlns:a="http://schemas.openxmlformats.org/drawingml/2006/main">
          <a:off x="6972300" y="3581401"/>
          <a:ext cx="542925" cy="333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2763</Words>
  <Characters>15755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18482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O'Neal, Matthew E [PPEM]</dc:creator>
  <cp:keywords/>
  <dc:description/>
  <cp:lastModifiedBy>O'Neal, Matthew E [PPEM]</cp:lastModifiedBy>
  <cp:revision>2</cp:revision>
  <dcterms:created xsi:type="dcterms:W3CDTF">2025-05-09T22:10:00Z</dcterms:created>
  <dcterms:modified xsi:type="dcterms:W3CDTF">2025-05-09T22:10:00Z</dcterms:modified>
</cp:coreProperties>
</file>