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40802" w14:textId="75B9023C" w:rsidR="00546107" w:rsidRPr="00D02CF1" w:rsidRDefault="00B40F7B">
      <w:pPr>
        <w:rPr>
          <w:rFonts w:ascii="Calibri" w:hAnsi="Calibri" w:cs="Calibri"/>
          <w:b/>
          <w:bCs/>
          <w:sz w:val="22"/>
          <w:szCs w:val="22"/>
        </w:rPr>
      </w:pPr>
      <w:r w:rsidRPr="00D02CF1">
        <w:rPr>
          <w:rFonts w:ascii="Calibri" w:hAnsi="Calibri" w:cs="Calibri"/>
          <w:b/>
          <w:bCs/>
          <w:sz w:val="22"/>
          <w:szCs w:val="22"/>
        </w:rPr>
        <w:t>Soybean Yield Interference of Palmer amaranth and Waterhemp in North Dakota: 2022 Report</w:t>
      </w:r>
    </w:p>
    <w:p w14:paraId="50F188FB" w14:textId="5D20F161" w:rsidR="00B40F7B" w:rsidRPr="00D02CF1" w:rsidRDefault="00B40F7B">
      <w:pPr>
        <w:rPr>
          <w:rFonts w:ascii="Calibri" w:hAnsi="Calibri" w:cs="Calibri"/>
          <w:b/>
          <w:bCs/>
          <w:sz w:val="22"/>
          <w:szCs w:val="22"/>
        </w:rPr>
      </w:pPr>
    </w:p>
    <w:p w14:paraId="1F225915" w14:textId="667B1165" w:rsidR="00B40F7B" w:rsidRPr="00D02CF1" w:rsidRDefault="00B40F7B">
      <w:pPr>
        <w:rPr>
          <w:rFonts w:ascii="Calibri" w:hAnsi="Calibri" w:cs="Calibri"/>
          <w:sz w:val="22"/>
          <w:szCs w:val="22"/>
        </w:rPr>
      </w:pPr>
      <w:r w:rsidRPr="00D02CF1">
        <w:rPr>
          <w:rFonts w:ascii="Calibri" w:hAnsi="Calibri" w:cs="Calibri"/>
          <w:sz w:val="22"/>
          <w:szCs w:val="22"/>
        </w:rPr>
        <w:t>Quincy D. Law</w:t>
      </w:r>
      <w:r w:rsidRPr="00D02CF1">
        <w:rPr>
          <w:rFonts w:ascii="Calibri" w:hAnsi="Calibri" w:cs="Calibri"/>
          <w:sz w:val="22"/>
          <w:szCs w:val="22"/>
          <w:vertAlign w:val="superscript"/>
        </w:rPr>
        <w:t>1*</w:t>
      </w:r>
      <w:r w:rsidRPr="00D02CF1">
        <w:rPr>
          <w:rFonts w:ascii="Calibri" w:hAnsi="Calibri" w:cs="Calibri"/>
          <w:sz w:val="22"/>
          <w:szCs w:val="22"/>
        </w:rPr>
        <w:t xml:space="preserve"> and Joseph T. Ikley</w:t>
      </w:r>
      <w:r w:rsidRPr="00D02CF1">
        <w:rPr>
          <w:rFonts w:ascii="Calibri" w:hAnsi="Calibri" w:cs="Calibri"/>
          <w:sz w:val="22"/>
          <w:szCs w:val="22"/>
          <w:vertAlign w:val="superscript"/>
        </w:rPr>
        <w:t>1</w:t>
      </w:r>
    </w:p>
    <w:p w14:paraId="01A6B19A" w14:textId="14580197" w:rsidR="00B40F7B" w:rsidRPr="00D02CF1" w:rsidRDefault="00B40F7B">
      <w:pPr>
        <w:rPr>
          <w:rFonts w:ascii="Calibri" w:hAnsi="Calibri" w:cs="Calibri"/>
          <w:sz w:val="22"/>
          <w:szCs w:val="22"/>
        </w:rPr>
      </w:pPr>
      <w:r w:rsidRPr="00D02CF1">
        <w:rPr>
          <w:rFonts w:ascii="Calibri" w:hAnsi="Calibri" w:cs="Calibri"/>
          <w:sz w:val="22"/>
          <w:szCs w:val="22"/>
          <w:vertAlign w:val="superscript"/>
        </w:rPr>
        <w:t>1</w:t>
      </w:r>
      <w:r w:rsidRPr="00D02CF1">
        <w:rPr>
          <w:rFonts w:ascii="Calibri" w:hAnsi="Calibri" w:cs="Calibri"/>
          <w:sz w:val="22"/>
          <w:szCs w:val="22"/>
        </w:rPr>
        <w:t xml:space="preserve"> North Dakota State University, Dept. </w:t>
      </w:r>
      <w:r w:rsidR="00BA103C">
        <w:rPr>
          <w:rFonts w:ascii="Calibri" w:hAnsi="Calibri" w:cs="Calibri"/>
          <w:sz w:val="22"/>
          <w:szCs w:val="22"/>
        </w:rPr>
        <w:t>o</w:t>
      </w:r>
      <w:r w:rsidRPr="00D02CF1">
        <w:rPr>
          <w:rFonts w:ascii="Calibri" w:hAnsi="Calibri" w:cs="Calibri"/>
          <w:sz w:val="22"/>
          <w:szCs w:val="22"/>
        </w:rPr>
        <w:t>f Plant Sciences, Fargo, ND</w:t>
      </w:r>
    </w:p>
    <w:p w14:paraId="34594895" w14:textId="0ECFB6D0" w:rsidR="00B40F7B" w:rsidRPr="00D02CF1" w:rsidRDefault="00B40F7B">
      <w:pPr>
        <w:rPr>
          <w:rFonts w:ascii="Calibri" w:hAnsi="Calibri" w:cs="Calibri"/>
          <w:sz w:val="22"/>
          <w:szCs w:val="22"/>
        </w:rPr>
      </w:pPr>
      <w:r w:rsidRPr="00D02CF1">
        <w:rPr>
          <w:rFonts w:ascii="Calibri" w:hAnsi="Calibri" w:cs="Calibri"/>
          <w:sz w:val="22"/>
          <w:szCs w:val="22"/>
        </w:rPr>
        <w:t>* quincy.law@ndsu.edu</w:t>
      </w:r>
    </w:p>
    <w:p w14:paraId="51A4F34C" w14:textId="6B06D272" w:rsidR="00B40F7B" w:rsidRPr="00D02CF1" w:rsidRDefault="00B40F7B">
      <w:pPr>
        <w:rPr>
          <w:sz w:val="22"/>
          <w:szCs w:val="22"/>
        </w:rPr>
      </w:pPr>
    </w:p>
    <w:p w14:paraId="58F9BD1B" w14:textId="5597C08A" w:rsidR="00B40F7B" w:rsidRPr="00D02CF1" w:rsidRDefault="00CE637C" w:rsidP="00D02CF1">
      <w:pPr>
        <w:rPr>
          <w:b/>
          <w:bCs/>
          <w:sz w:val="22"/>
          <w:szCs w:val="22"/>
        </w:rPr>
      </w:pPr>
      <w:r w:rsidRPr="00D02CF1">
        <w:rPr>
          <w:b/>
          <w:bCs/>
          <w:sz w:val="22"/>
          <w:szCs w:val="22"/>
        </w:rPr>
        <w:t>Objectives</w:t>
      </w:r>
      <w:r w:rsidR="00D02CF1" w:rsidRPr="00D02CF1">
        <w:rPr>
          <w:b/>
          <w:bCs/>
          <w:sz w:val="22"/>
          <w:szCs w:val="22"/>
        </w:rPr>
        <w:t xml:space="preserve">: </w:t>
      </w:r>
      <w:r w:rsidR="00D02CF1" w:rsidRPr="00D02CF1">
        <w:rPr>
          <w:sz w:val="22"/>
          <w:szCs w:val="22"/>
        </w:rPr>
        <w:t>T</w:t>
      </w:r>
      <w:r w:rsidR="00B40F7B" w:rsidRPr="00D02CF1">
        <w:rPr>
          <w:sz w:val="22"/>
          <w:szCs w:val="22"/>
        </w:rPr>
        <w:t>he objectives of this research are to 1) quantify the influence of Palmer amaranth and waterhemp densities on soybean yield loss in North Dakota and 2) determine the economic threshold for controlling Palmer amaranth and waterhemp in North Dakota soybeans.</w:t>
      </w:r>
      <w:r w:rsidR="003A1AD1">
        <w:rPr>
          <w:sz w:val="22"/>
          <w:szCs w:val="22"/>
        </w:rPr>
        <w:t xml:space="preserve"> </w:t>
      </w:r>
    </w:p>
    <w:p w14:paraId="33C83240" w14:textId="77777777" w:rsidR="00B40F7B" w:rsidRPr="00D02CF1" w:rsidRDefault="00B40F7B">
      <w:pPr>
        <w:rPr>
          <w:b/>
          <w:bCs/>
          <w:sz w:val="22"/>
          <w:szCs w:val="22"/>
        </w:rPr>
      </w:pPr>
    </w:p>
    <w:p w14:paraId="3BEC1900" w14:textId="4895755C" w:rsidR="00D21DC9" w:rsidRPr="00597493" w:rsidRDefault="00B40F7B" w:rsidP="00B40F7B">
      <w:pPr>
        <w:rPr>
          <w:b/>
          <w:bCs/>
          <w:sz w:val="22"/>
          <w:szCs w:val="22"/>
        </w:rPr>
      </w:pPr>
      <w:r w:rsidRPr="00D02CF1">
        <w:rPr>
          <w:b/>
          <w:bCs/>
          <w:sz w:val="22"/>
          <w:szCs w:val="22"/>
        </w:rPr>
        <w:t>Materials and Methods</w:t>
      </w:r>
      <w:r w:rsidR="00597493">
        <w:rPr>
          <w:b/>
          <w:bCs/>
          <w:sz w:val="22"/>
          <w:szCs w:val="22"/>
        </w:rPr>
        <w:t xml:space="preserve">: </w:t>
      </w:r>
      <w:r w:rsidRPr="00D02CF1">
        <w:rPr>
          <w:sz w:val="22"/>
          <w:szCs w:val="22"/>
        </w:rPr>
        <w:t xml:space="preserve">Research was conducted at two experimental sites: a Palmer amaranth-infested field near Valley City, ND and a waterhemp-infested near Fargo, ND. The experiment </w:t>
      </w:r>
      <w:r w:rsidR="00D21DC9" w:rsidRPr="00D02CF1">
        <w:rPr>
          <w:sz w:val="22"/>
          <w:szCs w:val="22"/>
        </w:rPr>
        <w:t>was</w:t>
      </w:r>
      <w:r w:rsidRPr="00D02CF1">
        <w:rPr>
          <w:sz w:val="22"/>
          <w:szCs w:val="22"/>
        </w:rPr>
        <w:t xml:space="preserve"> a randomized complete block design with four blocks and six Palmer amaranth/waterhemp densities (i.e., treatments): 0, 0.5, 1, 2, 4, and 8 plants m</w:t>
      </w:r>
      <w:r w:rsidRPr="00D02CF1">
        <w:rPr>
          <w:sz w:val="22"/>
          <w:szCs w:val="22"/>
          <w:vertAlign w:val="superscript"/>
        </w:rPr>
        <w:t>-1</w:t>
      </w:r>
      <w:r w:rsidRPr="00D02CF1">
        <w:rPr>
          <w:sz w:val="22"/>
          <w:szCs w:val="22"/>
        </w:rPr>
        <w:t xml:space="preserve"> of row. The experimental areas were cultivated prior to planting, and soybeans were planted with a 76-cm row spacing. Plots were four rows wide by 7.6 m in length.</w:t>
      </w:r>
      <w:r w:rsidR="00D02CF1" w:rsidRPr="00D02CF1">
        <w:rPr>
          <w:sz w:val="22"/>
          <w:szCs w:val="22"/>
        </w:rPr>
        <w:t xml:space="preserve"> S</w:t>
      </w:r>
      <w:r w:rsidR="00D21DC9" w:rsidRPr="00D02CF1">
        <w:rPr>
          <w:sz w:val="22"/>
          <w:szCs w:val="22"/>
        </w:rPr>
        <w:t xml:space="preserve">oybean variety AG09XFO was planted </w:t>
      </w:r>
      <w:r w:rsidR="00F657F6" w:rsidRPr="00D02CF1">
        <w:rPr>
          <w:sz w:val="22"/>
          <w:szCs w:val="22"/>
        </w:rPr>
        <w:t xml:space="preserve">to a 4 cm depth </w:t>
      </w:r>
      <w:r w:rsidR="00D21DC9" w:rsidRPr="00D02CF1">
        <w:rPr>
          <w:sz w:val="22"/>
          <w:szCs w:val="22"/>
        </w:rPr>
        <w:t>at 156,000 seeds acre</w:t>
      </w:r>
      <w:r w:rsidR="00D21DC9" w:rsidRPr="00D02CF1">
        <w:rPr>
          <w:sz w:val="22"/>
          <w:szCs w:val="22"/>
          <w:vertAlign w:val="superscript"/>
        </w:rPr>
        <w:t>-1</w:t>
      </w:r>
      <w:r w:rsidR="00D21DC9" w:rsidRPr="00D02CF1">
        <w:rPr>
          <w:sz w:val="22"/>
          <w:szCs w:val="22"/>
        </w:rPr>
        <w:t xml:space="preserve"> on 24 May 2022 and </w:t>
      </w:r>
      <w:r w:rsidR="00F657F6" w:rsidRPr="00D02CF1">
        <w:rPr>
          <w:sz w:val="22"/>
          <w:szCs w:val="22"/>
        </w:rPr>
        <w:t xml:space="preserve">6 </w:t>
      </w:r>
      <w:r w:rsidR="00D21DC9" w:rsidRPr="00D02CF1">
        <w:rPr>
          <w:sz w:val="22"/>
          <w:szCs w:val="22"/>
        </w:rPr>
        <w:t xml:space="preserve">June 2022 at the waterhemp </w:t>
      </w:r>
      <w:r w:rsidR="00D4330E" w:rsidRPr="00D02CF1">
        <w:rPr>
          <w:sz w:val="22"/>
          <w:szCs w:val="22"/>
        </w:rPr>
        <w:t xml:space="preserve">(Fargo) </w:t>
      </w:r>
      <w:r w:rsidR="00D21DC9" w:rsidRPr="00D02CF1">
        <w:rPr>
          <w:sz w:val="22"/>
          <w:szCs w:val="22"/>
        </w:rPr>
        <w:t xml:space="preserve">and Palmer amaranth </w:t>
      </w:r>
      <w:r w:rsidR="00D4330E" w:rsidRPr="00D02CF1">
        <w:rPr>
          <w:sz w:val="22"/>
          <w:szCs w:val="22"/>
        </w:rPr>
        <w:t xml:space="preserve">(Valley City) </w:t>
      </w:r>
      <w:r w:rsidR="00D21DC9" w:rsidRPr="00D02CF1">
        <w:rPr>
          <w:sz w:val="22"/>
          <w:szCs w:val="22"/>
        </w:rPr>
        <w:t>locations, respectively.</w:t>
      </w:r>
      <w:r w:rsidR="00F657F6" w:rsidRPr="00D02CF1">
        <w:rPr>
          <w:sz w:val="22"/>
          <w:szCs w:val="22"/>
        </w:rPr>
        <w:t xml:space="preserve"> </w:t>
      </w:r>
    </w:p>
    <w:p w14:paraId="519AECD6" w14:textId="100DE69F" w:rsidR="00B40F7B" w:rsidRPr="00D02CF1" w:rsidRDefault="00B40F7B">
      <w:pPr>
        <w:rPr>
          <w:sz w:val="22"/>
          <w:szCs w:val="22"/>
        </w:rPr>
      </w:pPr>
    </w:p>
    <w:p w14:paraId="0F82787F" w14:textId="3BB8F25E" w:rsidR="00D02CF1" w:rsidRDefault="00874CAC" w:rsidP="00D02CF1">
      <w:pPr>
        <w:rPr>
          <w:sz w:val="22"/>
          <w:szCs w:val="22"/>
        </w:rPr>
      </w:pPr>
      <w:r w:rsidRPr="00D02CF1">
        <w:rPr>
          <w:sz w:val="22"/>
          <w:szCs w:val="22"/>
        </w:rPr>
        <w:t xml:space="preserve">Due to unfavorable waterhemp germination conditions, waterhemp seed were planted into research plots on 16 June 2022, and existing waterhemp plants were </w:t>
      </w:r>
      <w:r w:rsidR="00D02CF1" w:rsidRPr="00D02CF1">
        <w:rPr>
          <w:sz w:val="22"/>
          <w:szCs w:val="22"/>
        </w:rPr>
        <w:t xml:space="preserve">allowed </w:t>
      </w:r>
      <w:r w:rsidRPr="00D02CF1">
        <w:rPr>
          <w:sz w:val="22"/>
          <w:szCs w:val="22"/>
        </w:rPr>
        <w:t>to grow. Using puff plugs, Palmer amaranth plants were initiated in the greenhouse on 10 June 2022 and then transplanted into research plots on 30 June 2022. The waterhemp and Palmer amaranth seed used for this experiment was collected from the</w:t>
      </w:r>
      <w:r w:rsidR="00097BC1" w:rsidRPr="00D02CF1">
        <w:rPr>
          <w:sz w:val="22"/>
          <w:szCs w:val="22"/>
        </w:rPr>
        <w:t>ir</w:t>
      </w:r>
      <w:r w:rsidRPr="00D02CF1">
        <w:rPr>
          <w:sz w:val="22"/>
          <w:szCs w:val="22"/>
        </w:rPr>
        <w:t xml:space="preserve"> respective research sites in 2021.</w:t>
      </w:r>
      <w:r w:rsidR="00D02CF1" w:rsidRPr="00D02CF1">
        <w:rPr>
          <w:sz w:val="22"/>
          <w:szCs w:val="22"/>
        </w:rPr>
        <w:t xml:space="preserve"> </w:t>
      </w:r>
      <w:r w:rsidR="00D4330E" w:rsidRPr="00D02CF1">
        <w:rPr>
          <w:sz w:val="22"/>
          <w:szCs w:val="22"/>
        </w:rPr>
        <w:t>Throughout the growing season, plots were hand weeded weekly, and the heights of eight random s</w:t>
      </w:r>
      <w:r w:rsidR="00097BC1" w:rsidRPr="00D02CF1">
        <w:rPr>
          <w:sz w:val="22"/>
          <w:szCs w:val="22"/>
        </w:rPr>
        <w:t xml:space="preserve">oybean and weed </w:t>
      </w:r>
      <w:r w:rsidR="00D4330E" w:rsidRPr="00D02CF1">
        <w:rPr>
          <w:sz w:val="22"/>
          <w:szCs w:val="22"/>
        </w:rPr>
        <w:t xml:space="preserve">plants </w:t>
      </w:r>
      <w:r w:rsidR="006F729F" w:rsidRPr="00D02CF1">
        <w:rPr>
          <w:sz w:val="22"/>
          <w:szCs w:val="22"/>
        </w:rPr>
        <w:t xml:space="preserve">per plot </w:t>
      </w:r>
      <w:r w:rsidR="00097BC1" w:rsidRPr="00D02CF1">
        <w:rPr>
          <w:sz w:val="22"/>
          <w:szCs w:val="22"/>
        </w:rPr>
        <w:t>were measured fortnightly</w:t>
      </w:r>
      <w:r w:rsidR="00D4330E" w:rsidRPr="00D02CF1">
        <w:rPr>
          <w:sz w:val="22"/>
          <w:szCs w:val="22"/>
        </w:rPr>
        <w:t>. Total w</w:t>
      </w:r>
      <w:r w:rsidR="006F729F" w:rsidRPr="00D02CF1">
        <w:rPr>
          <w:sz w:val="22"/>
          <w:szCs w:val="22"/>
        </w:rPr>
        <w:t xml:space="preserve">aterhemp biomass was collected </w:t>
      </w:r>
      <w:r w:rsidR="00D4330E" w:rsidRPr="00D02CF1">
        <w:rPr>
          <w:sz w:val="22"/>
          <w:szCs w:val="22"/>
        </w:rPr>
        <w:t xml:space="preserve">on 4 Oct. 2022, and soybeans from the waterhemp site were harvested using a </w:t>
      </w:r>
      <w:r w:rsidR="00152A42">
        <w:rPr>
          <w:sz w:val="22"/>
          <w:szCs w:val="22"/>
        </w:rPr>
        <w:t xml:space="preserve">small-plot </w:t>
      </w:r>
      <w:r w:rsidR="00D4330E" w:rsidRPr="00D02CF1">
        <w:rPr>
          <w:sz w:val="22"/>
          <w:szCs w:val="22"/>
        </w:rPr>
        <w:t>combine</w:t>
      </w:r>
      <w:r w:rsidR="00152A42">
        <w:rPr>
          <w:sz w:val="22"/>
          <w:szCs w:val="22"/>
        </w:rPr>
        <w:t xml:space="preserve"> (Zurn</w:t>
      </w:r>
      <w:r w:rsidR="005B749A">
        <w:rPr>
          <w:sz w:val="22"/>
          <w:szCs w:val="22"/>
        </w:rPr>
        <w:t xml:space="preserve"> Harvesting, Werther, Germany)</w:t>
      </w:r>
      <w:r w:rsidR="00D4330E" w:rsidRPr="00D02CF1">
        <w:rPr>
          <w:sz w:val="22"/>
          <w:szCs w:val="22"/>
        </w:rPr>
        <w:t xml:space="preserve"> on 5 Oct. 2022. Twelve</w:t>
      </w:r>
      <w:r w:rsidR="00E444DF">
        <w:rPr>
          <w:sz w:val="22"/>
          <w:szCs w:val="22"/>
        </w:rPr>
        <w:t xml:space="preserve"> </w:t>
      </w:r>
      <w:r w:rsidR="00D4330E" w:rsidRPr="00D02CF1">
        <w:rPr>
          <w:sz w:val="22"/>
          <w:szCs w:val="22"/>
        </w:rPr>
        <w:t xml:space="preserve">Palmer amaranth plants were collected and sexed from each plot on 13 Oct. 2022, </w:t>
      </w:r>
      <w:r w:rsidR="00E444DF">
        <w:rPr>
          <w:sz w:val="22"/>
          <w:szCs w:val="22"/>
        </w:rPr>
        <w:t>eight random soybean plants were collected to measure yield components (</w:t>
      </w:r>
      <w:r w:rsidR="0008163F">
        <w:rPr>
          <w:sz w:val="22"/>
          <w:szCs w:val="22"/>
        </w:rPr>
        <w:t xml:space="preserve">i.e., </w:t>
      </w:r>
      <w:r w:rsidR="00E444DF">
        <w:rPr>
          <w:sz w:val="22"/>
          <w:szCs w:val="22"/>
        </w:rPr>
        <w:t>pods plant</w:t>
      </w:r>
      <w:r w:rsidR="00E444DF">
        <w:rPr>
          <w:sz w:val="22"/>
          <w:szCs w:val="22"/>
          <w:vertAlign w:val="superscript"/>
        </w:rPr>
        <w:t>-1</w:t>
      </w:r>
      <w:r w:rsidR="00E444DF">
        <w:rPr>
          <w:sz w:val="22"/>
          <w:szCs w:val="22"/>
        </w:rPr>
        <w:t xml:space="preserve"> and seeds pod</w:t>
      </w:r>
      <w:r w:rsidR="00E444DF">
        <w:rPr>
          <w:sz w:val="22"/>
          <w:szCs w:val="22"/>
          <w:vertAlign w:val="superscript"/>
        </w:rPr>
        <w:t>-1</w:t>
      </w:r>
      <w:r w:rsidR="00E444DF">
        <w:rPr>
          <w:sz w:val="22"/>
          <w:szCs w:val="22"/>
        </w:rPr>
        <w:t>)</w:t>
      </w:r>
      <w:r w:rsidR="00CD43F5">
        <w:rPr>
          <w:sz w:val="22"/>
          <w:szCs w:val="22"/>
        </w:rPr>
        <w:t xml:space="preserve"> on 14 Oct. 2022</w:t>
      </w:r>
      <w:r w:rsidR="00E444DF">
        <w:rPr>
          <w:sz w:val="22"/>
          <w:szCs w:val="22"/>
        </w:rPr>
        <w:t xml:space="preserve">, </w:t>
      </w:r>
      <w:r w:rsidR="00D4330E" w:rsidRPr="00D02CF1">
        <w:rPr>
          <w:sz w:val="22"/>
          <w:szCs w:val="22"/>
        </w:rPr>
        <w:t xml:space="preserve">and soybeans from the Palmer amaranth site were harvested using a </w:t>
      </w:r>
      <w:r w:rsidR="005B749A">
        <w:rPr>
          <w:sz w:val="22"/>
          <w:szCs w:val="22"/>
        </w:rPr>
        <w:t>small-plot</w:t>
      </w:r>
      <w:r w:rsidR="00D4330E" w:rsidRPr="00D02CF1">
        <w:rPr>
          <w:sz w:val="22"/>
          <w:szCs w:val="22"/>
        </w:rPr>
        <w:t xml:space="preserve"> combine on 18 Oct. 2022.</w:t>
      </w:r>
      <w:r w:rsidR="008B4B11" w:rsidRPr="00D02CF1">
        <w:rPr>
          <w:sz w:val="22"/>
          <w:szCs w:val="22"/>
        </w:rPr>
        <w:t xml:space="preserve"> </w:t>
      </w:r>
    </w:p>
    <w:p w14:paraId="702A0C47" w14:textId="77777777" w:rsidR="003A1AD1" w:rsidRDefault="003A1AD1" w:rsidP="00D02CF1">
      <w:pPr>
        <w:rPr>
          <w:sz w:val="22"/>
          <w:szCs w:val="22"/>
        </w:rPr>
      </w:pPr>
    </w:p>
    <w:p w14:paraId="0325BF0C" w14:textId="3CBF69EF" w:rsidR="003A1AD1" w:rsidRPr="00152A42" w:rsidRDefault="00152A42" w:rsidP="00D02CF1">
      <w:pPr>
        <w:rPr>
          <w:sz w:val="22"/>
          <w:szCs w:val="22"/>
        </w:rPr>
      </w:pPr>
      <w:r>
        <w:rPr>
          <w:sz w:val="22"/>
          <w:szCs w:val="22"/>
        </w:rPr>
        <w:t>When appropriate, a</w:t>
      </w:r>
      <w:r w:rsidR="003A1AD1">
        <w:rPr>
          <w:sz w:val="22"/>
          <w:szCs w:val="22"/>
        </w:rPr>
        <w:t xml:space="preserve"> rectangular hyperbola model was used to describe crop yield loss as a function of weed density</w:t>
      </w:r>
      <w:r w:rsidR="005B749A">
        <w:rPr>
          <w:sz w:val="22"/>
          <w:szCs w:val="22"/>
        </w:rPr>
        <w:t>,</w:t>
      </w:r>
      <w:r>
        <w:rPr>
          <w:sz w:val="22"/>
          <w:szCs w:val="22"/>
        </w:rPr>
        <w:t xml:space="preserve"> where </w:t>
      </w:r>
      <w:r>
        <w:rPr>
          <w:i/>
          <w:iCs/>
          <w:sz w:val="22"/>
          <w:szCs w:val="22"/>
        </w:rPr>
        <w:t>I</w:t>
      </w:r>
      <w:r>
        <w:rPr>
          <w:sz w:val="22"/>
          <w:szCs w:val="22"/>
        </w:rPr>
        <w:t xml:space="preserve"> = yield loss per unit weed density as density nears 0 and </w:t>
      </w:r>
      <w:r>
        <w:rPr>
          <w:i/>
          <w:iCs/>
          <w:sz w:val="22"/>
          <w:szCs w:val="22"/>
        </w:rPr>
        <w:t>A</w:t>
      </w:r>
      <w:r>
        <w:rPr>
          <w:sz w:val="22"/>
          <w:szCs w:val="22"/>
        </w:rPr>
        <w:t xml:space="preserve"> = yield loss as weed density </w:t>
      </w:r>
      <w:r w:rsidRPr="00152A42">
        <w:rPr>
          <w:rFonts w:cstheme="minorHAnsi"/>
          <w:sz w:val="22"/>
          <w:szCs w:val="22"/>
        </w:rPr>
        <w:t>nears ∞</w:t>
      </w:r>
      <w:r w:rsidR="005E13A2">
        <w:rPr>
          <w:rFonts w:cstheme="minorHAnsi"/>
          <w:sz w:val="22"/>
          <w:szCs w:val="22"/>
        </w:rPr>
        <w:t xml:space="preserve"> (Cousens, 1985)</w:t>
      </w:r>
      <w:r w:rsidRPr="00152A42">
        <w:rPr>
          <w:rFonts w:cstheme="minorHAnsi"/>
          <w:sz w:val="22"/>
          <w:szCs w:val="22"/>
        </w:rPr>
        <w:t>:</w:t>
      </w:r>
    </w:p>
    <w:p w14:paraId="778CC4BA" w14:textId="77777777" w:rsidR="00152A42" w:rsidRDefault="00152A42" w:rsidP="00D02CF1">
      <w:pPr>
        <w:rPr>
          <w:sz w:val="22"/>
          <w:szCs w:val="22"/>
        </w:rPr>
      </w:pPr>
    </w:p>
    <w:p w14:paraId="0E2F7D83" w14:textId="211279A2" w:rsidR="00152A42" w:rsidRPr="00CD43F5" w:rsidRDefault="00152A42" w:rsidP="00152A42">
      <w:pPr>
        <w:jc w:val="center"/>
        <w:rPr>
          <w:rFonts w:cstheme="minorHAnsi"/>
          <w:sz w:val="22"/>
          <w:szCs w:val="22"/>
        </w:rPr>
      </w:pPr>
      <m:oMathPara>
        <m:oMath>
          <m:r>
            <m:rPr>
              <m:sty m:val="p"/>
            </m:rPr>
            <w:rPr>
              <w:rFonts w:ascii="Cambria Math" w:hAnsi="Cambria Math" w:cstheme="minorHAnsi"/>
              <w:sz w:val="22"/>
              <w:szCs w:val="22"/>
            </w:rPr>
            <m:t xml:space="preserve">Yield loss </m:t>
          </m:r>
          <m:d>
            <m:dPr>
              <m:ctrlPr>
                <w:rPr>
                  <w:rFonts w:ascii="Cambria Math" w:hAnsi="Cambria Math" w:cstheme="minorHAnsi"/>
                  <w:iCs/>
                  <w:sz w:val="22"/>
                  <w:szCs w:val="22"/>
                </w:rPr>
              </m:ctrlPr>
            </m:dPr>
            <m:e>
              <m:r>
                <m:rPr>
                  <m:sty m:val="p"/>
                </m:rPr>
                <w:rPr>
                  <w:rFonts w:ascii="Cambria Math" w:hAnsi="Cambria Math" w:cstheme="minorHAnsi"/>
                  <w:sz w:val="22"/>
                  <w:szCs w:val="22"/>
                </w:rPr>
                <m:t>%</m:t>
              </m:r>
            </m:e>
          </m:d>
          <m:r>
            <w:rPr>
              <w:rFonts w:ascii="Cambria Math" w:hAnsi="Cambria Math" w:cstheme="minorHAnsi"/>
              <w:sz w:val="22"/>
              <w:szCs w:val="22"/>
            </w:rPr>
            <m:t xml:space="preserve">= </m:t>
          </m:r>
          <m:f>
            <m:fPr>
              <m:ctrlPr>
                <w:rPr>
                  <w:rFonts w:ascii="Cambria Math" w:hAnsi="Cambria Math" w:cstheme="minorHAnsi"/>
                  <w:i/>
                  <w:sz w:val="22"/>
                  <w:szCs w:val="22"/>
                </w:rPr>
              </m:ctrlPr>
            </m:fPr>
            <m:num>
              <m:r>
                <w:rPr>
                  <w:rFonts w:ascii="Cambria Math" w:hAnsi="Cambria Math" w:cstheme="minorHAnsi"/>
                  <w:sz w:val="22"/>
                  <w:szCs w:val="22"/>
                </w:rPr>
                <m:t>I×</m:t>
              </m:r>
              <m:r>
                <m:rPr>
                  <m:sty m:val="p"/>
                </m:rPr>
                <w:rPr>
                  <w:rFonts w:ascii="Cambria Math" w:hAnsi="Cambria Math" w:cstheme="minorHAnsi"/>
                  <w:sz w:val="22"/>
                  <w:szCs w:val="22"/>
                </w:rPr>
                <m:t>weed density</m:t>
              </m:r>
            </m:num>
            <m:den>
              <m:r>
                <w:rPr>
                  <w:rFonts w:ascii="Cambria Math" w:hAnsi="Cambria Math" w:cstheme="minorHAnsi"/>
                  <w:sz w:val="22"/>
                  <w:szCs w:val="22"/>
                </w:rPr>
                <m:t>1+</m:t>
              </m:r>
              <m:d>
                <m:dPr>
                  <m:ctrlPr>
                    <w:rPr>
                      <w:rFonts w:ascii="Cambria Math" w:hAnsi="Cambria Math" w:cstheme="minorHAnsi"/>
                      <w:i/>
                      <w:sz w:val="22"/>
                      <w:szCs w:val="22"/>
                    </w:rPr>
                  </m:ctrlPr>
                </m:dPr>
                <m:e>
                  <m:f>
                    <m:fPr>
                      <m:ctrlPr>
                        <w:rPr>
                          <w:rFonts w:ascii="Cambria Math" w:hAnsi="Cambria Math" w:cstheme="minorHAnsi"/>
                          <w:i/>
                          <w:sz w:val="22"/>
                          <w:szCs w:val="22"/>
                        </w:rPr>
                      </m:ctrlPr>
                    </m:fPr>
                    <m:num>
                      <m:r>
                        <w:rPr>
                          <w:rFonts w:ascii="Cambria Math" w:hAnsi="Cambria Math" w:cstheme="minorHAnsi"/>
                          <w:sz w:val="22"/>
                          <w:szCs w:val="22"/>
                        </w:rPr>
                        <m:t>1</m:t>
                      </m:r>
                    </m:num>
                    <m:den>
                      <m:r>
                        <w:rPr>
                          <w:rFonts w:ascii="Cambria Math" w:hAnsi="Cambria Math" w:cstheme="minorHAnsi"/>
                          <w:sz w:val="22"/>
                          <w:szCs w:val="22"/>
                        </w:rPr>
                        <m:t>A</m:t>
                      </m:r>
                    </m:den>
                  </m:f>
                </m:e>
              </m:d>
              <m:r>
                <w:rPr>
                  <w:rFonts w:ascii="Cambria Math" w:hAnsi="Cambria Math" w:cstheme="minorHAnsi"/>
                  <w:sz w:val="22"/>
                  <w:szCs w:val="22"/>
                </w:rPr>
                <m:t>×</m:t>
              </m:r>
              <m:r>
                <m:rPr>
                  <m:sty m:val="p"/>
                </m:rPr>
                <w:rPr>
                  <w:rFonts w:ascii="Cambria Math" w:hAnsi="Cambria Math" w:cstheme="minorHAnsi"/>
                  <w:sz w:val="22"/>
                  <w:szCs w:val="22"/>
                </w:rPr>
                <m:t>weed density</m:t>
              </m:r>
            </m:den>
          </m:f>
        </m:oMath>
      </m:oMathPara>
    </w:p>
    <w:p w14:paraId="300444F6" w14:textId="77777777" w:rsidR="00B40F7B" w:rsidRPr="00D02CF1" w:rsidRDefault="00B40F7B">
      <w:pPr>
        <w:rPr>
          <w:b/>
          <w:bCs/>
          <w:sz w:val="22"/>
          <w:szCs w:val="22"/>
        </w:rPr>
      </w:pPr>
    </w:p>
    <w:p w14:paraId="2672D47C" w14:textId="3126274F" w:rsidR="00B04800" w:rsidRDefault="00B40F7B">
      <w:pPr>
        <w:rPr>
          <w:sz w:val="22"/>
          <w:szCs w:val="22"/>
        </w:rPr>
      </w:pPr>
      <w:r w:rsidRPr="00D02CF1">
        <w:rPr>
          <w:b/>
          <w:bCs/>
          <w:sz w:val="22"/>
          <w:szCs w:val="22"/>
        </w:rPr>
        <w:t>Results</w:t>
      </w:r>
      <w:r w:rsidR="00597493">
        <w:rPr>
          <w:b/>
          <w:bCs/>
          <w:sz w:val="22"/>
          <w:szCs w:val="22"/>
        </w:rPr>
        <w:t xml:space="preserve">: </w:t>
      </w:r>
      <w:r w:rsidR="00E444DF">
        <w:rPr>
          <w:sz w:val="22"/>
          <w:szCs w:val="22"/>
        </w:rPr>
        <w:t xml:space="preserve">In year 1 of this experiment, Palmer amaranth was modeled to cause a 57% </w:t>
      </w:r>
      <w:r w:rsidR="00B04800">
        <w:rPr>
          <w:sz w:val="22"/>
          <w:szCs w:val="22"/>
        </w:rPr>
        <w:t xml:space="preserve">soybean </w:t>
      </w:r>
      <w:r w:rsidR="00E444DF">
        <w:rPr>
          <w:sz w:val="22"/>
          <w:szCs w:val="22"/>
        </w:rPr>
        <w:t xml:space="preserve">yield loss as weed density neared </w:t>
      </w:r>
      <w:r w:rsidR="00E444DF" w:rsidRPr="00152A42">
        <w:rPr>
          <w:rFonts w:cstheme="minorHAnsi"/>
          <w:sz w:val="22"/>
          <w:szCs w:val="22"/>
        </w:rPr>
        <w:t>∞</w:t>
      </w:r>
      <w:r w:rsidR="00E444DF">
        <w:rPr>
          <w:sz w:val="22"/>
          <w:szCs w:val="22"/>
        </w:rPr>
        <w:t xml:space="preserve"> a</w:t>
      </w:r>
      <w:r w:rsidR="00CD43F5">
        <w:rPr>
          <w:sz w:val="22"/>
          <w:szCs w:val="22"/>
        </w:rPr>
        <w:t>s well as</w:t>
      </w:r>
      <w:r w:rsidR="00E444DF">
        <w:rPr>
          <w:sz w:val="22"/>
          <w:szCs w:val="22"/>
        </w:rPr>
        <w:t xml:space="preserve"> a 27% </w:t>
      </w:r>
      <w:r w:rsidR="00B04800">
        <w:rPr>
          <w:sz w:val="22"/>
          <w:szCs w:val="22"/>
        </w:rPr>
        <w:t xml:space="preserve">soybean </w:t>
      </w:r>
      <w:r w:rsidR="00E444DF">
        <w:rPr>
          <w:sz w:val="22"/>
          <w:szCs w:val="22"/>
        </w:rPr>
        <w:t>yield loss per unit weed density as density approached 0</w:t>
      </w:r>
      <w:r w:rsidR="00CD43F5">
        <w:rPr>
          <w:sz w:val="22"/>
          <w:szCs w:val="22"/>
        </w:rPr>
        <w:t xml:space="preserve"> (Figure 1)</w:t>
      </w:r>
      <w:r w:rsidR="00E444DF">
        <w:rPr>
          <w:sz w:val="22"/>
          <w:szCs w:val="22"/>
        </w:rPr>
        <w:t xml:space="preserve">. </w:t>
      </w:r>
      <w:r w:rsidR="00CD43F5">
        <w:rPr>
          <w:sz w:val="22"/>
          <w:szCs w:val="22"/>
        </w:rPr>
        <w:t>Palmer amaranth density influenced soybean pods plant</w:t>
      </w:r>
      <w:r w:rsidR="00CD43F5">
        <w:rPr>
          <w:sz w:val="22"/>
          <w:szCs w:val="22"/>
          <w:vertAlign w:val="superscript"/>
        </w:rPr>
        <w:t>-1</w:t>
      </w:r>
      <w:r w:rsidR="00CD43F5">
        <w:rPr>
          <w:sz w:val="22"/>
          <w:szCs w:val="22"/>
        </w:rPr>
        <w:t xml:space="preserve"> (P = 0.0049) but not seeds pod</w:t>
      </w:r>
      <w:r w:rsidR="00CD43F5">
        <w:rPr>
          <w:sz w:val="22"/>
          <w:szCs w:val="22"/>
          <w:vertAlign w:val="superscript"/>
        </w:rPr>
        <w:t>-1</w:t>
      </w:r>
      <w:r w:rsidR="00CD43F5">
        <w:rPr>
          <w:sz w:val="22"/>
          <w:szCs w:val="22"/>
        </w:rPr>
        <w:t xml:space="preserve"> (P = 0.4792). The highest Palmer amaranth density (8 plants m</w:t>
      </w:r>
      <w:r w:rsidR="00CD43F5">
        <w:rPr>
          <w:sz w:val="22"/>
          <w:szCs w:val="22"/>
          <w:vertAlign w:val="superscript"/>
        </w:rPr>
        <w:t>-1</w:t>
      </w:r>
      <w:r w:rsidR="00CD43F5">
        <w:rPr>
          <w:sz w:val="22"/>
          <w:szCs w:val="22"/>
        </w:rPr>
        <w:t>) had fewer soybean pods plant</w:t>
      </w:r>
      <w:r w:rsidR="00CD43F5">
        <w:rPr>
          <w:sz w:val="22"/>
          <w:szCs w:val="22"/>
          <w:vertAlign w:val="superscript"/>
        </w:rPr>
        <w:t>-1</w:t>
      </w:r>
      <w:r w:rsidR="00CD43F5">
        <w:rPr>
          <w:sz w:val="22"/>
          <w:szCs w:val="22"/>
        </w:rPr>
        <w:t xml:space="preserve"> than the lowest two Palmer amaranth densities (0 and 0.5 plants m</w:t>
      </w:r>
      <w:r w:rsidR="00CD43F5">
        <w:rPr>
          <w:sz w:val="22"/>
          <w:szCs w:val="22"/>
          <w:vertAlign w:val="superscript"/>
        </w:rPr>
        <w:t>-1</w:t>
      </w:r>
      <w:r w:rsidR="00CD43F5">
        <w:rPr>
          <w:sz w:val="22"/>
          <w:szCs w:val="22"/>
        </w:rPr>
        <w:t xml:space="preserve">; Figure 2). </w:t>
      </w:r>
      <w:r w:rsidR="00AB5F37">
        <w:rPr>
          <w:sz w:val="22"/>
          <w:szCs w:val="22"/>
        </w:rPr>
        <w:t>As Palmer amaranth density increased, so did Palmer amaranth biomass (P &lt; 0.05; data not shown).</w:t>
      </w:r>
    </w:p>
    <w:p w14:paraId="3C78206A" w14:textId="77777777" w:rsidR="00B04800" w:rsidRDefault="00B04800">
      <w:pPr>
        <w:rPr>
          <w:sz w:val="22"/>
          <w:szCs w:val="22"/>
        </w:rPr>
      </w:pPr>
    </w:p>
    <w:p w14:paraId="444F1DE4" w14:textId="0642FD88" w:rsidR="00B04800" w:rsidRDefault="00B04800">
      <w:pPr>
        <w:rPr>
          <w:sz w:val="22"/>
          <w:szCs w:val="22"/>
        </w:rPr>
      </w:pPr>
      <w:r>
        <w:rPr>
          <w:sz w:val="22"/>
          <w:szCs w:val="22"/>
        </w:rPr>
        <w:t xml:space="preserve">Final waterhemp density was not uniform by treatment, so waterhemp biomass vs. soybean yield was subjected to linear regression. </w:t>
      </w:r>
      <w:r w:rsidR="00E2750C">
        <w:rPr>
          <w:sz w:val="22"/>
          <w:szCs w:val="22"/>
        </w:rPr>
        <w:t>T</w:t>
      </w:r>
      <w:r>
        <w:rPr>
          <w:sz w:val="22"/>
          <w:szCs w:val="22"/>
        </w:rPr>
        <w:t xml:space="preserve">here was an </w:t>
      </w:r>
      <w:r w:rsidR="00E2750C">
        <w:rPr>
          <w:sz w:val="22"/>
          <w:szCs w:val="22"/>
        </w:rPr>
        <w:t>apparent inverse relationship between waterhemp biomass and soybean yield, with an approximate 0.58 kg ha</w:t>
      </w:r>
      <w:r w:rsidR="00E2750C">
        <w:rPr>
          <w:sz w:val="22"/>
          <w:szCs w:val="22"/>
          <w:vertAlign w:val="superscript"/>
        </w:rPr>
        <w:t>-1</w:t>
      </w:r>
      <w:r w:rsidR="00E2750C">
        <w:rPr>
          <w:sz w:val="22"/>
          <w:szCs w:val="22"/>
        </w:rPr>
        <w:t xml:space="preserve"> soybean yield loss for each kg ha</w:t>
      </w:r>
      <w:r w:rsidR="00E2750C">
        <w:rPr>
          <w:sz w:val="22"/>
          <w:szCs w:val="22"/>
          <w:vertAlign w:val="superscript"/>
        </w:rPr>
        <w:t>-1</w:t>
      </w:r>
      <w:r w:rsidR="00E2750C">
        <w:rPr>
          <w:sz w:val="22"/>
          <w:szCs w:val="22"/>
        </w:rPr>
        <w:t xml:space="preserve"> waterhemp biomass</w:t>
      </w:r>
      <w:r w:rsidR="00AB5F37">
        <w:rPr>
          <w:sz w:val="22"/>
          <w:szCs w:val="22"/>
        </w:rPr>
        <w:t xml:space="preserve"> (Figure 3)</w:t>
      </w:r>
      <w:r w:rsidR="00E2750C">
        <w:rPr>
          <w:sz w:val="22"/>
          <w:szCs w:val="22"/>
        </w:rPr>
        <w:t>.</w:t>
      </w:r>
    </w:p>
    <w:p w14:paraId="790182E7" w14:textId="77777777" w:rsidR="00AB5F37" w:rsidRDefault="00AB5F37">
      <w:pPr>
        <w:rPr>
          <w:sz w:val="22"/>
          <w:szCs w:val="22"/>
        </w:rPr>
      </w:pPr>
    </w:p>
    <w:p w14:paraId="2A962807" w14:textId="53E7D8C6" w:rsidR="00AB5F37" w:rsidRPr="00E2750C" w:rsidRDefault="00AB5F37">
      <w:pPr>
        <w:rPr>
          <w:sz w:val="22"/>
          <w:szCs w:val="22"/>
        </w:rPr>
      </w:pPr>
      <w:r>
        <w:rPr>
          <w:sz w:val="22"/>
          <w:szCs w:val="22"/>
        </w:rPr>
        <w:t>This research will be repeated in 2023.</w:t>
      </w:r>
    </w:p>
    <w:p w14:paraId="33A5304D" w14:textId="4C04E615" w:rsidR="008B4B11" w:rsidRDefault="005B749A" w:rsidP="005B749A">
      <w:pPr>
        <w:jc w:val="center"/>
      </w:pPr>
      <w:r w:rsidRPr="005B749A">
        <w:rPr>
          <w:noProof/>
        </w:rPr>
        <w:lastRenderedPageBreak/>
        <w:drawing>
          <wp:inline distT="0" distB="0" distL="0" distR="0" wp14:anchorId="3988C088" wp14:editId="161B327D">
            <wp:extent cx="5394960" cy="3817489"/>
            <wp:effectExtent l="0" t="0" r="0" b="0"/>
            <wp:docPr id="10" name="Picture 9">
              <a:extLst xmlns:a="http://schemas.openxmlformats.org/drawingml/2006/main">
                <a:ext uri="{FF2B5EF4-FFF2-40B4-BE49-F238E27FC236}">
                  <a16:creationId xmlns:a16="http://schemas.microsoft.com/office/drawing/2014/main" id="{0A701853-FF6A-F140-3983-F67CF2468A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A701853-FF6A-F140-3983-F67CF2468A0E}"/>
                        </a:ext>
                      </a:extLst>
                    </pic:cNvPr>
                    <pic:cNvPicPr>
                      <a:picLocks noChangeAspect="1"/>
                    </pic:cNvPicPr>
                  </pic:nvPicPr>
                  <pic:blipFill>
                    <a:blip r:embed="rId6"/>
                    <a:stretch>
                      <a:fillRect/>
                    </a:stretch>
                  </pic:blipFill>
                  <pic:spPr>
                    <a:xfrm>
                      <a:off x="0" y="0"/>
                      <a:ext cx="5394960" cy="3817489"/>
                    </a:xfrm>
                    <a:prstGeom prst="rect">
                      <a:avLst/>
                    </a:prstGeom>
                  </pic:spPr>
                </pic:pic>
              </a:graphicData>
            </a:graphic>
          </wp:inline>
        </w:drawing>
      </w:r>
    </w:p>
    <w:p w14:paraId="50E8598A" w14:textId="19DE4861" w:rsidR="001969DD" w:rsidRDefault="008B4B11">
      <w:pPr>
        <w:rPr>
          <w:sz w:val="22"/>
          <w:szCs w:val="22"/>
        </w:rPr>
      </w:pPr>
      <w:r w:rsidRPr="00D02CF1">
        <w:rPr>
          <w:sz w:val="22"/>
          <w:szCs w:val="22"/>
        </w:rPr>
        <w:t xml:space="preserve">Figure 1. Soybean yield (adjusted to 13% moisture) </w:t>
      </w:r>
      <w:r w:rsidR="005B749A">
        <w:rPr>
          <w:sz w:val="22"/>
          <w:szCs w:val="22"/>
        </w:rPr>
        <w:t xml:space="preserve">loss </w:t>
      </w:r>
      <w:r w:rsidRPr="00D02CF1">
        <w:rPr>
          <w:sz w:val="22"/>
          <w:szCs w:val="22"/>
        </w:rPr>
        <w:t xml:space="preserve">as influenced by Palmer amaranth density </w:t>
      </w:r>
      <w:bookmarkStart w:id="0" w:name="OLE_LINK1"/>
      <w:r w:rsidRPr="00D02CF1">
        <w:rPr>
          <w:sz w:val="22"/>
          <w:szCs w:val="22"/>
        </w:rPr>
        <w:t>(expressed as plants per m row)</w:t>
      </w:r>
      <w:bookmarkEnd w:id="0"/>
      <w:r w:rsidRPr="00D02CF1">
        <w:rPr>
          <w:sz w:val="22"/>
          <w:szCs w:val="22"/>
        </w:rPr>
        <w:t xml:space="preserve">. </w:t>
      </w:r>
      <w:r w:rsidR="00D7274F">
        <w:rPr>
          <w:sz w:val="22"/>
          <w:szCs w:val="22"/>
        </w:rPr>
        <w:t>A rectangular hyperbola model was used, and t</w:t>
      </w:r>
      <w:r w:rsidR="001505B3">
        <w:rPr>
          <w:sz w:val="22"/>
          <w:szCs w:val="22"/>
        </w:rPr>
        <w:t>he m</w:t>
      </w:r>
      <w:r w:rsidR="005B749A">
        <w:rPr>
          <w:sz w:val="22"/>
          <w:szCs w:val="22"/>
        </w:rPr>
        <w:t>ean and standard error</w:t>
      </w:r>
      <w:r w:rsidR="001505B3">
        <w:rPr>
          <w:sz w:val="22"/>
          <w:szCs w:val="22"/>
        </w:rPr>
        <w:t xml:space="preserve"> bars</w:t>
      </w:r>
      <w:r w:rsidR="005B749A">
        <w:rPr>
          <w:sz w:val="22"/>
          <w:szCs w:val="22"/>
        </w:rPr>
        <w:t xml:space="preserve"> for each Palmer amaranth density are presented</w:t>
      </w:r>
      <w:r w:rsidR="001969DD" w:rsidRPr="00D02CF1">
        <w:rPr>
          <w:sz w:val="22"/>
          <w:szCs w:val="22"/>
        </w:rPr>
        <w:t>.</w:t>
      </w:r>
      <w:r w:rsidR="002950A1">
        <w:rPr>
          <w:sz w:val="22"/>
          <w:szCs w:val="22"/>
        </w:rPr>
        <w:t xml:space="preserve"> Soybeans were planted on 6 June, Palmer amaranth was transplanted on 30 June, and soybeans were harvested on 18 October in 2022.</w:t>
      </w:r>
    </w:p>
    <w:p w14:paraId="0D4F9D62" w14:textId="77777777" w:rsidR="001505B3" w:rsidRDefault="001505B3">
      <w:pPr>
        <w:rPr>
          <w:sz w:val="22"/>
          <w:szCs w:val="22"/>
        </w:rPr>
      </w:pPr>
    </w:p>
    <w:p w14:paraId="725D45CC" w14:textId="77777777" w:rsidR="00A10C00" w:rsidRDefault="00A10C00">
      <w:pPr>
        <w:rPr>
          <w:sz w:val="22"/>
          <w:szCs w:val="22"/>
        </w:rPr>
      </w:pPr>
    </w:p>
    <w:p w14:paraId="149F7BFC" w14:textId="2E3F5095" w:rsidR="00A10C00" w:rsidRDefault="00A10C00" w:rsidP="00A10C00">
      <w:pPr>
        <w:jc w:val="center"/>
        <w:rPr>
          <w:sz w:val="22"/>
          <w:szCs w:val="22"/>
        </w:rPr>
      </w:pPr>
      <w:r>
        <w:rPr>
          <w:noProof/>
        </w:rPr>
        <w:drawing>
          <wp:inline distT="0" distB="0" distL="0" distR="0" wp14:anchorId="4E032DEF" wp14:editId="3924AAEC">
            <wp:extent cx="4572000" cy="2743200"/>
            <wp:effectExtent l="0" t="0" r="0" b="0"/>
            <wp:docPr id="558862172" name="Chart 1">
              <a:extLst xmlns:a="http://schemas.openxmlformats.org/drawingml/2006/main">
                <a:ext uri="{FF2B5EF4-FFF2-40B4-BE49-F238E27FC236}">
                  <a16:creationId xmlns:a16="http://schemas.microsoft.com/office/drawing/2014/main" id="{75CECFB2-F99B-4E03-D7F0-D8243C411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9E04B7" w14:textId="6356B61F" w:rsidR="001505B3" w:rsidRDefault="001505B3">
      <w:pPr>
        <w:rPr>
          <w:sz w:val="22"/>
          <w:szCs w:val="22"/>
        </w:rPr>
      </w:pPr>
      <w:r>
        <w:rPr>
          <w:sz w:val="22"/>
          <w:szCs w:val="22"/>
        </w:rPr>
        <w:t>Figure 2. Soybean pods plant</w:t>
      </w:r>
      <w:r>
        <w:rPr>
          <w:sz w:val="22"/>
          <w:szCs w:val="22"/>
          <w:vertAlign w:val="superscript"/>
        </w:rPr>
        <w:t>-1</w:t>
      </w:r>
      <w:r>
        <w:rPr>
          <w:sz w:val="22"/>
          <w:szCs w:val="22"/>
        </w:rPr>
        <w:t xml:space="preserve"> as influenced by Palmer amaranth density </w:t>
      </w:r>
      <w:r w:rsidRPr="00D02CF1">
        <w:rPr>
          <w:sz w:val="22"/>
          <w:szCs w:val="22"/>
        </w:rPr>
        <w:t>(expressed as plants m</w:t>
      </w:r>
      <w:r w:rsidR="00AB5F37">
        <w:rPr>
          <w:sz w:val="22"/>
          <w:szCs w:val="22"/>
          <w:vertAlign w:val="superscript"/>
        </w:rPr>
        <w:t>-1</w:t>
      </w:r>
      <w:r w:rsidRPr="00D02CF1">
        <w:rPr>
          <w:sz w:val="22"/>
          <w:szCs w:val="22"/>
        </w:rPr>
        <w:t>)</w:t>
      </w:r>
      <w:r>
        <w:rPr>
          <w:sz w:val="22"/>
          <w:szCs w:val="22"/>
        </w:rPr>
        <w:t>. Means with the same letter are not significantly different according to Tukey’s honest significant difference test (</w:t>
      </w:r>
      <w:r>
        <w:rPr>
          <w:sz w:val="22"/>
          <w:szCs w:val="22"/>
        </w:rPr>
        <w:sym w:font="Symbol" w:char="F061"/>
      </w:r>
      <w:r>
        <w:rPr>
          <w:sz w:val="22"/>
          <w:szCs w:val="22"/>
        </w:rPr>
        <w:t xml:space="preserve"> = 0.05). </w:t>
      </w:r>
    </w:p>
    <w:p w14:paraId="29CCD7B3" w14:textId="77777777" w:rsidR="00E2750C" w:rsidRDefault="00E2750C">
      <w:pPr>
        <w:rPr>
          <w:sz w:val="22"/>
          <w:szCs w:val="22"/>
        </w:rPr>
      </w:pPr>
    </w:p>
    <w:p w14:paraId="686D8464" w14:textId="77777777" w:rsidR="00D32604" w:rsidRDefault="00D32604">
      <w:pPr>
        <w:rPr>
          <w:sz w:val="22"/>
          <w:szCs w:val="22"/>
        </w:rPr>
      </w:pPr>
      <w:r>
        <w:rPr>
          <w:sz w:val="22"/>
          <w:szCs w:val="22"/>
        </w:rPr>
        <w:br w:type="page"/>
      </w:r>
    </w:p>
    <w:p w14:paraId="6B2AFC5E" w14:textId="75FF77DE" w:rsidR="00D32604" w:rsidRDefault="00D32604" w:rsidP="00D32604">
      <w:pPr>
        <w:jc w:val="center"/>
        <w:rPr>
          <w:sz w:val="22"/>
          <w:szCs w:val="22"/>
        </w:rPr>
      </w:pPr>
      <w:r>
        <w:rPr>
          <w:noProof/>
        </w:rPr>
        <w:lastRenderedPageBreak/>
        <w:drawing>
          <wp:inline distT="0" distB="0" distL="0" distR="0" wp14:anchorId="64A67E5A" wp14:editId="59BC816D">
            <wp:extent cx="4572000" cy="2743200"/>
            <wp:effectExtent l="0" t="0" r="0" b="0"/>
            <wp:docPr id="249113714" name="Chart 1">
              <a:extLst xmlns:a="http://schemas.openxmlformats.org/drawingml/2006/main">
                <a:ext uri="{FF2B5EF4-FFF2-40B4-BE49-F238E27FC236}">
                  <a16:creationId xmlns:a16="http://schemas.microsoft.com/office/drawing/2014/main" id="{30EEAF32-3A16-00AC-2E96-E83CD93EAB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B800EE" w14:textId="4C7CCF56" w:rsidR="00E2750C" w:rsidRPr="001505B3" w:rsidRDefault="00E2750C">
      <w:pPr>
        <w:rPr>
          <w:sz w:val="22"/>
          <w:szCs w:val="22"/>
        </w:rPr>
      </w:pPr>
      <w:r w:rsidRPr="00D02CF1">
        <w:rPr>
          <w:sz w:val="22"/>
          <w:szCs w:val="22"/>
        </w:rPr>
        <w:t xml:space="preserve">Figure </w:t>
      </w:r>
      <w:r>
        <w:rPr>
          <w:sz w:val="22"/>
          <w:szCs w:val="22"/>
        </w:rPr>
        <w:t>3</w:t>
      </w:r>
      <w:r w:rsidRPr="00D02CF1">
        <w:rPr>
          <w:sz w:val="22"/>
          <w:szCs w:val="22"/>
        </w:rPr>
        <w:t xml:space="preserve">. Soybean yield (adjusted to 13% moisture) as influenced by </w:t>
      </w:r>
      <w:r>
        <w:rPr>
          <w:sz w:val="22"/>
          <w:szCs w:val="22"/>
        </w:rPr>
        <w:t>final waterhemp biomass. Each data point represents one plot</w:t>
      </w:r>
      <w:r w:rsidRPr="00D02CF1">
        <w:rPr>
          <w:sz w:val="22"/>
          <w:szCs w:val="22"/>
        </w:rPr>
        <w:t>.</w:t>
      </w:r>
      <w:r>
        <w:rPr>
          <w:sz w:val="22"/>
          <w:szCs w:val="22"/>
        </w:rPr>
        <w:t xml:space="preserve"> Soybeans were planted on 24 May, total waterhemp biomass was collected on 4 October, and soybeans were harvested on 5 October in 2022.</w:t>
      </w:r>
    </w:p>
    <w:sectPr w:rsidR="00E2750C" w:rsidRPr="001505B3" w:rsidSect="00D02CF1">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986B4" w14:textId="77777777" w:rsidR="00BE6030" w:rsidRDefault="00BE6030" w:rsidP="007128C8">
      <w:r>
        <w:separator/>
      </w:r>
    </w:p>
  </w:endnote>
  <w:endnote w:type="continuationSeparator" w:id="0">
    <w:p w14:paraId="07CF4E12" w14:textId="77777777" w:rsidR="00BE6030" w:rsidRDefault="00BE6030" w:rsidP="0071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8835706"/>
      <w:docPartObj>
        <w:docPartGallery w:val="Page Numbers (Bottom of Page)"/>
        <w:docPartUnique/>
      </w:docPartObj>
    </w:sdtPr>
    <w:sdtContent>
      <w:p w14:paraId="0EF2DBB1" w14:textId="1D95F37A" w:rsidR="007128C8" w:rsidRDefault="007128C8" w:rsidP="00763C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72E3">
          <w:rPr>
            <w:rStyle w:val="PageNumber"/>
            <w:noProof/>
          </w:rPr>
          <w:t>1</w:t>
        </w:r>
        <w:r>
          <w:rPr>
            <w:rStyle w:val="PageNumber"/>
          </w:rPr>
          <w:fldChar w:fldCharType="end"/>
        </w:r>
      </w:p>
    </w:sdtContent>
  </w:sdt>
  <w:p w14:paraId="159EFA3E" w14:textId="77777777" w:rsidR="007128C8" w:rsidRDefault="007128C8" w:rsidP="007128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4558767"/>
      <w:docPartObj>
        <w:docPartGallery w:val="Page Numbers (Bottom of Page)"/>
        <w:docPartUnique/>
      </w:docPartObj>
    </w:sdtPr>
    <w:sdtContent>
      <w:p w14:paraId="3F989D6A" w14:textId="46D6CBFF" w:rsidR="007128C8" w:rsidRDefault="007128C8" w:rsidP="00763C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2E7056" w14:textId="77777777" w:rsidR="007128C8" w:rsidRDefault="007128C8" w:rsidP="007128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C3B86" w14:textId="77777777" w:rsidR="00BE6030" w:rsidRDefault="00BE6030" w:rsidP="007128C8">
      <w:r>
        <w:separator/>
      </w:r>
    </w:p>
  </w:footnote>
  <w:footnote w:type="continuationSeparator" w:id="0">
    <w:p w14:paraId="68FE6C13" w14:textId="77777777" w:rsidR="00BE6030" w:rsidRDefault="00BE6030" w:rsidP="00712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F7B"/>
    <w:rsid w:val="0002425A"/>
    <w:rsid w:val="0008163F"/>
    <w:rsid w:val="00097BC1"/>
    <w:rsid w:val="000D483B"/>
    <w:rsid w:val="001505B3"/>
    <w:rsid w:val="00152A42"/>
    <w:rsid w:val="001969DD"/>
    <w:rsid w:val="001E72E3"/>
    <w:rsid w:val="002950A1"/>
    <w:rsid w:val="003946EF"/>
    <w:rsid w:val="003A1AD1"/>
    <w:rsid w:val="004738C4"/>
    <w:rsid w:val="004A1D89"/>
    <w:rsid w:val="00546107"/>
    <w:rsid w:val="00597493"/>
    <w:rsid w:val="005B749A"/>
    <w:rsid w:val="005E13A2"/>
    <w:rsid w:val="00694166"/>
    <w:rsid w:val="006A28AF"/>
    <w:rsid w:val="006F729F"/>
    <w:rsid w:val="007128C8"/>
    <w:rsid w:val="00874CAC"/>
    <w:rsid w:val="008B4B11"/>
    <w:rsid w:val="00990F0D"/>
    <w:rsid w:val="00A031E2"/>
    <w:rsid w:val="00A10C00"/>
    <w:rsid w:val="00AB5F37"/>
    <w:rsid w:val="00AD635A"/>
    <w:rsid w:val="00B04800"/>
    <w:rsid w:val="00B40F7B"/>
    <w:rsid w:val="00B413E7"/>
    <w:rsid w:val="00B510C7"/>
    <w:rsid w:val="00BA103C"/>
    <w:rsid w:val="00BC485F"/>
    <w:rsid w:val="00BE6030"/>
    <w:rsid w:val="00BE7FE1"/>
    <w:rsid w:val="00C40D19"/>
    <w:rsid w:val="00CD43F5"/>
    <w:rsid w:val="00CE637C"/>
    <w:rsid w:val="00D02CF1"/>
    <w:rsid w:val="00D21DC9"/>
    <w:rsid w:val="00D32604"/>
    <w:rsid w:val="00D4330E"/>
    <w:rsid w:val="00D7274F"/>
    <w:rsid w:val="00E0131F"/>
    <w:rsid w:val="00E2750C"/>
    <w:rsid w:val="00E444DF"/>
    <w:rsid w:val="00E827B2"/>
    <w:rsid w:val="00F657F6"/>
    <w:rsid w:val="00F750FE"/>
    <w:rsid w:val="00F77C0A"/>
    <w:rsid w:val="00F836D7"/>
    <w:rsid w:val="00FF3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56E64"/>
  <w15:chartTrackingRefBased/>
  <w15:docId w15:val="{669E0A9A-5388-3044-B1E1-0F90AD0C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5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F7B"/>
    <w:pPr>
      <w:ind w:left="720"/>
      <w:contextualSpacing/>
    </w:pPr>
  </w:style>
  <w:style w:type="character" w:styleId="Hyperlink">
    <w:name w:val="Hyperlink"/>
    <w:basedOn w:val="DefaultParagraphFont"/>
    <w:uiPriority w:val="99"/>
    <w:unhideWhenUsed/>
    <w:rsid w:val="00B40F7B"/>
    <w:rPr>
      <w:color w:val="0563C1" w:themeColor="hyperlink"/>
      <w:u w:val="single"/>
    </w:rPr>
  </w:style>
  <w:style w:type="character" w:styleId="UnresolvedMention">
    <w:name w:val="Unresolved Mention"/>
    <w:basedOn w:val="DefaultParagraphFont"/>
    <w:uiPriority w:val="99"/>
    <w:semiHidden/>
    <w:unhideWhenUsed/>
    <w:rsid w:val="00B40F7B"/>
    <w:rPr>
      <w:color w:val="605E5C"/>
      <w:shd w:val="clear" w:color="auto" w:fill="E1DFDD"/>
    </w:rPr>
  </w:style>
  <w:style w:type="paragraph" w:styleId="Footer">
    <w:name w:val="footer"/>
    <w:basedOn w:val="Normal"/>
    <w:link w:val="FooterChar"/>
    <w:uiPriority w:val="99"/>
    <w:unhideWhenUsed/>
    <w:rsid w:val="007128C8"/>
    <w:pPr>
      <w:tabs>
        <w:tab w:val="center" w:pos="4680"/>
        <w:tab w:val="right" w:pos="9360"/>
      </w:tabs>
    </w:pPr>
  </w:style>
  <w:style w:type="character" w:customStyle="1" w:styleId="FooterChar">
    <w:name w:val="Footer Char"/>
    <w:basedOn w:val="DefaultParagraphFont"/>
    <w:link w:val="Footer"/>
    <w:uiPriority w:val="99"/>
    <w:rsid w:val="007128C8"/>
  </w:style>
  <w:style w:type="character" w:styleId="PageNumber">
    <w:name w:val="page number"/>
    <w:basedOn w:val="DefaultParagraphFont"/>
    <w:uiPriority w:val="99"/>
    <w:semiHidden/>
    <w:unhideWhenUsed/>
    <w:rsid w:val="007128C8"/>
  </w:style>
  <w:style w:type="paragraph" w:styleId="Header">
    <w:name w:val="header"/>
    <w:basedOn w:val="Normal"/>
    <w:link w:val="HeaderChar"/>
    <w:uiPriority w:val="99"/>
    <w:unhideWhenUsed/>
    <w:rsid w:val="001E72E3"/>
    <w:pPr>
      <w:tabs>
        <w:tab w:val="center" w:pos="4680"/>
        <w:tab w:val="right" w:pos="9360"/>
      </w:tabs>
    </w:pPr>
  </w:style>
  <w:style w:type="character" w:customStyle="1" w:styleId="HeaderChar">
    <w:name w:val="Header Char"/>
    <w:basedOn w:val="DefaultParagraphFont"/>
    <w:link w:val="Header"/>
    <w:uiPriority w:val="99"/>
    <w:rsid w:val="001E72E3"/>
  </w:style>
  <w:style w:type="character" w:styleId="PlaceholderText">
    <w:name w:val="Placeholder Text"/>
    <w:basedOn w:val="DefaultParagraphFont"/>
    <w:uiPriority w:val="99"/>
    <w:semiHidden/>
    <w:rsid w:val="00152A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Volumes/NO%20NAME/Files/Law.2022.SoyYield%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quincy.law/Documents/Research/Law.2022.NDSC:SBARE/Law.2022.SoyYiel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[Law.2022.SoyYield 2.xlsx]Pod#!PivotTable1</c:name>
    <c:fmtId val="-1"/>
  </c:pivotSource>
  <c:chart>
    <c:autoTitleDeleted val="1"/>
    <c:pivotFmts>
      <c:pivotFmt>
        <c:idx val="0"/>
        <c:spPr>
          <a:solidFill>
            <a:schemeClr val="tx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2"/>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3"/>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4"/>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5"/>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6"/>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7"/>
        <c:spPr>
          <a:solidFill>
            <a:schemeClr val="tx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9"/>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0"/>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1"/>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2"/>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3"/>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4"/>
        <c:spPr>
          <a:solidFill>
            <a:schemeClr val="tx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6"/>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7"/>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8"/>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19"/>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
        <c:idx val="20"/>
        <c:spPr>
          <a:solidFill>
            <a:schemeClr val="tx1"/>
          </a:solidFill>
          <a:ln>
            <a:noFill/>
          </a:ln>
          <a:effectLst/>
        </c:spPr>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Lst>
        </c:dLbl>
      </c:pivotFmt>
    </c:pivotFmts>
    <c:plotArea>
      <c:layout/>
      <c:barChart>
        <c:barDir val="col"/>
        <c:grouping val="clustered"/>
        <c:varyColors val="0"/>
        <c:ser>
          <c:idx val="0"/>
          <c:order val="0"/>
          <c:tx>
            <c:strRef>
              <c:f>'Pod#'!$V$1</c:f>
              <c:strCache>
                <c:ptCount val="1"/>
                <c:pt idx="0">
                  <c:v>Total</c:v>
                </c:pt>
              </c:strCache>
            </c:strRef>
          </c:tx>
          <c:spPr>
            <a:solidFill>
              <a:schemeClr val="tx1"/>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2C7-4241-91E8-F5D80E95B349}"/>
                </c:ext>
              </c:extLst>
            </c:dLbl>
            <c:dLbl>
              <c:idx val="1"/>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2C7-4241-91E8-F5D80E95B349}"/>
                </c:ext>
              </c:extLst>
            </c:dLbl>
            <c:dLbl>
              <c:idx val="2"/>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2C7-4241-91E8-F5D80E95B349}"/>
                </c:ext>
              </c:extLst>
            </c:dLbl>
            <c:dLbl>
              <c:idx val="3"/>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2C7-4241-91E8-F5D80E95B349}"/>
                </c:ext>
              </c:extLst>
            </c:dLbl>
            <c:dLbl>
              <c:idx val="4"/>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2C7-4241-91E8-F5D80E95B349}"/>
                </c:ext>
              </c:extLst>
            </c:dLbl>
            <c:dLbl>
              <c:idx val="5"/>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2C7-4241-91E8-F5D80E95B349}"/>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'Pod#'!$U$2:$U$8</c:f>
              <c:strCache>
                <c:ptCount val="6"/>
                <c:pt idx="0">
                  <c:v>0</c:v>
                </c:pt>
                <c:pt idx="1">
                  <c:v>0.5</c:v>
                </c:pt>
                <c:pt idx="2">
                  <c:v>1</c:v>
                </c:pt>
                <c:pt idx="3">
                  <c:v>2</c:v>
                </c:pt>
                <c:pt idx="4">
                  <c:v>4</c:v>
                </c:pt>
                <c:pt idx="5">
                  <c:v>8</c:v>
                </c:pt>
              </c:strCache>
            </c:strRef>
          </c:cat>
          <c:val>
            <c:numRef>
              <c:f>'Pod#'!$V$2:$V$8</c:f>
              <c:numCache>
                <c:formatCode>General</c:formatCode>
                <c:ptCount val="6"/>
                <c:pt idx="0">
                  <c:v>37.25</c:v>
                </c:pt>
                <c:pt idx="1">
                  <c:v>35.25</c:v>
                </c:pt>
                <c:pt idx="2">
                  <c:v>34</c:v>
                </c:pt>
                <c:pt idx="3">
                  <c:v>27.5</c:v>
                </c:pt>
                <c:pt idx="4">
                  <c:v>26.75</c:v>
                </c:pt>
                <c:pt idx="5">
                  <c:v>24.25</c:v>
                </c:pt>
              </c:numCache>
            </c:numRef>
          </c:val>
          <c:extLst>
            <c:ext xmlns:c16="http://schemas.microsoft.com/office/drawing/2014/chart" uri="{C3380CC4-5D6E-409C-BE32-E72D297353CC}">
              <c16:uniqueId val="{00000006-F2C7-4241-91E8-F5D80E95B349}"/>
            </c:ext>
          </c:extLst>
        </c:ser>
        <c:dLbls>
          <c:showLegendKey val="0"/>
          <c:showVal val="0"/>
          <c:showCatName val="0"/>
          <c:showSerName val="0"/>
          <c:showPercent val="0"/>
          <c:showBubbleSize val="0"/>
        </c:dLbls>
        <c:gapWidth val="219"/>
        <c:overlap val="-27"/>
        <c:axId val="510278608"/>
        <c:axId val="510280768"/>
      </c:barChart>
      <c:catAx>
        <c:axId val="51027860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b="1"/>
                  <a:t>Palmer amaranth density (plants m</a:t>
                </a:r>
                <a:r>
                  <a:rPr lang="en-US" b="1" baseline="30000"/>
                  <a:t>-1</a:t>
                </a:r>
                <a:r>
                  <a:rPr lang="en-US" b="1"/>
                  <a:t>)</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280768"/>
        <c:crosses val="autoZero"/>
        <c:auto val="1"/>
        <c:lblAlgn val="ctr"/>
        <c:lblOffset val="100"/>
        <c:noMultiLvlLbl val="0"/>
      </c:catAx>
      <c:valAx>
        <c:axId val="510280768"/>
        <c:scaling>
          <c:orientation val="minMax"/>
          <c:max val="45"/>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b="1"/>
                  <a:t>Soybean pods plant</a:t>
                </a:r>
                <a:r>
                  <a:rPr lang="en-US" b="1" baseline="30000"/>
                  <a:t>-1</a:t>
                </a:r>
                <a:endParaRPr lang="en-US" b="1"/>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278608"/>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'NW22'!$R$1</c:f>
              <c:strCache>
                <c:ptCount val="1"/>
                <c:pt idx="0">
                  <c:v>Adj weight (kg/ha)</c:v>
                </c:pt>
              </c:strCache>
            </c:strRef>
          </c:tx>
          <c:spPr>
            <a:ln w="19050" cap="rnd">
              <a:noFill/>
              <a:round/>
            </a:ln>
            <a:effectLst/>
          </c:spPr>
          <c:marker>
            <c:symbol val="circle"/>
            <c:size val="5"/>
            <c:spPr>
              <a:solidFill>
                <a:schemeClr val="tx1"/>
              </a:solidFill>
              <a:ln w="9525">
                <a:noFill/>
              </a:ln>
              <a:effectLst/>
            </c:spPr>
          </c:marker>
          <c:trendline>
            <c:spPr>
              <a:ln w="19050" cap="rnd">
                <a:solidFill>
                  <a:srgbClr val="C00000"/>
                </a:solidFill>
                <a:prstDash val="sysDash"/>
              </a:ln>
              <a:effectLst/>
            </c:spPr>
            <c:trendlineType val="linear"/>
            <c:dispRSqr val="1"/>
            <c:dispEq val="1"/>
            <c:trendlineLbl>
              <c:layout>
                <c:manualLayout>
                  <c:x val="0.11716994750656168"/>
                  <c:y val="-0.19586067366579177"/>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rendlineLbl>
          </c:trendline>
          <c:xVal>
            <c:numRef>
              <c:f>'NW22'!$Q$2:$Q$29</c:f>
              <c:numCache>
                <c:formatCode>0</c:formatCode>
                <c:ptCount val="28"/>
                <c:pt idx="0">
                  <c:v>0</c:v>
                </c:pt>
                <c:pt idx="1">
                  <c:v>367.98186133333331</c:v>
                </c:pt>
                <c:pt idx="2">
                  <c:v>97.59269333333333</c:v>
                </c:pt>
                <c:pt idx="3">
                  <c:v>576.37096533333329</c:v>
                </c:pt>
                <c:pt idx="4">
                  <c:v>599.90802666666661</c:v>
                </c:pt>
                <c:pt idx="5">
                  <c:v>543.64870933333327</c:v>
                </c:pt>
                <c:pt idx="6">
                  <c:v>261.77804799999996</c:v>
                </c:pt>
                <c:pt idx="7">
                  <c:v>91.851946666666663</c:v>
                </c:pt>
                <c:pt idx="8">
                  <c:v>219.29652266666665</c:v>
                </c:pt>
                <c:pt idx="9">
                  <c:v>322.05588799999998</c:v>
                </c:pt>
                <c:pt idx="10">
                  <c:v>1053.4270133333334</c:v>
                </c:pt>
                <c:pt idx="11">
                  <c:v>0</c:v>
                </c:pt>
                <c:pt idx="12">
                  <c:v>766.38968</c:v>
                </c:pt>
                <c:pt idx="13">
                  <c:v>362.24111466666665</c:v>
                </c:pt>
                <c:pt idx="14">
                  <c:v>1708.4462079999998</c:v>
                </c:pt>
                <c:pt idx="15">
                  <c:v>1063.1862826666666</c:v>
                </c:pt>
                <c:pt idx="16">
                  <c:v>2096.5206826666667</c:v>
                </c:pt>
                <c:pt idx="17">
                  <c:v>0</c:v>
                </c:pt>
                <c:pt idx="18">
                  <c:v>1293.390224</c:v>
                </c:pt>
                <c:pt idx="19">
                  <c:v>261.20397333333335</c:v>
                </c:pt>
                <c:pt idx="20">
                  <c:v>163.03720533333333</c:v>
                </c:pt>
                <c:pt idx="21">
                  <c:v>1151.0197066666667</c:v>
                </c:pt>
                <c:pt idx="22">
                  <c:v>0</c:v>
                </c:pt>
                <c:pt idx="23">
                  <c:v>2031.0761706666667</c:v>
                </c:pt>
                <c:pt idx="24">
                  <c:v>1776.7610933333333</c:v>
                </c:pt>
                <c:pt idx="25">
                  <c:v>1407.6310826666665</c:v>
                </c:pt>
                <c:pt idx="26">
                  <c:v>804.85268266666662</c:v>
                </c:pt>
                <c:pt idx="27">
                  <c:v>791.07489066666665</c:v>
                </c:pt>
              </c:numCache>
            </c:numRef>
          </c:xVal>
          <c:yVal>
            <c:numRef>
              <c:f>'NW22'!$R$2:$R$29</c:f>
              <c:numCache>
                <c:formatCode>General</c:formatCode>
                <c:ptCount val="28"/>
                <c:pt idx="0">
                  <c:v>3189.059996910345</c:v>
                </c:pt>
                <c:pt idx="1">
                  <c:v>3429.7437702620691</c:v>
                </c:pt>
                <c:pt idx="2">
                  <c:v>3706.1310287448277</c:v>
                </c:pt>
                <c:pt idx="3">
                  <c:v>3410.2767003586209</c:v>
                </c:pt>
                <c:pt idx="4">
                  <c:v>3632.0120505747127</c:v>
                </c:pt>
                <c:pt idx="5">
                  <c:v>3919.9599851034482</c:v>
                </c:pt>
                <c:pt idx="6">
                  <c:v>3787.720895852874</c:v>
                </c:pt>
                <c:pt idx="7">
                  <c:v>3920.801301425287</c:v>
                </c:pt>
                <c:pt idx="8">
                  <c:v>4093.9481595954016</c:v>
                </c:pt>
                <c:pt idx="9">
                  <c:v>4003.0790683494251</c:v>
                </c:pt>
                <c:pt idx="10">
                  <c:v>3400.5431654068966</c:v>
                </c:pt>
                <c:pt idx="11">
                  <c:v>4054.3439360827579</c:v>
                </c:pt>
                <c:pt idx="12">
                  <c:v>3723.773926905747</c:v>
                </c:pt>
                <c:pt idx="13">
                  <c:v>3810.236500193103</c:v>
                </c:pt>
                <c:pt idx="14">
                  <c:v>2571.8505475310344</c:v>
                </c:pt>
                <c:pt idx="15">
                  <c:v>3299.0685395862065</c:v>
                </c:pt>
                <c:pt idx="16">
                  <c:v>2774.0317268597705</c:v>
                </c:pt>
                <c:pt idx="17">
                  <c:v>4182.5061054160915</c:v>
                </c:pt>
                <c:pt idx="18">
                  <c:v>3661.3334090666663</c:v>
                </c:pt>
                <c:pt idx="19">
                  <c:v>4091.4667713379313</c:v>
                </c:pt>
                <c:pt idx="20">
                  <c:v>3851.0522192091958</c:v>
                </c:pt>
                <c:pt idx="21">
                  <c:v>2827.004961618391</c:v>
                </c:pt>
                <c:pt idx="22">
                  <c:v>3787.7495995862073</c:v>
                </c:pt>
                <c:pt idx="23">
                  <c:v>2899.6788552827588</c:v>
                </c:pt>
                <c:pt idx="24">
                  <c:v>2717.5269431172414</c:v>
                </c:pt>
                <c:pt idx="25">
                  <c:v>3187.1774279172409</c:v>
                </c:pt>
                <c:pt idx="26">
                  <c:v>3591.5853166344823</c:v>
                </c:pt>
                <c:pt idx="27">
                  <c:v>3146.6022263908044</c:v>
                </c:pt>
              </c:numCache>
            </c:numRef>
          </c:yVal>
          <c:smooth val="0"/>
          <c:extLst>
            <c:ext xmlns:c16="http://schemas.microsoft.com/office/drawing/2014/chart" uri="{C3380CC4-5D6E-409C-BE32-E72D297353CC}">
              <c16:uniqueId val="{00000001-C6F2-C447-B2C2-CCAA6399D984}"/>
            </c:ext>
          </c:extLst>
        </c:ser>
        <c:dLbls>
          <c:showLegendKey val="0"/>
          <c:showVal val="0"/>
          <c:showCatName val="0"/>
          <c:showSerName val="0"/>
          <c:showPercent val="0"/>
          <c:showBubbleSize val="0"/>
        </c:dLbls>
        <c:axId val="377763328"/>
        <c:axId val="377764976"/>
      </c:scatterChart>
      <c:valAx>
        <c:axId val="37776332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b="1"/>
                  <a:t>Waterhemp biomass (kg</a:t>
                </a:r>
                <a:r>
                  <a:rPr lang="en-US" b="1" baseline="0"/>
                  <a:t> </a:t>
                </a:r>
                <a:r>
                  <a:rPr lang="en-US" b="1"/>
                  <a:t>ha</a:t>
                </a:r>
                <a:r>
                  <a:rPr lang="en-US" b="1" baseline="30000"/>
                  <a:t>-1</a:t>
                </a:r>
                <a:r>
                  <a:rPr lang="en-US" b="1"/>
                  <a:t>)</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377764976"/>
        <c:crosses val="autoZero"/>
        <c:crossBetween val="midCat"/>
      </c:valAx>
      <c:valAx>
        <c:axId val="377764976"/>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b="1"/>
                  <a:t>Soybean yield (kg</a:t>
                </a:r>
                <a:r>
                  <a:rPr lang="en-US" b="1" baseline="0"/>
                  <a:t> </a:t>
                </a:r>
                <a:r>
                  <a:rPr lang="en-US" b="1"/>
                  <a:t>ha</a:t>
                </a:r>
                <a:r>
                  <a:rPr lang="en-US" b="1" baseline="30000"/>
                  <a:t>-1</a:t>
                </a:r>
                <a:r>
                  <a:rPr lang="en-US" b="1"/>
                  <a:t>)</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377763328"/>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Quincy</dc:creator>
  <cp:keywords/>
  <dc:description/>
  <cp:lastModifiedBy>Law, Quincy</cp:lastModifiedBy>
  <cp:revision>3</cp:revision>
  <cp:lastPrinted>2023-06-30T12:01:00Z</cp:lastPrinted>
  <dcterms:created xsi:type="dcterms:W3CDTF">2023-07-10T11:59:00Z</dcterms:created>
  <dcterms:modified xsi:type="dcterms:W3CDTF">2023-07-10T12:05:00Z</dcterms:modified>
</cp:coreProperties>
</file>