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24FA4" w14:textId="30AE8496" w:rsidR="008C2FEA" w:rsidRPr="00CE1F01" w:rsidRDefault="008C2FEA" w:rsidP="00CE1F01">
      <w:pPr>
        <w:pStyle w:val="BodyText"/>
        <w:jc w:val="center"/>
        <w:rPr>
          <w:rFonts w:ascii="Times New Roman" w:hAnsi="Times New Roman"/>
          <w:b/>
          <w:bCs/>
          <w:sz w:val="24"/>
          <w:szCs w:val="24"/>
        </w:rPr>
      </w:pPr>
      <w:r w:rsidRPr="00CE1F01">
        <w:rPr>
          <w:rFonts w:ascii="Times New Roman" w:hAnsi="Times New Roman"/>
          <w:b/>
          <w:bCs/>
          <w:sz w:val="24"/>
          <w:szCs w:val="24"/>
        </w:rPr>
        <w:t>20</w:t>
      </w:r>
      <w:r w:rsidR="000347CE" w:rsidRPr="00CE1F01">
        <w:rPr>
          <w:rFonts w:ascii="Times New Roman" w:hAnsi="Times New Roman"/>
          <w:b/>
          <w:bCs/>
          <w:sz w:val="24"/>
          <w:szCs w:val="24"/>
        </w:rPr>
        <w:t>1</w:t>
      </w:r>
      <w:r w:rsidR="00E50E11" w:rsidRPr="00CE1F01">
        <w:rPr>
          <w:rFonts w:ascii="Times New Roman" w:hAnsi="Times New Roman"/>
          <w:b/>
          <w:bCs/>
          <w:sz w:val="24"/>
          <w:szCs w:val="24"/>
        </w:rPr>
        <w:t>9</w:t>
      </w:r>
      <w:r w:rsidR="003A6161" w:rsidRPr="00CE1F01">
        <w:rPr>
          <w:rFonts w:ascii="Times New Roman" w:hAnsi="Times New Roman"/>
          <w:b/>
          <w:bCs/>
          <w:sz w:val="24"/>
          <w:szCs w:val="24"/>
        </w:rPr>
        <w:t xml:space="preserve"> </w:t>
      </w:r>
      <w:r w:rsidR="00CE4057" w:rsidRPr="00CE1F01">
        <w:rPr>
          <w:rFonts w:ascii="Times New Roman" w:hAnsi="Times New Roman"/>
          <w:b/>
          <w:bCs/>
          <w:sz w:val="24"/>
          <w:szCs w:val="24"/>
        </w:rPr>
        <w:t>Final</w:t>
      </w:r>
      <w:r w:rsidRPr="00CE1F01">
        <w:rPr>
          <w:rFonts w:ascii="Times New Roman" w:hAnsi="Times New Roman"/>
          <w:b/>
          <w:bCs/>
          <w:sz w:val="24"/>
          <w:szCs w:val="24"/>
        </w:rPr>
        <w:t xml:space="preserve"> Report to the Tennessee Soybean Promotion Board</w:t>
      </w:r>
    </w:p>
    <w:p w14:paraId="1FC24FA5" w14:textId="77777777" w:rsidR="008C2FEA" w:rsidRPr="00CE1F01" w:rsidRDefault="008C2FEA" w:rsidP="00CE1F01">
      <w:pPr>
        <w:pStyle w:val="BodyText"/>
        <w:jc w:val="center"/>
        <w:rPr>
          <w:rFonts w:ascii="Times New Roman" w:hAnsi="Times New Roman"/>
          <w:b/>
          <w:bCs/>
          <w:sz w:val="24"/>
          <w:szCs w:val="24"/>
        </w:rPr>
      </w:pPr>
    </w:p>
    <w:p w14:paraId="1FC24FA6" w14:textId="77777777" w:rsidR="000347CE" w:rsidRPr="00CE1F01" w:rsidRDefault="000347CE" w:rsidP="00CE1F01">
      <w:pPr>
        <w:pStyle w:val="BodyText"/>
        <w:jc w:val="center"/>
        <w:rPr>
          <w:rFonts w:ascii="Times New Roman" w:hAnsi="Times New Roman"/>
          <w:b/>
          <w:bCs/>
          <w:sz w:val="24"/>
          <w:szCs w:val="24"/>
        </w:rPr>
      </w:pPr>
    </w:p>
    <w:p w14:paraId="1FC24FA7" w14:textId="6F8A7A8F" w:rsidR="000347CE" w:rsidRPr="00CE1F01" w:rsidRDefault="000347CE" w:rsidP="00CE1F01">
      <w:pPr>
        <w:pStyle w:val="BodyText"/>
        <w:jc w:val="both"/>
        <w:rPr>
          <w:rFonts w:ascii="Times New Roman" w:hAnsi="Times New Roman"/>
          <w:bCs/>
          <w:sz w:val="24"/>
          <w:szCs w:val="24"/>
        </w:rPr>
      </w:pPr>
      <w:r w:rsidRPr="00CE1F01">
        <w:rPr>
          <w:rFonts w:ascii="Times New Roman" w:hAnsi="Times New Roman"/>
          <w:b/>
          <w:bCs/>
          <w:sz w:val="24"/>
          <w:szCs w:val="24"/>
        </w:rPr>
        <w:t xml:space="preserve">Project Number: </w:t>
      </w:r>
      <w:r w:rsidRPr="00CE1F01">
        <w:rPr>
          <w:rFonts w:ascii="Times New Roman" w:hAnsi="Times New Roman"/>
          <w:bCs/>
          <w:sz w:val="24"/>
          <w:szCs w:val="24"/>
        </w:rPr>
        <w:t>1</w:t>
      </w:r>
      <w:r w:rsidR="00E50E11" w:rsidRPr="00CE1F01">
        <w:rPr>
          <w:rFonts w:ascii="Times New Roman" w:hAnsi="Times New Roman"/>
          <w:bCs/>
          <w:sz w:val="24"/>
          <w:szCs w:val="24"/>
        </w:rPr>
        <w:t>9</w:t>
      </w:r>
      <w:r w:rsidR="001F3F50" w:rsidRPr="00CE1F01">
        <w:rPr>
          <w:rFonts w:ascii="Times New Roman" w:hAnsi="Times New Roman"/>
          <w:bCs/>
          <w:sz w:val="24"/>
          <w:szCs w:val="24"/>
        </w:rPr>
        <w:t>-154</w:t>
      </w:r>
      <w:r w:rsidRPr="00CE1F01">
        <w:rPr>
          <w:rFonts w:ascii="Times New Roman" w:hAnsi="Times New Roman"/>
          <w:bCs/>
          <w:sz w:val="24"/>
          <w:szCs w:val="24"/>
        </w:rPr>
        <w:t>-</w:t>
      </w:r>
      <w:r w:rsidR="001F3F50" w:rsidRPr="00CE1F01">
        <w:rPr>
          <w:rFonts w:ascii="Times New Roman" w:hAnsi="Times New Roman"/>
          <w:bCs/>
          <w:sz w:val="24"/>
          <w:szCs w:val="24"/>
        </w:rPr>
        <w:t>P</w:t>
      </w:r>
    </w:p>
    <w:p w14:paraId="1FC24FA8" w14:textId="77777777" w:rsidR="000347CE" w:rsidRPr="00CE1F01" w:rsidRDefault="000347CE" w:rsidP="00CE1F01">
      <w:pPr>
        <w:pStyle w:val="BodyText"/>
        <w:jc w:val="both"/>
        <w:rPr>
          <w:rFonts w:ascii="Times New Roman" w:hAnsi="Times New Roman"/>
          <w:b/>
          <w:bCs/>
          <w:sz w:val="24"/>
          <w:szCs w:val="24"/>
        </w:rPr>
      </w:pPr>
    </w:p>
    <w:p w14:paraId="1FC24FA9" w14:textId="3FBB019D" w:rsidR="008C2FEA" w:rsidRPr="00CE1F01" w:rsidRDefault="001F3F50" w:rsidP="00CE1F01">
      <w:pPr>
        <w:pStyle w:val="BodyText"/>
        <w:jc w:val="both"/>
        <w:rPr>
          <w:rFonts w:ascii="Times New Roman" w:hAnsi="Times New Roman"/>
          <w:sz w:val="24"/>
          <w:szCs w:val="24"/>
        </w:rPr>
      </w:pPr>
      <w:r w:rsidRPr="00CE1F01">
        <w:rPr>
          <w:rFonts w:ascii="Times New Roman" w:hAnsi="Times New Roman"/>
          <w:b/>
          <w:bCs/>
          <w:sz w:val="24"/>
          <w:szCs w:val="24"/>
        </w:rPr>
        <w:t>Title:</w:t>
      </w:r>
      <w:r w:rsidR="008C2FEA" w:rsidRPr="00CE1F01">
        <w:rPr>
          <w:rFonts w:ascii="Times New Roman" w:hAnsi="Times New Roman"/>
          <w:b/>
          <w:bCs/>
          <w:sz w:val="24"/>
          <w:szCs w:val="24"/>
        </w:rPr>
        <w:t xml:space="preserve"> </w:t>
      </w:r>
      <w:r w:rsidRPr="00CE1F01">
        <w:rPr>
          <w:rFonts w:ascii="Times New Roman" w:hAnsi="Times New Roman"/>
          <w:sz w:val="24"/>
          <w:szCs w:val="24"/>
        </w:rPr>
        <w:t>Economic and environmental impact of dual-use cover crop species in Tennessee no-till soybean/corn rotations</w:t>
      </w:r>
    </w:p>
    <w:p w14:paraId="1FC24FAA" w14:textId="77777777" w:rsidR="008C2FEA" w:rsidRPr="00CE1F01" w:rsidRDefault="008C2FEA" w:rsidP="00CE1F01">
      <w:pPr>
        <w:pStyle w:val="BodyText"/>
        <w:jc w:val="both"/>
        <w:rPr>
          <w:rFonts w:ascii="Times New Roman" w:hAnsi="Times New Roman"/>
          <w:b/>
          <w:bCs/>
          <w:sz w:val="24"/>
          <w:szCs w:val="24"/>
        </w:rPr>
      </w:pPr>
    </w:p>
    <w:p w14:paraId="56FC6BAD" w14:textId="65DD5409" w:rsidR="0099781C" w:rsidRDefault="008C2FEA" w:rsidP="00CE1F01">
      <w:pPr>
        <w:pStyle w:val="BodyText"/>
        <w:jc w:val="both"/>
        <w:rPr>
          <w:rFonts w:ascii="Times New Roman" w:hAnsi="Times New Roman"/>
          <w:sz w:val="24"/>
          <w:szCs w:val="24"/>
        </w:rPr>
      </w:pPr>
      <w:r w:rsidRPr="00CE1F01">
        <w:rPr>
          <w:rFonts w:ascii="Times New Roman" w:hAnsi="Times New Roman"/>
          <w:b/>
          <w:bCs/>
          <w:sz w:val="24"/>
          <w:szCs w:val="24"/>
        </w:rPr>
        <w:t xml:space="preserve">PI and Collaborator:  </w:t>
      </w:r>
      <w:r w:rsidR="00BC6957" w:rsidRPr="00CE1F01">
        <w:rPr>
          <w:rFonts w:ascii="Times New Roman" w:hAnsi="Times New Roman"/>
          <w:sz w:val="24"/>
          <w:szCs w:val="24"/>
        </w:rPr>
        <w:t xml:space="preserve">Virginia </w:t>
      </w:r>
      <w:proofErr w:type="spellStart"/>
      <w:r w:rsidR="00BC6957" w:rsidRPr="00CE1F01">
        <w:rPr>
          <w:rFonts w:ascii="Times New Roman" w:hAnsi="Times New Roman"/>
          <w:sz w:val="24"/>
          <w:szCs w:val="24"/>
        </w:rPr>
        <w:t>Sykes</w:t>
      </w:r>
      <w:bookmarkStart w:id="0" w:name="_Hlk26265999"/>
      <w:r w:rsidR="00C161DF" w:rsidRPr="00C161DF">
        <w:rPr>
          <w:rFonts w:ascii="Times New Roman" w:hAnsi="Times New Roman"/>
          <w:sz w:val="24"/>
          <w:szCs w:val="24"/>
          <w:vertAlign w:val="superscript"/>
        </w:rPr>
        <w:t>a</w:t>
      </w:r>
      <w:bookmarkEnd w:id="0"/>
      <w:proofErr w:type="spellEnd"/>
      <w:r w:rsidRPr="00CE1F01">
        <w:rPr>
          <w:rFonts w:ascii="Times New Roman" w:hAnsi="Times New Roman"/>
          <w:sz w:val="24"/>
          <w:szCs w:val="24"/>
        </w:rPr>
        <w:t>,</w:t>
      </w:r>
      <w:r w:rsidR="00C161DF">
        <w:rPr>
          <w:rFonts w:ascii="Times New Roman" w:hAnsi="Times New Roman"/>
          <w:sz w:val="24"/>
          <w:szCs w:val="24"/>
        </w:rPr>
        <w:t xml:space="preserve"> Avat </w:t>
      </w:r>
      <w:proofErr w:type="spellStart"/>
      <w:r w:rsidR="00C161DF">
        <w:rPr>
          <w:rFonts w:ascii="Times New Roman" w:hAnsi="Times New Roman"/>
          <w:sz w:val="24"/>
          <w:szCs w:val="24"/>
        </w:rPr>
        <w:t>Shekoofa</w:t>
      </w:r>
      <w:r w:rsidR="00C161DF" w:rsidRPr="00C161DF">
        <w:rPr>
          <w:rFonts w:ascii="Times New Roman" w:hAnsi="Times New Roman"/>
          <w:sz w:val="24"/>
          <w:szCs w:val="24"/>
          <w:vertAlign w:val="superscript"/>
        </w:rPr>
        <w:t>a</w:t>
      </w:r>
      <w:proofErr w:type="spellEnd"/>
      <w:r w:rsidR="00C161DF">
        <w:rPr>
          <w:rFonts w:ascii="Times New Roman" w:hAnsi="Times New Roman"/>
          <w:sz w:val="24"/>
          <w:szCs w:val="24"/>
        </w:rPr>
        <w:t xml:space="preserve">, Gary </w:t>
      </w:r>
      <w:proofErr w:type="spellStart"/>
      <w:r w:rsidR="00C161DF">
        <w:rPr>
          <w:rFonts w:ascii="Times New Roman" w:hAnsi="Times New Roman"/>
          <w:sz w:val="24"/>
          <w:szCs w:val="24"/>
        </w:rPr>
        <w:t>Bates</w:t>
      </w:r>
      <w:r w:rsidR="00C161DF" w:rsidRPr="00C161DF">
        <w:rPr>
          <w:rFonts w:ascii="Times New Roman" w:hAnsi="Times New Roman"/>
          <w:sz w:val="24"/>
          <w:szCs w:val="24"/>
          <w:vertAlign w:val="superscript"/>
        </w:rPr>
        <w:t>a</w:t>
      </w:r>
      <w:proofErr w:type="spellEnd"/>
      <w:r w:rsidR="00C161DF">
        <w:rPr>
          <w:rFonts w:ascii="Times New Roman" w:hAnsi="Times New Roman"/>
          <w:sz w:val="24"/>
          <w:szCs w:val="24"/>
        </w:rPr>
        <w:t xml:space="preserve">, Frank </w:t>
      </w:r>
      <w:proofErr w:type="spellStart"/>
      <w:r w:rsidR="00C161DF">
        <w:rPr>
          <w:rFonts w:ascii="Times New Roman" w:hAnsi="Times New Roman"/>
          <w:sz w:val="24"/>
          <w:szCs w:val="24"/>
        </w:rPr>
        <w:t>Yin</w:t>
      </w:r>
      <w:r w:rsidR="00C161DF" w:rsidRPr="00C161DF">
        <w:rPr>
          <w:rFonts w:ascii="Times New Roman" w:hAnsi="Times New Roman"/>
          <w:sz w:val="24"/>
          <w:szCs w:val="24"/>
          <w:vertAlign w:val="superscript"/>
        </w:rPr>
        <w:t>a</w:t>
      </w:r>
      <w:proofErr w:type="spellEnd"/>
      <w:r w:rsidR="00C161DF">
        <w:rPr>
          <w:rFonts w:ascii="Times New Roman" w:hAnsi="Times New Roman"/>
          <w:sz w:val="24"/>
          <w:szCs w:val="24"/>
        </w:rPr>
        <w:t xml:space="preserve">, Scott </w:t>
      </w:r>
      <w:proofErr w:type="spellStart"/>
      <w:r w:rsidR="00C161DF">
        <w:rPr>
          <w:rFonts w:ascii="Times New Roman" w:hAnsi="Times New Roman"/>
          <w:sz w:val="24"/>
          <w:szCs w:val="24"/>
        </w:rPr>
        <w:t>Stewart</w:t>
      </w:r>
      <w:r w:rsidR="00C161DF">
        <w:rPr>
          <w:rFonts w:ascii="Times New Roman" w:hAnsi="Times New Roman"/>
          <w:sz w:val="24"/>
          <w:szCs w:val="24"/>
          <w:vertAlign w:val="superscript"/>
        </w:rPr>
        <w:t>b</w:t>
      </w:r>
      <w:proofErr w:type="spellEnd"/>
      <w:r w:rsidR="00C161DF">
        <w:rPr>
          <w:rFonts w:ascii="Times New Roman" w:hAnsi="Times New Roman"/>
          <w:sz w:val="24"/>
          <w:szCs w:val="24"/>
        </w:rPr>
        <w:t xml:space="preserve">, Larry </w:t>
      </w:r>
      <w:proofErr w:type="spellStart"/>
      <w:r w:rsidR="00C161DF">
        <w:rPr>
          <w:rFonts w:ascii="Times New Roman" w:hAnsi="Times New Roman"/>
          <w:sz w:val="24"/>
          <w:szCs w:val="24"/>
        </w:rPr>
        <w:t>Steckel</w:t>
      </w:r>
      <w:r w:rsidR="00C161DF" w:rsidRPr="00C161DF">
        <w:rPr>
          <w:rFonts w:ascii="Times New Roman" w:hAnsi="Times New Roman"/>
          <w:sz w:val="24"/>
          <w:szCs w:val="24"/>
          <w:vertAlign w:val="superscript"/>
        </w:rPr>
        <w:t>a</w:t>
      </w:r>
      <w:proofErr w:type="spellEnd"/>
      <w:r w:rsidRPr="00CE1F01">
        <w:rPr>
          <w:rFonts w:ascii="Times New Roman" w:hAnsi="Times New Roman"/>
          <w:sz w:val="24"/>
          <w:szCs w:val="24"/>
        </w:rPr>
        <w:t xml:space="preserve"> </w:t>
      </w:r>
    </w:p>
    <w:p w14:paraId="384B6607" w14:textId="77777777" w:rsidR="0099781C" w:rsidRDefault="0099781C" w:rsidP="00CE1F01">
      <w:pPr>
        <w:pStyle w:val="BodyText"/>
        <w:jc w:val="both"/>
        <w:rPr>
          <w:rFonts w:ascii="Times New Roman" w:hAnsi="Times New Roman"/>
          <w:sz w:val="24"/>
          <w:szCs w:val="24"/>
        </w:rPr>
      </w:pPr>
    </w:p>
    <w:p w14:paraId="1FC24FAC" w14:textId="34348541" w:rsidR="008C2FEA" w:rsidRDefault="00C161DF" w:rsidP="00C161DF">
      <w:pPr>
        <w:pStyle w:val="BodyText"/>
        <w:jc w:val="both"/>
        <w:rPr>
          <w:rFonts w:ascii="Times New Roman" w:hAnsi="Times New Roman"/>
          <w:sz w:val="24"/>
          <w:szCs w:val="24"/>
        </w:rPr>
      </w:pPr>
      <w:proofErr w:type="spellStart"/>
      <w:r>
        <w:rPr>
          <w:rFonts w:ascii="Times New Roman" w:hAnsi="Times New Roman"/>
          <w:sz w:val="24"/>
          <w:szCs w:val="24"/>
        </w:rPr>
        <w:t>a</w:t>
      </w:r>
      <w:r w:rsidR="008C2FEA" w:rsidRPr="00CE1F01">
        <w:rPr>
          <w:rFonts w:ascii="Times New Roman" w:hAnsi="Times New Roman"/>
          <w:sz w:val="24"/>
          <w:szCs w:val="24"/>
        </w:rPr>
        <w:t>Department</w:t>
      </w:r>
      <w:proofErr w:type="spellEnd"/>
      <w:r w:rsidR="008C2FEA" w:rsidRPr="00CE1F01">
        <w:rPr>
          <w:rFonts w:ascii="Times New Roman" w:hAnsi="Times New Roman"/>
          <w:sz w:val="24"/>
          <w:szCs w:val="24"/>
        </w:rPr>
        <w:t xml:space="preserve"> of Plant Sciences, </w:t>
      </w:r>
      <w:r>
        <w:rPr>
          <w:rFonts w:ascii="Times New Roman" w:hAnsi="Times New Roman"/>
          <w:sz w:val="24"/>
          <w:szCs w:val="24"/>
        </w:rPr>
        <w:t>University of Tennessee</w:t>
      </w:r>
      <w:r w:rsidR="001F2120" w:rsidRPr="00CE1F01">
        <w:rPr>
          <w:rFonts w:ascii="Times New Roman" w:hAnsi="Times New Roman"/>
          <w:sz w:val="24"/>
          <w:szCs w:val="24"/>
        </w:rPr>
        <w:t xml:space="preserve">, </w:t>
      </w:r>
      <w:r w:rsidR="008C2FEA" w:rsidRPr="00CE1F01">
        <w:rPr>
          <w:rFonts w:ascii="Times New Roman" w:hAnsi="Times New Roman"/>
          <w:sz w:val="24"/>
          <w:szCs w:val="24"/>
        </w:rPr>
        <w:t>Knoxville</w:t>
      </w:r>
    </w:p>
    <w:p w14:paraId="1B4A8586" w14:textId="5DE8DCE9" w:rsidR="00C161DF" w:rsidRPr="00CE1F01" w:rsidRDefault="00C161DF" w:rsidP="00C161DF">
      <w:pPr>
        <w:pStyle w:val="BodyText"/>
        <w:jc w:val="both"/>
        <w:rPr>
          <w:rFonts w:ascii="Times New Roman" w:hAnsi="Times New Roman"/>
          <w:sz w:val="24"/>
          <w:szCs w:val="24"/>
        </w:rPr>
      </w:pPr>
      <w:proofErr w:type="spellStart"/>
      <w:r w:rsidRPr="00C161DF">
        <w:rPr>
          <w:rFonts w:ascii="Times New Roman" w:hAnsi="Times New Roman"/>
          <w:sz w:val="24"/>
          <w:szCs w:val="24"/>
          <w:vertAlign w:val="superscript"/>
        </w:rPr>
        <w:t>b</w:t>
      </w:r>
      <w:r w:rsidRPr="00CE1F01">
        <w:rPr>
          <w:rFonts w:ascii="Times New Roman" w:hAnsi="Times New Roman"/>
          <w:sz w:val="24"/>
          <w:szCs w:val="24"/>
        </w:rPr>
        <w:t>Department</w:t>
      </w:r>
      <w:proofErr w:type="spellEnd"/>
      <w:r w:rsidRPr="00CE1F01">
        <w:rPr>
          <w:rFonts w:ascii="Times New Roman" w:hAnsi="Times New Roman"/>
          <w:sz w:val="24"/>
          <w:szCs w:val="24"/>
        </w:rPr>
        <w:t xml:space="preserve"> of </w:t>
      </w:r>
      <w:r>
        <w:rPr>
          <w:rFonts w:ascii="Times New Roman" w:hAnsi="Times New Roman"/>
          <w:sz w:val="24"/>
          <w:szCs w:val="24"/>
        </w:rPr>
        <w:t>Entomology and Plant Pathology</w:t>
      </w:r>
      <w:r w:rsidRPr="00CE1F01">
        <w:rPr>
          <w:rFonts w:ascii="Times New Roman" w:hAnsi="Times New Roman"/>
          <w:sz w:val="24"/>
          <w:szCs w:val="24"/>
        </w:rPr>
        <w:t xml:space="preserve">, </w:t>
      </w:r>
      <w:r>
        <w:rPr>
          <w:rFonts w:ascii="Times New Roman" w:hAnsi="Times New Roman"/>
          <w:sz w:val="24"/>
          <w:szCs w:val="24"/>
        </w:rPr>
        <w:t>University of Tennessee</w:t>
      </w:r>
      <w:r w:rsidRPr="00CE1F01">
        <w:rPr>
          <w:rFonts w:ascii="Times New Roman" w:hAnsi="Times New Roman"/>
          <w:sz w:val="24"/>
          <w:szCs w:val="24"/>
        </w:rPr>
        <w:t>, Knoxville</w:t>
      </w:r>
    </w:p>
    <w:p w14:paraId="1FC24FAD" w14:textId="77777777" w:rsidR="008C2FEA" w:rsidRPr="00CE1F01" w:rsidRDefault="008C2FEA" w:rsidP="00CE1F01">
      <w:pPr>
        <w:pStyle w:val="BodyText"/>
        <w:jc w:val="both"/>
        <w:rPr>
          <w:rFonts w:ascii="Times New Roman" w:hAnsi="Times New Roman"/>
          <w:b/>
          <w:bCs/>
          <w:sz w:val="24"/>
          <w:szCs w:val="24"/>
        </w:rPr>
      </w:pPr>
    </w:p>
    <w:p w14:paraId="1FC24FAE" w14:textId="252E4FEC" w:rsidR="008C2FEA" w:rsidRPr="00CE1F01" w:rsidRDefault="008C2FEA" w:rsidP="00CE1F01">
      <w:pPr>
        <w:pStyle w:val="BodyText"/>
        <w:jc w:val="both"/>
        <w:rPr>
          <w:rFonts w:ascii="Times New Roman" w:hAnsi="Times New Roman"/>
          <w:sz w:val="24"/>
          <w:szCs w:val="24"/>
        </w:rPr>
      </w:pPr>
      <w:r w:rsidRPr="00CE1F01">
        <w:rPr>
          <w:rFonts w:ascii="Times New Roman" w:hAnsi="Times New Roman"/>
          <w:b/>
          <w:bCs/>
          <w:sz w:val="24"/>
          <w:szCs w:val="24"/>
        </w:rPr>
        <w:t>Year</w:t>
      </w:r>
      <w:r w:rsidR="00513872" w:rsidRPr="00CE1F01">
        <w:rPr>
          <w:rFonts w:ascii="Times New Roman" w:hAnsi="Times New Roman"/>
          <w:b/>
          <w:bCs/>
          <w:sz w:val="24"/>
          <w:szCs w:val="24"/>
        </w:rPr>
        <w:t xml:space="preserve"> and Amount</w:t>
      </w:r>
      <w:r w:rsidRPr="00CE1F01">
        <w:rPr>
          <w:rFonts w:ascii="Times New Roman" w:hAnsi="Times New Roman"/>
          <w:b/>
          <w:bCs/>
          <w:sz w:val="24"/>
          <w:szCs w:val="24"/>
        </w:rPr>
        <w:t xml:space="preserve">:  </w:t>
      </w:r>
      <w:r w:rsidRPr="00CE1F01">
        <w:rPr>
          <w:rFonts w:ascii="Times New Roman" w:hAnsi="Times New Roman"/>
          <w:sz w:val="24"/>
          <w:szCs w:val="24"/>
        </w:rPr>
        <w:t>20</w:t>
      </w:r>
      <w:r w:rsidR="000347CE" w:rsidRPr="00CE1F01">
        <w:rPr>
          <w:rFonts w:ascii="Times New Roman" w:hAnsi="Times New Roman"/>
          <w:sz w:val="24"/>
          <w:szCs w:val="24"/>
        </w:rPr>
        <w:t>1</w:t>
      </w:r>
      <w:r w:rsidR="00E50E11" w:rsidRPr="00CE1F01">
        <w:rPr>
          <w:rFonts w:ascii="Times New Roman" w:hAnsi="Times New Roman"/>
          <w:sz w:val="24"/>
          <w:szCs w:val="24"/>
        </w:rPr>
        <w:t>9</w:t>
      </w:r>
      <w:r w:rsidRPr="00CE1F01">
        <w:rPr>
          <w:rFonts w:ascii="Times New Roman" w:hAnsi="Times New Roman"/>
          <w:sz w:val="24"/>
          <w:szCs w:val="24"/>
        </w:rPr>
        <w:t xml:space="preserve"> funded amount, $</w:t>
      </w:r>
      <w:r w:rsidR="00E50E11" w:rsidRPr="00CE1F01">
        <w:rPr>
          <w:rFonts w:ascii="Times New Roman" w:hAnsi="Times New Roman"/>
          <w:sz w:val="24"/>
          <w:szCs w:val="24"/>
        </w:rPr>
        <w:t>4</w:t>
      </w:r>
      <w:r w:rsidR="001F3F50" w:rsidRPr="00CE1F01">
        <w:rPr>
          <w:rFonts w:ascii="Times New Roman" w:hAnsi="Times New Roman"/>
          <w:sz w:val="24"/>
          <w:szCs w:val="24"/>
        </w:rPr>
        <w:t>5,000</w:t>
      </w:r>
    </w:p>
    <w:p w14:paraId="1FC24FAF" w14:textId="77777777" w:rsidR="008C2FEA" w:rsidRPr="00CE1F01" w:rsidRDefault="008C2FEA" w:rsidP="00CE1F01">
      <w:pPr>
        <w:pStyle w:val="BodyText"/>
        <w:jc w:val="both"/>
        <w:rPr>
          <w:rFonts w:ascii="Times New Roman" w:hAnsi="Times New Roman"/>
          <w:b/>
          <w:bCs/>
          <w:sz w:val="24"/>
          <w:szCs w:val="24"/>
        </w:rPr>
      </w:pPr>
    </w:p>
    <w:p w14:paraId="1FC24FB4" w14:textId="3E545F6B" w:rsidR="00BC6957" w:rsidRPr="00CE1F01" w:rsidRDefault="00CE4057" w:rsidP="00CE1F01">
      <w:pPr>
        <w:tabs>
          <w:tab w:val="left" w:pos="0"/>
        </w:tabs>
        <w:rPr>
          <w:rFonts w:ascii="Times New Roman" w:hAnsi="Times New Roman"/>
          <w:szCs w:val="24"/>
        </w:rPr>
      </w:pPr>
      <w:r w:rsidRPr="00CE1F01">
        <w:rPr>
          <w:rFonts w:ascii="Times New Roman" w:hAnsi="Times New Roman"/>
          <w:b/>
          <w:bCs/>
          <w:szCs w:val="24"/>
        </w:rPr>
        <w:t>Final Report</w:t>
      </w:r>
      <w:r w:rsidR="00C725C7" w:rsidRPr="00CE1F01">
        <w:rPr>
          <w:rFonts w:ascii="Times New Roman" w:hAnsi="Times New Roman"/>
          <w:b/>
          <w:bCs/>
          <w:szCs w:val="24"/>
        </w:rPr>
        <w:t xml:space="preserve">:  </w:t>
      </w:r>
    </w:p>
    <w:p w14:paraId="061CF017" w14:textId="1AC88E21" w:rsidR="00D57E62" w:rsidRPr="00CE1F01" w:rsidRDefault="00D57E62" w:rsidP="00CE1F01">
      <w:pPr>
        <w:ind w:firstLine="720"/>
        <w:rPr>
          <w:rFonts w:ascii="Times New Roman" w:hAnsi="Times New Roman"/>
          <w:szCs w:val="24"/>
        </w:rPr>
      </w:pPr>
      <w:r w:rsidRPr="00CE1F01">
        <w:rPr>
          <w:rFonts w:ascii="Times New Roman" w:hAnsi="Times New Roman"/>
          <w:szCs w:val="24"/>
        </w:rPr>
        <w:t>Cover crops provide many ecological benefits to agriculture production systems including reduced soil erosion, reduced nutrient leaching, and enhanced water holding capacity. Another potential benefit is the use of these cover crops as a forage for livestock production. Few cover crop species have been studied for suitability in the Mid-south soybean and corn rotations</w:t>
      </w:r>
      <w:r w:rsidR="0093377A" w:rsidRPr="00CE1F01">
        <w:rPr>
          <w:rFonts w:ascii="Times New Roman" w:hAnsi="Times New Roman"/>
          <w:szCs w:val="24"/>
        </w:rPr>
        <w:t xml:space="preserve"> or </w:t>
      </w:r>
      <w:r w:rsidR="0093377A" w:rsidRPr="00CE1F01">
        <w:rPr>
          <w:rFonts w:ascii="Times New Roman" w:hAnsi="Times New Roman"/>
          <w:szCs w:val="24"/>
        </w:rPr>
        <w:t xml:space="preserve">under dual-use cover/forage </w:t>
      </w:r>
      <w:r w:rsidR="00CE1F01" w:rsidRPr="00CE1F01">
        <w:rPr>
          <w:rFonts w:ascii="Times New Roman" w:hAnsi="Times New Roman"/>
          <w:szCs w:val="24"/>
        </w:rPr>
        <w:t>management</w:t>
      </w:r>
      <w:r w:rsidRPr="00CE1F01">
        <w:rPr>
          <w:rFonts w:ascii="Times New Roman" w:hAnsi="Times New Roman"/>
          <w:szCs w:val="24"/>
        </w:rPr>
        <w:t xml:space="preserve">. The objectives of this study were to 1.) Assess regional adaptation of 17 cover crop species to East, Middle, and West Tennessee under two establishment/termination timings and 2.) </w:t>
      </w:r>
      <w:bookmarkStart w:id="1" w:name="_GoBack"/>
      <w:bookmarkEnd w:id="1"/>
      <w:r w:rsidRPr="00CE1F01">
        <w:rPr>
          <w:rFonts w:ascii="Times New Roman" w:hAnsi="Times New Roman"/>
          <w:szCs w:val="24"/>
        </w:rPr>
        <w:t xml:space="preserve">Quantify economic and ecological impacts in a conventional cover crop system compared with a dual-use cover crop/forage system. </w:t>
      </w:r>
    </w:p>
    <w:p w14:paraId="32B0A46F" w14:textId="3DA1018D" w:rsidR="008B34F9" w:rsidRPr="00CE1F01" w:rsidRDefault="008B34F9" w:rsidP="00CE1F01">
      <w:pPr>
        <w:rPr>
          <w:rFonts w:ascii="Times New Roman" w:hAnsi="Times New Roman"/>
          <w:szCs w:val="24"/>
        </w:rPr>
      </w:pPr>
    </w:p>
    <w:p w14:paraId="64C56625" w14:textId="3F4CD974" w:rsidR="008B34F9" w:rsidRPr="00CE1F01" w:rsidRDefault="008B34F9" w:rsidP="00CE1F01">
      <w:pPr>
        <w:rPr>
          <w:rFonts w:ascii="Times New Roman" w:hAnsi="Times New Roman"/>
          <w:b/>
          <w:i/>
          <w:szCs w:val="24"/>
        </w:rPr>
      </w:pPr>
      <w:r w:rsidRPr="00CE1F01">
        <w:rPr>
          <w:rFonts w:ascii="Times New Roman" w:hAnsi="Times New Roman"/>
          <w:b/>
          <w:i/>
          <w:szCs w:val="24"/>
        </w:rPr>
        <w:t>Materials and Methods</w:t>
      </w:r>
    </w:p>
    <w:p w14:paraId="1F336079" w14:textId="0138D128" w:rsidR="00D57E62" w:rsidRPr="00CE1F01" w:rsidRDefault="00D57E62" w:rsidP="00CE1F01">
      <w:pPr>
        <w:ind w:firstLine="720"/>
        <w:rPr>
          <w:rFonts w:ascii="Times New Roman" w:hAnsi="Times New Roman"/>
          <w:szCs w:val="24"/>
        </w:rPr>
      </w:pPr>
      <w:r w:rsidRPr="00CE1F01">
        <w:rPr>
          <w:rFonts w:ascii="Times New Roman" w:hAnsi="Times New Roman"/>
          <w:szCs w:val="24"/>
        </w:rPr>
        <w:t xml:space="preserve">Seventeen </w:t>
      </w:r>
      <w:r w:rsidR="008B34F9" w:rsidRPr="00CE1F01">
        <w:rPr>
          <w:rFonts w:ascii="Times New Roman" w:hAnsi="Times New Roman"/>
          <w:szCs w:val="24"/>
        </w:rPr>
        <w:t>cover crop species,</w:t>
      </w:r>
      <w:r w:rsidRPr="00CE1F01">
        <w:rPr>
          <w:rFonts w:ascii="Times New Roman" w:hAnsi="Times New Roman"/>
          <w:szCs w:val="24"/>
        </w:rPr>
        <w:t xml:space="preserve"> including brassicas</w:t>
      </w:r>
      <w:r w:rsidR="00230285" w:rsidRPr="00CE1F01">
        <w:rPr>
          <w:rFonts w:ascii="Times New Roman" w:hAnsi="Times New Roman"/>
          <w:szCs w:val="24"/>
        </w:rPr>
        <w:t xml:space="preserve"> (canola, forage radish, turnip)</w:t>
      </w:r>
      <w:r w:rsidRPr="00CE1F01">
        <w:rPr>
          <w:rFonts w:ascii="Times New Roman" w:hAnsi="Times New Roman"/>
          <w:szCs w:val="24"/>
        </w:rPr>
        <w:t>, cereals</w:t>
      </w:r>
      <w:r w:rsidR="00230285" w:rsidRPr="00CE1F01">
        <w:rPr>
          <w:rFonts w:ascii="Times New Roman" w:hAnsi="Times New Roman"/>
          <w:szCs w:val="24"/>
        </w:rPr>
        <w:t xml:space="preserve"> (barley, cereal rye, oat, triticale, wheat),</w:t>
      </w:r>
      <w:r w:rsidRPr="00CE1F01">
        <w:rPr>
          <w:rFonts w:ascii="Times New Roman" w:hAnsi="Times New Roman"/>
          <w:szCs w:val="24"/>
        </w:rPr>
        <w:t xml:space="preserve"> and legumes</w:t>
      </w:r>
      <w:r w:rsidR="00230285" w:rsidRPr="00CE1F01">
        <w:rPr>
          <w:rFonts w:ascii="Times New Roman" w:hAnsi="Times New Roman"/>
          <w:szCs w:val="24"/>
        </w:rPr>
        <w:t xml:space="preserve"> (</w:t>
      </w:r>
      <w:proofErr w:type="spellStart"/>
      <w:r w:rsidR="00230285" w:rsidRPr="00CE1F01">
        <w:rPr>
          <w:rFonts w:ascii="Times New Roman" w:hAnsi="Times New Roman"/>
          <w:szCs w:val="24"/>
        </w:rPr>
        <w:t>arrowleaf</w:t>
      </w:r>
      <w:proofErr w:type="spellEnd"/>
      <w:r w:rsidR="00230285" w:rsidRPr="00CE1F01">
        <w:rPr>
          <w:rFonts w:ascii="Times New Roman" w:hAnsi="Times New Roman"/>
          <w:szCs w:val="24"/>
        </w:rPr>
        <w:t xml:space="preserve"> clover, berseem clover, crimson clover, red clover, </w:t>
      </w:r>
      <w:proofErr w:type="spellStart"/>
      <w:r w:rsidR="00230285" w:rsidRPr="00CE1F01">
        <w:rPr>
          <w:rFonts w:ascii="Times New Roman" w:hAnsi="Times New Roman"/>
          <w:szCs w:val="24"/>
        </w:rPr>
        <w:t>sunn</w:t>
      </w:r>
      <w:proofErr w:type="spellEnd"/>
      <w:r w:rsidR="00230285" w:rsidRPr="00CE1F01">
        <w:rPr>
          <w:rFonts w:ascii="Times New Roman" w:hAnsi="Times New Roman"/>
          <w:szCs w:val="24"/>
        </w:rPr>
        <w:t xml:space="preserve"> hemp, common vetch, hairy vetch, </w:t>
      </w:r>
      <w:proofErr w:type="spellStart"/>
      <w:r w:rsidR="00230285" w:rsidRPr="00CE1F01">
        <w:rPr>
          <w:rFonts w:ascii="Times New Roman" w:hAnsi="Times New Roman"/>
          <w:szCs w:val="24"/>
        </w:rPr>
        <w:t>woolypod</w:t>
      </w:r>
      <w:proofErr w:type="spellEnd"/>
      <w:r w:rsidR="00230285" w:rsidRPr="00CE1F01">
        <w:rPr>
          <w:rFonts w:ascii="Times New Roman" w:hAnsi="Times New Roman"/>
          <w:szCs w:val="24"/>
        </w:rPr>
        <w:t xml:space="preserve"> vetch, winter pea),</w:t>
      </w:r>
      <w:r w:rsidRPr="00CE1F01">
        <w:rPr>
          <w:rFonts w:ascii="Times New Roman" w:hAnsi="Times New Roman"/>
          <w:szCs w:val="24"/>
        </w:rPr>
        <w:t xml:space="preserve"> were evaluated under two management systems: single-use and dual-use.  </w:t>
      </w:r>
      <w:r w:rsidR="00230285" w:rsidRPr="00CE1F01">
        <w:rPr>
          <w:rFonts w:ascii="Times New Roman" w:hAnsi="Times New Roman"/>
          <w:szCs w:val="24"/>
        </w:rPr>
        <w:t xml:space="preserve">Single-use management was defined as a cover crop terminated prior to cash crop planting using </w:t>
      </w:r>
      <w:proofErr w:type="gramStart"/>
      <w:r w:rsidR="00230285" w:rsidRPr="00CE1F01">
        <w:rPr>
          <w:rFonts w:ascii="Times New Roman" w:hAnsi="Times New Roman"/>
          <w:szCs w:val="24"/>
        </w:rPr>
        <w:t>a</w:t>
      </w:r>
      <w:proofErr w:type="gramEnd"/>
      <w:r w:rsidR="00230285" w:rsidRPr="00CE1F01">
        <w:rPr>
          <w:rFonts w:ascii="Times New Roman" w:hAnsi="Times New Roman"/>
          <w:szCs w:val="24"/>
        </w:rPr>
        <w:t xml:space="preserve"> herbicide. Dual-use management was defined as a cover crop harvested for forage and then sprayed with </w:t>
      </w:r>
      <w:proofErr w:type="gramStart"/>
      <w:r w:rsidR="00230285" w:rsidRPr="00CE1F01">
        <w:rPr>
          <w:rFonts w:ascii="Times New Roman" w:hAnsi="Times New Roman"/>
          <w:szCs w:val="24"/>
        </w:rPr>
        <w:t>a</w:t>
      </w:r>
      <w:proofErr w:type="gramEnd"/>
      <w:r w:rsidR="00230285" w:rsidRPr="00CE1F01">
        <w:rPr>
          <w:rFonts w:ascii="Times New Roman" w:hAnsi="Times New Roman"/>
          <w:szCs w:val="24"/>
        </w:rPr>
        <w:t xml:space="preserve"> herbicide prior to cash crop planting. </w:t>
      </w:r>
      <w:r w:rsidRPr="00CE1F01">
        <w:rPr>
          <w:rFonts w:ascii="Times New Roman" w:hAnsi="Times New Roman"/>
          <w:szCs w:val="24"/>
        </w:rPr>
        <w:t xml:space="preserve">This was repeated under a soybean/corn (SC) and corn/soybean (CS) rotation. Single-use and dual-use plots were no-till drilled in 10 ft x 30 ft plots in a RCBD with three replications at two Tennessee locations: Knoxville and Spring Hill.  Single-use plots were also established at Milan in 12 ft x 30 ft plots.  Rotation systems were analyzed separately using SAS 9.4. Cover crops in the CS rotation were established in early Oct. and terminated in mid-Apr, while cover crops in the SC rotation were established in mid-Oct and terminated in early May (Table 1). </w:t>
      </w:r>
    </w:p>
    <w:p w14:paraId="1AEBB2D2" w14:textId="638D6CB0" w:rsidR="00230285" w:rsidRPr="00CE1F01" w:rsidRDefault="00230285" w:rsidP="00CE1F01">
      <w:pPr>
        <w:rPr>
          <w:rFonts w:ascii="Times New Roman" w:hAnsi="Times New Roman"/>
          <w:szCs w:val="24"/>
        </w:rPr>
      </w:pPr>
    </w:p>
    <w:p w14:paraId="4D5F7033" w14:textId="77777777" w:rsidR="00A63B1F" w:rsidRPr="00CE1F01" w:rsidRDefault="00A63B1F" w:rsidP="00CE1F01">
      <w:pPr>
        <w:widowControl/>
        <w:rPr>
          <w:rFonts w:ascii="Times New Roman" w:hAnsi="Times New Roman"/>
          <w:szCs w:val="24"/>
        </w:rPr>
      </w:pPr>
      <w:r w:rsidRPr="00CE1F01">
        <w:rPr>
          <w:rFonts w:ascii="Times New Roman" w:hAnsi="Times New Roman"/>
          <w:szCs w:val="24"/>
        </w:rPr>
        <w:br w:type="page"/>
      </w:r>
    </w:p>
    <w:p w14:paraId="4AA34519" w14:textId="6B10D8D5" w:rsidR="00230285" w:rsidRPr="00CE1F01" w:rsidRDefault="00230285" w:rsidP="00CE1F01">
      <w:pPr>
        <w:rPr>
          <w:rFonts w:ascii="Times New Roman" w:hAnsi="Times New Roman"/>
          <w:szCs w:val="24"/>
        </w:rPr>
      </w:pPr>
      <w:r w:rsidRPr="00CE1F01">
        <w:rPr>
          <w:rFonts w:ascii="Times New Roman" w:hAnsi="Times New Roman"/>
          <w:szCs w:val="24"/>
        </w:rPr>
        <w:lastRenderedPageBreak/>
        <w:t>Table 1. Cover crop and cash crop planting, harvesting, termination, and data collection dates for year 1 (2017/2018) and year 2 (2018/2019).</w:t>
      </w:r>
    </w:p>
    <w:p w14:paraId="6D52B2A2" w14:textId="755662AD" w:rsidR="00230285" w:rsidRPr="00CE1F01" w:rsidRDefault="00A63B1F" w:rsidP="00CE1F01">
      <w:pPr>
        <w:rPr>
          <w:rFonts w:ascii="Times New Roman" w:hAnsi="Times New Roman"/>
          <w:szCs w:val="24"/>
        </w:rPr>
      </w:pPr>
      <w:r w:rsidRPr="00CE1F01">
        <w:rPr>
          <w:rFonts w:ascii="Times New Roman" w:hAnsi="Times New Roman"/>
          <w:szCs w:val="24"/>
        </w:rPr>
        <w:drawing>
          <wp:inline distT="0" distB="0" distL="0" distR="0" wp14:anchorId="755A3391" wp14:editId="26CE3120">
            <wp:extent cx="6400800" cy="45556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0" cy="4555664"/>
                    </a:xfrm>
                    <a:prstGeom prst="rect">
                      <a:avLst/>
                    </a:prstGeom>
                    <a:noFill/>
                    <a:ln>
                      <a:noFill/>
                    </a:ln>
                  </pic:spPr>
                </pic:pic>
              </a:graphicData>
            </a:graphic>
          </wp:inline>
        </w:drawing>
      </w:r>
    </w:p>
    <w:p w14:paraId="41C89EDB" w14:textId="77777777" w:rsidR="00A63B1F" w:rsidRPr="00CE1F01" w:rsidRDefault="00A63B1F" w:rsidP="00CE1F01">
      <w:pPr>
        <w:rPr>
          <w:rFonts w:ascii="Times New Roman" w:hAnsi="Times New Roman"/>
          <w:i/>
          <w:szCs w:val="24"/>
        </w:rPr>
      </w:pPr>
    </w:p>
    <w:p w14:paraId="7CA334AA" w14:textId="61602DC4" w:rsidR="007B0408" w:rsidRPr="00CE1F01" w:rsidRDefault="007B0408" w:rsidP="00CE1F01">
      <w:pPr>
        <w:rPr>
          <w:rFonts w:ascii="Times New Roman" w:hAnsi="Times New Roman"/>
          <w:i/>
          <w:szCs w:val="24"/>
        </w:rPr>
      </w:pPr>
      <w:r w:rsidRPr="00CE1F01">
        <w:rPr>
          <w:rFonts w:ascii="Times New Roman" w:hAnsi="Times New Roman"/>
          <w:i/>
          <w:szCs w:val="24"/>
        </w:rPr>
        <w:t>Regional Adaptation</w:t>
      </w:r>
    </w:p>
    <w:p w14:paraId="3B17F3E1" w14:textId="6BFBC67A" w:rsidR="007B0408" w:rsidRPr="00CE1F01" w:rsidRDefault="007B0408" w:rsidP="00CE1F01">
      <w:pPr>
        <w:ind w:firstLine="720"/>
        <w:rPr>
          <w:rFonts w:ascii="Times New Roman" w:hAnsi="Times New Roman"/>
          <w:szCs w:val="24"/>
        </w:rPr>
      </w:pPr>
      <w:r w:rsidRPr="00CE1F01">
        <w:rPr>
          <w:rFonts w:ascii="Times New Roman" w:hAnsi="Times New Roman"/>
          <w:szCs w:val="24"/>
        </w:rPr>
        <w:t>On all plots, monthly percent cover and height were measured. Samples of biomass greater than 1 in. were hand-clipped from a randomly selected 1 ft</w:t>
      </w:r>
      <w:r w:rsidRPr="00CE1F01">
        <w:rPr>
          <w:rFonts w:ascii="Times New Roman" w:hAnsi="Times New Roman"/>
          <w:szCs w:val="24"/>
          <w:vertAlign w:val="superscript"/>
        </w:rPr>
        <w:t>2</w:t>
      </w:r>
      <w:r w:rsidRPr="00CE1F01">
        <w:rPr>
          <w:rFonts w:ascii="Times New Roman" w:hAnsi="Times New Roman"/>
          <w:szCs w:val="24"/>
        </w:rPr>
        <w:t xml:space="preserve"> area, dried at 60</w:t>
      </w:r>
      <w:r w:rsidRPr="00CE1F01">
        <w:rPr>
          <w:rFonts w:ascii="Times New Roman" w:hAnsi="Times New Roman"/>
          <w:szCs w:val="24"/>
          <w:vertAlign w:val="superscript"/>
        </w:rPr>
        <w:t>o</w:t>
      </w:r>
      <w:r w:rsidRPr="00CE1F01">
        <w:rPr>
          <w:rFonts w:ascii="Times New Roman" w:hAnsi="Times New Roman"/>
          <w:szCs w:val="24"/>
        </w:rPr>
        <w:t xml:space="preserve">C to constant weight, and weighed to estimate total dry matter biomass yield on a monthly basis (forage plots) and immediately prior to termination (all plots). </w:t>
      </w:r>
    </w:p>
    <w:p w14:paraId="20F3DF2C" w14:textId="77777777" w:rsidR="007B0408" w:rsidRPr="00CE1F01" w:rsidRDefault="007B0408" w:rsidP="00CE1F01">
      <w:pPr>
        <w:ind w:firstLine="720"/>
        <w:rPr>
          <w:rFonts w:ascii="Times New Roman" w:hAnsi="Times New Roman"/>
          <w:szCs w:val="24"/>
        </w:rPr>
      </w:pPr>
    </w:p>
    <w:p w14:paraId="366AF2AD" w14:textId="453F16C0" w:rsidR="007B0408" w:rsidRPr="00CE1F01" w:rsidRDefault="009F5F86" w:rsidP="00CE1F01">
      <w:pPr>
        <w:rPr>
          <w:rFonts w:ascii="Times New Roman" w:hAnsi="Times New Roman"/>
          <w:i/>
          <w:szCs w:val="24"/>
        </w:rPr>
      </w:pPr>
      <w:r w:rsidRPr="00CE1F01">
        <w:rPr>
          <w:rFonts w:ascii="Times New Roman" w:hAnsi="Times New Roman"/>
          <w:i/>
          <w:szCs w:val="24"/>
        </w:rPr>
        <w:t xml:space="preserve">Dual-Use </w:t>
      </w:r>
      <w:r w:rsidR="007B0408" w:rsidRPr="00CE1F01">
        <w:rPr>
          <w:rFonts w:ascii="Times New Roman" w:hAnsi="Times New Roman"/>
          <w:i/>
          <w:szCs w:val="24"/>
        </w:rPr>
        <w:t>Economic Impacts</w:t>
      </w:r>
    </w:p>
    <w:p w14:paraId="1ECF4375" w14:textId="46656377" w:rsidR="007B0408" w:rsidRPr="00CE1F01" w:rsidRDefault="007B0408" w:rsidP="00CE1F01">
      <w:pPr>
        <w:ind w:firstLine="720"/>
        <w:rPr>
          <w:rFonts w:ascii="Times New Roman" w:hAnsi="Times New Roman"/>
          <w:szCs w:val="24"/>
        </w:rPr>
      </w:pPr>
      <w:r w:rsidRPr="00CE1F01">
        <w:rPr>
          <w:rFonts w:ascii="Times New Roman" w:hAnsi="Times New Roman"/>
          <w:szCs w:val="24"/>
        </w:rPr>
        <w:t xml:space="preserve">Forage plots were harvested using a small plot forage harvester.  Percent moisture was determined using a grab sample and yields were converted to a dry matter basis. Forage samples were ground through a 1-mm screen using a Wiley mill.  Samples </w:t>
      </w:r>
      <w:r w:rsidR="009F5F86" w:rsidRPr="00CE1F01">
        <w:rPr>
          <w:rFonts w:ascii="Times New Roman" w:hAnsi="Times New Roman"/>
          <w:szCs w:val="24"/>
        </w:rPr>
        <w:t>were</w:t>
      </w:r>
      <w:r w:rsidRPr="00CE1F01">
        <w:rPr>
          <w:rFonts w:ascii="Times New Roman" w:hAnsi="Times New Roman"/>
          <w:szCs w:val="24"/>
        </w:rPr>
        <w:t xml:space="preserve"> analyzed for in vitro neutral detergent fiber digestibility (NDFD), crude protein (CP), acid detergent fiber (ADF), and neutral detergent fiber (NDF) using Near Infrared Spectroscopy (NIRS) and for total C and N using dry combustion</w:t>
      </w:r>
    </w:p>
    <w:p w14:paraId="105BA856" w14:textId="659F8323" w:rsidR="007B0408" w:rsidRPr="00CE1F01" w:rsidRDefault="007B0408" w:rsidP="00CE1F01">
      <w:pPr>
        <w:ind w:firstLine="720"/>
        <w:rPr>
          <w:rFonts w:ascii="Times New Roman" w:hAnsi="Times New Roman"/>
          <w:szCs w:val="24"/>
        </w:rPr>
      </w:pPr>
      <w:r w:rsidRPr="00CE1F01">
        <w:rPr>
          <w:rFonts w:ascii="Times New Roman" w:hAnsi="Times New Roman"/>
          <w:szCs w:val="24"/>
        </w:rPr>
        <w:t xml:space="preserve">     The middle two rows of each four</w:t>
      </w:r>
      <w:r w:rsidR="005807EB" w:rsidRPr="00CE1F01">
        <w:rPr>
          <w:rFonts w:ascii="Times New Roman" w:hAnsi="Times New Roman"/>
          <w:szCs w:val="24"/>
        </w:rPr>
        <w:t>-</w:t>
      </w:r>
      <w:r w:rsidRPr="00CE1F01">
        <w:rPr>
          <w:rFonts w:ascii="Times New Roman" w:hAnsi="Times New Roman"/>
          <w:szCs w:val="24"/>
        </w:rPr>
        <w:t xml:space="preserve">row corn or soybean plot </w:t>
      </w:r>
      <w:r w:rsidR="009F5F86" w:rsidRPr="00CE1F01">
        <w:rPr>
          <w:rFonts w:ascii="Times New Roman" w:hAnsi="Times New Roman"/>
          <w:szCs w:val="24"/>
        </w:rPr>
        <w:t>were</w:t>
      </w:r>
      <w:r w:rsidRPr="00CE1F01">
        <w:rPr>
          <w:rFonts w:ascii="Times New Roman" w:hAnsi="Times New Roman"/>
          <w:szCs w:val="24"/>
        </w:rPr>
        <w:t xml:space="preserve"> harvested at maturity using a small plot combine. A grain sample </w:t>
      </w:r>
      <w:r w:rsidR="009F5F86" w:rsidRPr="00CE1F01">
        <w:rPr>
          <w:rFonts w:ascii="Times New Roman" w:hAnsi="Times New Roman"/>
          <w:szCs w:val="24"/>
        </w:rPr>
        <w:t>was</w:t>
      </w:r>
      <w:r w:rsidRPr="00CE1F01">
        <w:rPr>
          <w:rFonts w:ascii="Times New Roman" w:hAnsi="Times New Roman"/>
          <w:szCs w:val="24"/>
        </w:rPr>
        <w:t xml:space="preserve"> collected from each plot during harvest and analyzed for protein and oil (corn and soybean), and starch (corn only) using NIRS.</w:t>
      </w:r>
    </w:p>
    <w:p w14:paraId="2755B400" w14:textId="77777777" w:rsidR="007B0408" w:rsidRPr="00CE1F01" w:rsidRDefault="007B0408" w:rsidP="00CE1F01">
      <w:pPr>
        <w:ind w:firstLine="720"/>
        <w:rPr>
          <w:rFonts w:ascii="Times New Roman" w:hAnsi="Times New Roman"/>
          <w:szCs w:val="24"/>
        </w:rPr>
      </w:pPr>
    </w:p>
    <w:p w14:paraId="1DE725CA" w14:textId="2D518776" w:rsidR="007B0408" w:rsidRPr="00CE1F01" w:rsidRDefault="009F5F86" w:rsidP="00CE1F01">
      <w:pPr>
        <w:rPr>
          <w:rFonts w:ascii="Times New Roman" w:hAnsi="Times New Roman"/>
          <w:i/>
          <w:szCs w:val="24"/>
        </w:rPr>
      </w:pPr>
      <w:r w:rsidRPr="00CE1F01">
        <w:rPr>
          <w:rFonts w:ascii="Times New Roman" w:hAnsi="Times New Roman"/>
          <w:i/>
          <w:szCs w:val="24"/>
        </w:rPr>
        <w:t xml:space="preserve">Dual-Use </w:t>
      </w:r>
      <w:r w:rsidR="007B0408" w:rsidRPr="00CE1F01">
        <w:rPr>
          <w:rFonts w:ascii="Times New Roman" w:hAnsi="Times New Roman"/>
          <w:i/>
          <w:szCs w:val="24"/>
        </w:rPr>
        <w:t>Ecological Impacts</w:t>
      </w:r>
    </w:p>
    <w:p w14:paraId="4F08FE69" w14:textId="447B5A74" w:rsidR="008B34F9" w:rsidRPr="00CE1F01" w:rsidRDefault="007B0408" w:rsidP="00CE1F01">
      <w:pPr>
        <w:ind w:firstLine="720"/>
        <w:rPr>
          <w:rFonts w:ascii="Times New Roman" w:hAnsi="Times New Roman"/>
          <w:szCs w:val="24"/>
        </w:rPr>
      </w:pPr>
      <w:r w:rsidRPr="00CE1F01">
        <w:rPr>
          <w:rFonts w:ascii="Times New Roman" w:hAnsi="Times New Roman"/>
          <w:szCs w:val="24"/>
        </w:rPr>
        <w:t xml:space="preserve">Soil samples </w:t>
      </w:r>
      <w:r w:rsidR="009F5F86" w:rsidRPr="00CE1F01">
        <w:rPr>
          <w:rFonts w:ascii="Times New Roman" w:hAnsi="Times New Roman"/>
          <w:szCs w:val="24"/>
        </w:rPr>
        <w:t>were</w:t>
      </w:r>
      <w:r w:rsidRPr="00CE1F01">
        <w:rPr>
          <w:rFonts w:ascii="Times New Roman" w:hAnsi="Times New Roman"/>
          <w:szCs w:val="24"/>
        </w:rPr>
        <w:t xml:space="preserve"> collected at the depth interval of 0-6 inches two months after cover crop harvest </w:t>
      </w:r>
      <w:r w:rsidR="009F5F86" w:rsidRPr="00CE1F01">
        <w:rPr>
          <w:rFonts w:ascii="Times New Roman" w:hAnsi="Times New Roman"/>
          <w:szCs w:val="24"/>
        </w:rPr>
        <w:t xml:space="preserve">and analyzed for the following: </w:t>
      </w:r>
      <w:r w:rsidRPr="00CE1F01">
        <w:rPr>
          <w:rFonts w:ascii="Times New Roman" w:hAnsi="Times New Roman"/>
          <w:szCs w:val="24"/>
        </w:rPr>
        <w:t xml:space="preserve">extractable phosphorus, potassium, calcium, magnesium, sulfur, manganese, zinc, boron, iron, sodium, aluminum, available nitrogen (NO3- + NH4+), and water extractable organic carbon and nitrogen. In addition, samples </w:t>
      </w:r>
      <w:r w:rsidR="009F5F86" w:rsidRPr="00CE1F01">
        <w:rPr>
          <w:rFonts w:ascii="Times New Roman" w:hAnsi="Times New Roman"/>
          <w:szCs w:val="24"/>
        </w:rPr>
        <w:t>were</w:t>
      </w:r>
      <w:r w:rsidRPr="00CE1F01">
        <w:rPr>
          <w:rFonts w:ascii="Times New Roman" w:hAnsi="Times New Roman"/>
          <w:szCs w:val="24"/>
        </w:rPr>
        <w:t xml:space="preserve"> analyzed for pH; organic matter, and cation exchange capacity (CEC). Samples </w:t>
      </w:r>
      <w:r w:rsidR="009F5F86" w:rsidRPr="00CE1F01">
        <w:rPr>
          <w:rFonts w:ascii="Times New Roman" w:hAnsi="Times New Roman"/>
          <w:szCs w:val="24"/>
        </w:rPr>
        <w:t>were</w:t>
      </w:r>
      <w:r w:rsidRPr="00CE1F01">
        <w:rPr>
          <w:rFonts w:ascii="Times New Roman" w:hAnsi="Times New Roman"/>
          <w:szCs w:val="24"/>
        </w:rPr>
        <w:t xml:space="preserve"> taken in the top 6 inches during the flowering stage of </w:t>
      </w:r>
      <w:r w:rsidRPr="00CE1F01">
        <w:rPr>
          <w:rFonts w:ascii="Times New Roman" w:hAnsi="Times New Roman"/>
          <w:szCs w:val="24"/>
        </w:rPr>
        <w:lastRenderedPageBreak/>
        <w:t xml:space="preserve">soybean and corn from each plot for the determination of soil moisture content each year. </w:t>
      </w:r>
      <w:r w:rsidR="009F5F86" w:rsidRPr="00CE1F01">
        <w:rPr>
          <w:rFonts w:ascii="Times New Roman" w:hAnsi="Times New Roman"/>
          <w:szCs w:val="24"/>
        </w:rPr>
        <w:t xml:space="preserve">Weed suppression was evaluated visually using a percentage scale at 21 days after cash crop planting.  </w:t>
      </w:r>
      <w:r w:rsidR="008B34F9" w:rsidRPr="00CE1F01">
        <w:rPr>
          <w:rFonts w:ascii="Times New Roman" w:hAnsi="Times New Roman"/>
          <w:szCs w:val="24"/>
        </w:rPr>
        <w:t xml:space="preserve">Beer and shingle baits were set in non-forage plots at two locations at cash crop planting.  Slugs were counted approximately 24 </w:t>
      </w:r>
      <w:proofErr w:type="spellStart"/>
      <w:r w:rsidR="008B34F9" w:rsidRPr="00CE1F01">
        <w:rPr>
          <w:rFonts w:ascii="Times New Roman" w:hAnsi="Times New Roman"/>
          <w:szCs w:val="24"/>
        </w:rPr>
        <w:t>hrs</w:t>
      </w:r>
      <w:proofErr w:type="spellEnd"/>
      <w:r w:rsidR="008B34F9" w:rsidRPr="00CE1F01">
        <w:rPr>
          <w:rFonts w:ascii="Times New Roman" w:hAnsi="Times New Roman"/>
          <w:szCs w:val="24"/>
        </w:rPr>
        <w:t xml:space="preserve"> after baiting</w:t>
      </w:r>
      <w:r w:rsidR="00FE72AD" w:rsidRPr="00CE1F01">
        <w:rPr>
          <w:rFonts w:ascii="Times New Roman" w:hAnsi="Times New Roman"/>
          <w:szCs w:val="24"/>
        </w:rPr>
        <w:t>.</w:t>
      </w:r>
    </w:p>
    <w:p w14:paraId="558F9AB0" w14:textId="2518733A" w:rsidR="009F5F86" w:rsidRPr="00CE1F01" w:rsidRDefault="009F5F86" w:rsidP="00CE1F01">
      <w:pPr>
        <w:ind w:firstLine="720"/>
        <w:rPr>
          <w:rFonts w:ascii="Times New Roman" w:hAnsi="Times New Roman"/>
          <w:szCs w:val="24"/>
        </w:rPr>
      </w:pPr>
    </w:p>
    <w:p w14:paraId="360943E6" w14:textId="123A710D" w:rsidR="009F5F86" w:rsidRPr="00CE1F01" w:rsidRDefault="008B34F9" w:rsidP="00CE1F01">
      <w:pPr>
        <w:rPr>
          <w:rFonts w:ascii="Times New Roman" w:hAnsi="Times New Roman"/>
          <w:i/>
          <w:szCs w:val="24"/>
        </w:rPr>
      </w:pPr>
      <w:r w:rsidRPr="00CE1F01">
        <w:rPr>
          <w:rFonts w:ascii="Times New Roman" w:hAnsi="Times New Roman"/>
          <w:i/>
          <w:szCs w:val="24"/>
        </w:rPr>
        <w:t>Allelopathic effects</w:t>
      </w:r>
    </w:p>
    <w:p w14:paraId="1C099321" w14:textId="7A13EE30" w:rsidR="008B34F9" w:rsidRPr="00CE1F01" w:rsidRDefault="00A63B1F" w:rsidP="00CE1F01">
      <w:pPr>
        <w:jc w:val="both"/>
        <w:rPr>
          <w:rFonts w:ascii="Times New Roman" w:eastAsia="Calibri" w:hAnsi="Times New Roman"/>
          <w:snapToGrid/>
          <w:szCs w:val="24"/>
        </w:rPr>
      </w:pPr>
      <w:r w:rsidRPr="00CE1F01">
        <w:rPr>
          <w:rFonts w:ascii="Times New Roman" w:hAnsi="Times New Roman"/>
          <w:szCs w:val="24"/>
        </w:rPr>
        <w:t xml:space="preserve">     </w:t>
      </w:r>
      <w:r w:rsidR="009F5F86" w:rsidRPr="00CE1F01">
        <w:rPr>
          <w:rFonts w:ascii="Times New Roman" w:hAnsi="Times New Roman"/>
          <w:szCs w:val="24"/>
        </w:rPr>
        <w:t xml:space="preserve">Potential allelopathic effects </w:t>
      </w:r>
      <w:r w:rsidR="008B34F9" w:rsidRPr="00CE1F01">
        <w:rPr>
          <w:rFonts w:ascii="Times New Roman" w:hAnsi="Times New Roman"/>
          <w:szCs w:val="24"/>
        </w:rPr>
        <w:t>were</w:t>
      </w:r>
      <w:r w:rsidR="009F5F86" w:rsidRPr="00CE1F01">
        <w:rPr>
          <w:rFonts w:ascii="Times New Roman" w:hAnsi="Times New Roman"/>
          <w:szCs w:val="24"/>
        </w:rPr>
        <w:t xml:space="preserve"> </w:t>
      </w:r>
      <w:r w:rsidR="008B34F9" w:rsidRPr="00CE1F01">
        <w:rPr>
          <w:rFonts w:ascii="Times New Roman" w:hAnsi="Times New Roman"/>
          <w:szCs w:val="24"/>
        </w:rPr>
        <w:t xml:space="preserve">further evaluated for seven cover crop species (wheat, cereal rye, hairy vetch, </w:t>
      </w:r>
      <w:proofErr w:type="spellStart"/>
      <w:r w:rsidR="008B34F9" w:rsidRPr="00CE1F01">
        <w:rPr>
          <w:rFonts w:ascii="Times New Roman" w:hAnsi="Times New Roman"/>
          <w:szCs w:val="24"/>
        </w:rPr>
        <w:t>woolypod</w:t>
      </w:r>
      <w:proofErr w:type="spellEnd"/>
      <w:r w:rsidR="008B34F9" w:rsidRPr="00CE1F01">
        <w:rPr>
          <w:rFonts w:ascii="Times New Roman" w:hAnsi="Times New Roman"/>
          <w:szCs w:val="24"/>
        </w:rPr>
        <w:t xml:space="preserve"> vetch, crimson clover, winter pea, and canola) under the soybean/corn rotation. </w:t>
      </w:r>
      <w:r w:rsidR="009F5F86" w:rsidRPr="00CE1F01">
        <w:rPr>
          <w:rFonts w:ascii="Times New Roman" w:hAnsi="Times New Roman"/>
          <w:szCs w:val="24"/>
        </w:rPr>
        <w:t xml:space="preserve">Biomass from each species </w:t>
      </w:r>
      <w:r w:rsidR="008B34F9" w:rsidRPr="00CE1F01">
        <w:rPr>
          <w:rFonts w:ascii="Times New Roman" w:hAnsi="Times New Roman"/>
          <w:szCs w:val="24"/>
        </w:rPr>
        <w:t>was</w:t>
      </w:r>
      <w:r w:rsidR="009F5F86" w:rsidRPr="00CE1F01">
        <w:rPr>
          <w:rFonts w:ascii="Times New Roman" w:hAnsi="Times New Roman"/>
          <w:szCs w:val="24"/>
        </w:rPr>
        <w:t xml:space="preserve"> collected immediately prior to termination and dried at 60</w:t>
      </w:r>
      <w:r w:rsidR="009F5F86" w:rsidRPr="00CE1F01">
        <w:rPr>
          <w:rFonts w:ascii="Times New Roman" w:hAnsi="Times New Roman"/>
          <w:szCs w:val="24"/>
          <w:vertAlign w:val="superscript"/>
        </w:rPr>
        <w:t>o</w:t>
      </w:r>
      <w:r w:rsidR="009F5F86" w:rsidRPr="00CE1F01">
        <w:rPr>
          <w:rFonts w:ascii="Times New Roman" w:hAnsi="Times New Roman"/>
          <w:szCs w:val="24"/>
        </w:rPr>
        <w:t xml:space="preserve">C for five days. </w:t>
      </w:r>
      <w:r w:rsidR="008B34F9" w:rsidRPr="00CE1F01">
        <w:rPr>
          <w:rFonts w:ascii="Times New Roman" w:eastAsia="Calibri" w:hAnsi="Times New Roman"/>
          <w:snapToGrid/>
          <w:szCs w:val="24"/>
        </w:rPr>
        <w:t xml:space="preserve">Each sample was then chopped, ground, mixed with deionized water, and centrifuged. Finally, the extract received after centrifuging was diluted and added to filter paper within petri dishes containing 10 soybean seeds, and a number of germination properties were measured. For the weed test, </w:t>
      </w:r>
      <w:proofErr w:type="spellStart"/>
      <w:r w:rsidR="008B34F9" w:rsidRPr="00CE1F01">
        <w:rPr>
          <w:rFonts w:ascii="Times New Roman" w:eastAsia="Calibri" w:hAnsi="Times New Roman"/>
          <w:snapToGrid/>
          <w:szCs w:val="24"/>
        </w:rPr>
        <w:t>goosegrass</w:t>
      </w:r>
      <w:proofErr w:type="spellEnd"/>
      <w:r w:rsidR="008B34F9" w:rsidRPr="00CE1F01">
        <w:rPr>
          <w:rFonts w:ascii="Times New Roman" w:eastAsia="Calibri" w:hAnsi="Times New Roman"/>
          <w:snapToGrid/>
          <w:szCs w:val="24"/>
        </w:rPr>
        <w:t xml:space="preserve"> was considered. Since the </w:t>
      </w:r>
      <w:proofErr w:type="spellStart"/>
      <w:r w:rsidR="008B34F9" w:rsidRPr="00CE1F01">
        <w:rPr>
          <w:rFonts w:ascii="Times New Roman" w:eastAsia="Calibri" w:hAnsi="Times New Roman"/>
          <w:snapToGrid/>
          <w:szCs w:val="24"/>
        </w:rPr>
        <w:t>goosegrass</w:t>
      </w:r>
      <w:proofErr w:type="spellEnd"/>
      <w:r w:rsidR="008B34F9" w:rsidRPr="00CE1F01">
        <w:rPr>
          <w:rFonts w:ascii="Times New Roman" w:eastAsia="Calibri" w:hAnsi="Times New Roman"/>
          <w:snapToGrid/>
          <w:szCs w:val="24"/>
        </w:rPr>
        <w:t xml:space="preserve"> seeds were small, 30 seeds were placed in each petri dishes for the application of cover crop extract. Germination properties such as germination percentage, germination rate (Ng/day), seedling length, root and shoot length, dry and fresh weights were measured in a controlled environment under 25 C. Data were analyzed using Student’s t-test with JMP Pro 13.2</w:t>
      </w:r>
    </w:p>
    <w:p w14:paraId="365E092B" w14:textId="77777777" w:rsidR="008B34F9" w:rsidRPr="00CE1F01" w:rsidRDefault="008B34F9" w:rsidP="00CE1F01">
      <w:pPr>
        <w:widowControl/>
        <w:jc w:val="both"/>
        <w:rPr>
          <w:rFonts w:ascii="Times New Roman" w:eastAsia="Calibri" w:hAnsi="Times New Roman"/>
          <w:snapToGrid/>
          <w:szCs w:val="24"/>
        </w:rPr>
      </w:pPr>
    </w:p>
    <w:p w14:paraId="076DAC4A" w14:textId="0A3BEEAA" w:rsidR="009F5F86" w:rsidRPr="00CE1F01" w:rsidRDefault="005807EB" w:rsidP="00CE1F01">
      <w:pPr>
        <w:rPr>
          <w:rFonts w:ascii="Times New Roman" w:hAnsi="Times New Roman"/>
          <w:b/>
          <w:i/>
          <w:szCs w:val="24"/>
        </w:rPr>
      </w:pPr>
      <w:r w:rsidRPr="00CE1F01">
        <w:rPr>
          <w:rFonts w:ascii="Times New Roman" w:hAnsi="Times New Roman"/>
          <w:b/>
          <w:i/>
          <w:szCs w:val="24"/>
        </w:rPr>
        <w:t>Results</w:t>
      </w:r>
    </w:p>
    <w:p w14:paraId="383F98D2" w14:textId="5B7E204F" w:rsidR="005807EB" w:rsidRPr="00CE1F01" w:rsidRDefault="005807EB" w:rsidP="00CE1F01">
      <w:pPr>
        <w:rPr>
          <w:rFonts w:ascii="Times New Roman" w:hAnsi="Times New Roman"/>
          <w:i/>
          <w:szCs w:val="24"/>
        </w:rPr>
      </w:pPr>
      <w:r w:rsidRPr="00CE1F01">
        <w:rPr>
          <w:rFonts w:ascii="Times New Roman" w:hAnsi="Times New Roman"/>
          <w:i/>
          <w:szCs w:val="24"/>
        </w:rPr>
        <w:t>Regional Adaptation</w:t>
      </w:r>
    </w:p>
    <w:p w14:paraId="2AB63ABD" w14:textId="2DEFFC7C" w:rsidR="009A352F" w:rsidRPr="00CE1F01" w:rsidRDefault="00D57E62" w:rsidP="00CE1F01">
      <w:pPr>
        <w:ind w:firstLine="720"/>
        <w:rPr>
          <w:rFonts w:ascii="Times New Roman" w:hAnsi="Times New Roman"/>
          <w:szCs w:val="24"/>
        </w:rPr>
      </w:pPr>
      <w:r w:rsidRPr="00CE1F01">
        <w:rPr>
          <w:rFonts w:ascii="Times New Roman" w:hAnsi="Times New Roman"/>
          <w:szCs w:val="24"/>
        </w:rPr>
        <w:t xml:space="preserve">Percent cover crop cover was measured monthly, but three critical time points were selected to represent growth over specific periods of time.  Fall growth was evaluated in December, winter growth was evaluated in February, and spring growth was evaluated before forage harvest and termination. </w:t>
      </w:r>
      <w:r w:rsidR="009C1D24" w:rsidRPr="00CE1F01">
        <w:rPr>
          <w:rFonts w:ascii="Times New Roman" w:hAnsi="Times New Roman"/>
          <w:szCs w:val="24"/>
        </w:rPr>
        <w:t xml:space="preserve">The </w:t>
      </w:r>
      <w:r w:rsidR="00F16BB8" w:rsidRPr="00CE1F01">
        <w:rPr>
          <w:rFonts w:ascii="Times New Roman" w:hAnsi="Times New Roman"/>
          <w:szCs w:val="24"/>
        </w:rPr>
        <w:t>CS</w:t>
      </w:r>
      <w:r w:rsidR="009C1D24" w:rsidRPr="00CE1F01">
        <w:rPr>
          <w:rFonts w:ascii="Times New Roman" w:hAnsi="Times New Roman"/>
          <w:szCs w:val="24"/>
        </w:rPr>
        <w:t xml:space="preserve"> rotation, which provided a </w:t>
      </w:r>
      <w:r w:rsidR="00F16BB8" w:rsidRPr="00CE1F01">
        <w:rPr>
          <w:rFonts w:ascii="Times New Roman" w:hAnsi="Times New Roman"/>
          <w:szCs w:val="24"/>
        </w:rPr>
        <w:t>longer</w:t>
      </w:r>
      <w:r w:rsidR="009C1D24" w:rsidRPr="00CE1F01">
        <w:rPr>
          <w:rFonts w:ascii="Times New Roman" w:hAnsi="Times New Roman"/>
          <w:szCs w:val="24"/>
        </w:rPr>
        <w:t xml:space="preserve"> cover crop growing season, resulted in </w:t>
      </w:r>
      <w:r w:rsidR="00F16BB8" w:rsidRPr="00CE1F01">
        <w:rPr>
          <w:rFonts w:ascii="Times New Roman" w:hAnsi="Times New Roman"/>
          <w:szCs w:val="24"/>
        </w:rPr>
        <w:t>higher</w:t>
      </w:r>
      <w:r w:rsidR="009C1D24" w:rsidRPr="00CE1F01">
        <w:rPr>
          <w:rFonts w:ascii="Times New Roman" w:hAnsi="Times New Roman"/>
          <w:szCs w:val="24"/>
        </w:rPr>
        <w:t xml:space="preserve"> mean percent cover at each measured timepoint</w:t>
      </w:r>
      <w:r w:rsidRPr="00CE1F01">
        <w:rPr>
          <w:rFonts w:ascii="Times New Roman" w:hAnsi="Times New Roman"/>
          <w:szCs w:val="24"/>
        </w:rPr>
        <w:t xml:space="preserve"> (Figure 1)</w:t>
      </w:r>
      <w:r w:rsidR="009C1D24" w:rsidRPr="00CE1F01">
        <w:rPr>
          <w:rFonts w:ascii="Times New Roman" w:hAnsi="Times New Roman"/>
          <w:szCs w:val="24"/>
        </w:rPr>
        <w:t xml:space="preserve"> compared with the S</w:t>
      </w:r>
      <w:r w:rsidR="009A352F" w:rsidRPr="00CE1F01">
        <w:rPr>
          <w:rFonts w:ascii="Times New Roman" w:hAnsi="Times New Roman"/>
          <w:szCs w:val="24"/>
        </w:rPr>
        <w:t>C</w:t>
      </w:r>
      <w:r w:rsidR="009C1D24" w:rsidRPr="00CE1F01">
        <w:rPr>
          <w:rFonts w:ascii="Times New Roman" w:hAnsi="Times New Roman"/>
          <w:szCs w:val="24"/>
        </w:rPr>
        <w:t xml:space="preserve"> rotation (Figure 2)</w:t>
      </w:r>
      <w:r w:rsidRPr="00CE1F01">
        <w:rPr>
          <w:rFonts w:ascii="Times New Roman" w:hAnsi="Times New Roman"/>
          <w:szCs w:val="24"/>
        </w:rPr>
        <w:t>.</w:t>
      </w:r>
      <w:r w:rsidR="009A352F" w:rsidRPr="00CE1F01">
        <w:rPr>
          <w:rFonts w:ascii="Times New Roman" w:hAnsi="Times New Roman"/>
          <w:szCs w:val="24"/>
        </w:rPr>
        <w:t xml:space="preserve"> Within the CS rotation (Figure 1), all of the cereals, except barley, provided percent cover and biomass at termination higher than the no-cover control. Crimson clover and </w:t>
      </w:r>
      <w:proofErr w:type="spellStart"/>
      <w:r w:rsidR="009A352F" w:rsidRPr="00CE1F01">
        <w:rPr>
          <w:rFonts w:ascii="Times New Roman" w:hAnsi="Times New Roman"/>
          <w:szCs w:val="24"/>
        </w:rPr>
        <w:t>woolypod</w:t>
      </w:r>
      <w:proofErr w:type="spellEnd"/>
      <w:r w:rsidR="009A352F" w:rsidRPr="00CE1F01">
        <w:rPr>
          <w:rFonts w:ascii="Times New Roman" w:hAnsi="Times New Roman"/>
          <w:szCs w:val="24"/>
        </w:rPr>
        <w:t xml:space="preserve"> vetch stood out among the legumes as providing full season cover and high biomass at termination. Winter pea and hairy vetch did not provide adequate fall cover, but picked up in the winter, spring, and at termination. None of the brassicas provided good full season coverage, although forage radish did provide significant fall cover and canola had biomass at termination greater than the control, though not as high as the top-performing species.  </w:t>
      </w:r>
      <w:r w:rsidRPr="00CE1F01">
        <w:rPr>
          <w:rFonts w:ascii="Times New Roman" w:hAnsi="Times New Roman"/>
          <w:szCs w:val="24"/>
        </w:rPr>
        <w:t xml:space="preserve">  </w:t>
      </w:r>
    </w:p>
    <w:p w14:paraId="6AF8E366" w14:textId="77777777" w:rsidR="009A352F" w:rsidRPr="00CE1F01" w:rsidRDefault="009A352F" w:rsidP="00CE1F01">
      <w:pPr>
        <w:ind w:firstLine="720"/>
        <w:rPr>
          <w:rFonts w:ascii="Times New Roman" w:hAnsi="Times New Roman"/>
          <w:szCs w:val="24"/>
        </w:rPr>
      </w:pPr>
    </w:p>
    <w:p w14:paraId="0EA6081E" w14:textId="4BFAD2D8" w:rsidR="007B0408" w:rsidRPr="00CE1F01" w:rsidRDefault="009C1D24" w:rsidP="00CE1F01">
      <w:pPr>
        <w:ind w:firstLine="720"/>
        <w:rPr>
          <w:rFonts w:ascii="Times New Roman" w:hAnsi="Times New Roman"/>
          <w:szCs w:val="24"/>
        </w:rPr>
      </w:pPr>
      <w:r w:rsidRPr="00CE1F01">
        <w:rPr>
          <w:rFonts w:ascii="Times New Roman" w:hAnsi="Times New Roman"/>
          <w:szCs w:val="24"/>
        </w:rPr>
        <w:t>In the SC rotation</w:t>
      </w:r>
      <w:r w:rsidR="009A352F" w:rsidRPr="00CE1F01">
        <w:rPr>
          <w:rFonts w:ascii="Times New Roman" w:hAnsi="Times New Roman"/>
          <w:szCs w:val="24"/>
        </w:rPr>
        <w:t xml:space="preserve"> (Figure 2)</w:t>
      </w:r>
      <w:r w:rsidRPr="00CE1F01">
        <w:rPr>
          <w:rFonts w:ascii="Times New Roman" w:hAnsi="Times New Roman"/>
          <w:szCs w:val="24"/>
        </w:rPr>
        <w:t xml:space="preserve">, only the cereals provided significant fall and winter cover. Cereal rye, oat, triticale, and wheat all performed equally well in this rotation. </w:t>
      </w:r>
      <w:r w:rsidR="009A352F" w:rsidRPr="00CE1F01">
        <w:rPr>
          <w:rFonts w:ascii="Times New Roman" w:hAnsi="Times New Roman"/>
          <w:szCs w:val="24"/>
        </w:rPr>
        <w:t xml:space="preserve">By spring, some of the legumes were able to provide significant cover, including winter pea, </w:t>
      </w:r>
      <w:proofErr w:type="spellStart"/>
      <w:r w:rsidR="009A352F" w:rsidRPr="00CE1F01">
        <w:rPr>
          <w:rFonts w:ascii="Times New Roman" w:hAnsi="Times New Roman"/>
          <w:szCs w:val="24"/>
        </w:rPr>
        <w:t>woolypod</w:t>
      </w:r>
      <w:proofErr w:type="spellEnd"/>
      <w:r w:rsidR="009A352F" w:rsidRPr="00CE1F01">
        <w:rPr>
          <w:rFonts w:ascii="Times New Roman" w:hAnsi="Times New Roman"/>
          <w:szCs w:val="24"/>
        </w:rPr>
        <w:t xml:space="preserve"> vetch, hairy vetch, and crimson clover; however, crimson clover was the only legume to provide significant biomass at termination under the SC rotation. The brassicas did not provide significant cover throughout the growing season, though canola did provide significant biomass at termination. </w:t>
      </w:r>
    </w:p>
    <w:p w14:paraId="3C0DBC9C" w14:textId="42954F64" w:rsidR="009C1D24" w:rsidRPr="00CE1F01" w:rsidRDefault="009C1D24" w:rsidP="00CE1F01">
      <w:pPr>
        <w:jc w:val="center"/>
        <w:rPr>
          <w:rFonts w:ascii="Times New Roman" w:hAnsi="Times New Roman"/>
          <w:szCs w:val="24"/>
        </w:rPr>
      </w:pPr>
    </w:p>
    <w:p w14:paraId="54FC861B" w14:textId="77777777" w:rsidR="00F16BB8" w:rsidRPr="00CE1F01" w:rsidRDefault="00F16BB8" w:rsidP="00CE1F01">
      <w:pPr>
        <w:rPr>
          <w:rFonts w:ascii="Times New Roman" w:hAnsi="Times New Roman"/>
          <w:szCs w:val="24"/>
        </w:rPr>
      </w:pPr>
    </w:p>
    <w:p w14:paraId="14C50121" w14:textId="77777777" w:rsidR="00F16BB8" w:rsidRPr="00CE1F01" w:rsidRDefault="00F16BB8" w:rsidP="00CE1F01">
      <w:pPr>
        <w:rPr>
          <w:rFonts w:ascii="Times New Roman" w:hAnsi="Times New Roman"/>
          <w:szCs w:val="24"/>
        </w:rPr>
      </w:pPr>
    </w:p>
    <w:p w14:paraId="0D0BF0F1" w14:textId="77777777" w:rsidR="00F16BB8" w:rsidRPr="00CE1F01" w:rsidRDefault="00F16BB8" w:rsidP="00CE1F01">
      <w:pPr>
        <w:rPr>
          <w:rFonts w:ascii="Times New Roman" w:hAnsi="Times New Roman"/>
          <w:szCs w:val="24"/>
        </w:rPr>
      </w:pPr>
    </w:p>
    <w:p w14:paraId="5B2566C8" w14:textId="77777777" w:rsidR="00F16BB8" w:rsidRPr="00CE1F01" w:rsidRDefault="00F16BB8" w:rsidP="00CE1F01">
      <w:pPr>
        <w:rPr>
          <w:rFonts w:ascii="Times New Roman" w:hAnsi="Times New Roman"/>
          <w:szCs w:val="24"/>
        </w:rPr>
      </w:pPr>
    </w:p>
    <w:p w14:paraId="106E0F29" w14:textId="77777777" w:rsidR="00A63B1F" w:rsidRPr="00CE1F01" w:rsidRDefault="00A63B1F" w:rsidP="00CE1F01">
      <w:pPr>
        <w:widowControl/>
        <w:rPr>
          <w:rFonts w:ascii="Times New Roman" w:hAnsi="Times New Roman"/>
          <w:szCs w:val="24"/>
        </w:rPr>
      </w:pPr>
      <w:r w:rsidRPr="00CE1F01">
        <w:rPr>
          <w:rFonts w:ascii="Times New Roman" w:hAnsi="Times New Roman"/>
          <w:szCs w:val="24"/>
        </w:rPr>
        <w:br w:type="page"/>
      </w:r>
    </w:p>
    <w:p w14:paraId="1B49B066" w14:textId="69A595BB" w:rsidR="00F16BB8" w:rsidRPr="00CE1F01" w:rsidRDefault="00F16BB8" w:rsidP="00CE1F01">
      <w:pPr>
        <w:rPr>
          <w:rFonts w:ascii="Times New Roman" w:hAnsi="Times New Roman"/>
          <w:strike/>
          <w:szCs w:val="24"/>
        </w:rPr>
      </w:pPr>
      <w:r w:rsidRPr="00CE1F01">
        <w:rPr>
          <w:rFonts w:ascii="Times New Roman" w:hAnsi="Times New Roman"/>
          <w:szCs w:val="24"/>
        </w:rPr>
        <w:lastRenderedPageBreak/>
        <w:t xml:space="preserve">Figure 1. </w:t>
      </w:r>
      <w:r w:rsidR="00D45FA5" w:rsidRPr="00CE1F01">
        <w:rPr>
          <w:rFonts w:ascii="Times New Roman" w:hAnsi="Times New Roman"/>
          <w:szCs w:val="24"/>
        </w:rPr>
        <w:t>Corn/Soybean rotation</w:t>
      </w:r>
      <w:r w:rsidRPr="00CE1F01">
        <w:rPr>
          <w:rFonts w:ascii="Times New Roman" w:hAnsi="Times New Roman"/>
          <w:szCs w:val="24"/>
        </w:rPr>
        <w:t xml:space="preserve"> percent ground cover by species (A, B, C) and biomass at termination (D).  Green bars are significantly higher than the no-cover control.</w:t>
      </w:r>
    </w:p>
    <w:p w14:paraId="7500FAB0" w14:textId="77777777" w:rsidR="00F16BB8" w:rsidRPr="00CE1F01" w:rsidRDefault="00F16BB8" w:rsidP="00CE1F01">
      <w:pPr>
        <w:rPr>
          <w:rFonts w:ascii="Times New Roman" w:hAnsi="Times New Roman"/>
          <w:szCs w:val="24"/>
        </w:rPr>
      </w:pPr>
      <w:r w:rsidRPr="00CE1F01">
        <w:rPr>
          <w:rFonts w:ascii="Times New Roman" w:hAnsi="Times New Roman"/>
          <w:noProof/>
          <w:szCs w:val="24"/>
        </w:rPr>
        <mc:AlternateContent>
          <mc:Choice Requires="wps">
            <w:drawing>
              <wp:anchor distT="0" distB="0" distL="114300" distR="114300" simplePos="0" relativeHeight="251662336" behindDoc="0" locked="0" layoutInCell="1" allowOverlap="1" wp14:anchorId="1B6E3074" wp14:editId="6D458C82">
                <wp:simplePos x="0" y="0"/>
                <wp:positionH relativeFrom="margin">
                  <wp:posOffset>4914900</wp:posOffset>
                </wp:positionH>
                <wp:positionV relativeFrom="paragraph">
                  <wp:posOffset>5715</wp:posOffset>
                </wp:positionV>
                <wp:extent cx="466725" cy="257175"/>
                <wp:effectExtent l="0" t="0" r="9525" b="9525"/>
                <wp:wrapNone/>
                <wp:docPr id="19" name="Text Box 19"/>
                <wp:cNvGraphicFramePr/>
                <a:graphic xmlns:a="http://schemas.openxmlformats.org/drawingml/2006/main">
                  <a:graphicData uri="http://schemas.microsoft.com/office/word/2010/wordprocessingShape">
                    <wps:wsp>
                      <wps:cNvSpPr txBox="1"/>
                      <wps:spPr>
                        <a:xfrm>
                          <a:off x="0" y="0"/>
                          <a:ext cx="466725" cy="257175"/>
                        </a:xfrm>
                        <a:prstGeom prst="rect">
                          <a:avLst/>
                        </a:prstGeom>
                        <a:solidFill>
                          <a:schemeClr val="lt1"/>
                        </a:solidFill>
                        <a:ln w="6350">
                          <a:noFill/>
                        </a:ln>
                      </wps:spPr>
                      <wps:txbx>
                        <w:txbxContent>
                          <w:p w14:paraId="135A7F8D" w14:textId="77777777" w:rsidR="00D45FA5" w:rsidRDefault="00D45FA5" w:rsidP="00F16BB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E3074" id="_x0000_t202" coordsize="21600,21600" o:spt="202" path="m,l,21600r21600,l21600,xe">
                <v:stroke joinstyle="miter"/>
                <v:path gradientshapeok="t" o:connecttype="rect"/>
              </v:shapetype>
              <v:shape id="Text Box 19" o:spid="_x0000_s1026" type="#_x0000_t202" style="position:absolute;margin-left:387pt;margin-top:.45pt;width:36.75pt;height:20.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ZQQIAAHoEAAAOAAAAZHJzL2Uyb0RvYy54bWysVE2P2jAQvVfqf7B8LwHKx25EWFFWVJXQ&#10;7kpQ7dk4NlhyPK5tSOiv79gJLN32VPVixjMvz/Pmg9lDU2lyEs4rMAUd9PqUCMOhVGZf0O/b1ac7&#10;SnxgpmQajCjoWXj6MP/4YVbbXAzhALoUjiCJ8XltC3oIweZZ5vlBVMz3wAqDQQmuYgGvbp+VjtXI&#10;Xuls2O9PshpcaR1w4T16H9sgnSd+KQUPz1J6EYguKOYW0unSuYtnNp+xfO+YPSjepcH+IYuKKYOP&#10;XqkeWWDk6NQfVJXiDjzI0ONQZSCl4iJpQDWD/js1mwOzImnB4nh7LZP/f7T86fTiiCqxd/eUGFZh&#10;j7aiCeQLNARdWJ/a+hxhG4vA0KAfsRe/R2eU3UhXxV8URDCOlT5fqxvZODpHk8l0OKaEY2g4ng6m&#10;48iSvX1snQ9fBVQkGgV12LxUU3Za+9BCL5D4lgetypXSOl3iwIilduTEsNU6pBSR/DeUNqQu6OTz&#10;uJ+IDcTPW2ZtMJcotZUUrdDsmk7/DsozynfQDpC3fKUwyTXz4YU5nBhUjFsQnvGQGvAR6CxKDuB+&#10;/s0f8dhIjFJS4wQW1P84Mico0d8Mtvh+MBrFkU2X0Xg6xIu7jexuI+ZYLQGVD3DfLE9mxAd9MaWD&#10;6hWXZRFfxRAzHN8uaLiYy9DuBS4bF4tFAuGQWhbWZmN5pI6Vji3YNq/M2a5PARv8BJdZZfm7drXY&#10;+KWBxTGAVKmXscBtVbu644CnaeiWMW7Q7T2h3v4y5r8AAAD//wMAUEsDBBQABgAIAAAAIQBJWmXV&#10;4AAAAAcBAAAPAAAAZHJzL2Rvd25yZXYueG1sTI9LT8MwEITvSP0P1lbigqhTmpISsqkQ4iH11oaH&#10;uLnxkkTE6yh2k/DvMSc4jmY08022nUwrBupdYxlhuYhAEJdWN1whvBSPlxsQzivWqrVMCN/kYJvP&#10;zjKVajvynoaDr0QoYZcqhNr7LpXSlTUZ5Ra2Iw7ep+2N8kH2ldS9GkO5aeVVFF1LoxoOC7Xq6L6m&#10;8utwMggfF9X7zk1Pr+NqveoenociedMF4vl8ursF4Wnyf2H4xQ/okAemoz2xdqJFSJI4fPEINyCC&#10;vYmTNYgjQryMQeaZ/M+f/wAAAP//AwBQSwECLQAUAAYACAAAACEAtoM4kv4AAADhAQAAEwAAAAAA&#10;AAAAAAAAAAAAAAAAW0NvbnRlbnRfVHlwZXNdLnhtbFBLAQItABQABgAIAAAAIQA4/SH/1gAAAJQB&#10;AAALAAAAAAAAAAAAAAAAAC8BAABfcmVscy8ucmVsc1BLAQItABQABgAIAAAAIQBSS+fZQQIAAHoE&#10;AAAOAAAAAAAAAAAAAAAAAC4CAABkcnMvZTJvRG9jLnhtbFBLAQItABQABgAIAAAAIQBJWmXV4AAA&#10;AAcBAAAPAAAAAAAAAAAAAAAAAJsEAABkcnMvZG93bnJldi54bWxQSwUGAAAAAAQABADzAAAAqAUA&#10;AAAA&#10;" fillcolor="white [3201]" stroked="f" strokeweight=".5pt">
                <v:textbox>
                  <w:txbxContent>
                    <w:p w14:paraId="135A7F8D" w14:textId="77777777" w:rsidR="00D45FA5" w:rsidRDefault="00D45FA5" w:rsidP="00F16BB8">
                      <w:r>
                        <w:t>D.</w:t>
                      </w:r>
                    </w:p>
                  </w:txbxContent>
                </v:textbox>
                <w10:wrap anchorx="margin"/>
              </v:shape>
            </w:pict>
          </mc:Fallback>
        </mc:AlternateContent>
      </w:r>
      <w:r w:rsidRPr="00CE1F01">
        <w:rPr>
          <w:rFonts w:ascii="Times New Roman" w:hAnsi="Times New Roman"/>
          <w:noProof/>
          <w:szCs w:val="24"/>
        </w:rPr>
        <mc:AlternateContent>
          <mc:Choice Requires="wps">
            <w:drawing>
              <wp:anchor distT="0" distB="0" distL="114300" distR="114300" simplePos="0" relativeHeight="251661312" behindDoc="0" locked="0" layoutInCell="1" allowOverlap="1" wp14:anchorId="202C442D" wp14:editId="5D402A05">
                <wp:simplePos x="0" y="0"/>
                <wp:positionH relativeFrom="margin">
                  <wp:posOffset>3467100</wp:posOffset>
                </wp:positionH>
                <wp:positionV relativeFrom="paragraph">
                  <wp:posOffset>5715</wp:posOffset>
                </wp:positionV>
                <wp:extent cx="390525" cy="257175"/>
                <wp:effectExtent l="0" t="0" r="9525" b="9525"/>
                <wp:wrapNone/>
                <wp:docPr id="17" name="Text Box 17"/>
                <wp:cNvGraphicFramePr/>
                <a:graphic xmlns:a="http://schemas.openxmlformats.org/drawingml/2006/main">
                  <a:graphicData uri="http://schemas.microsoft.com/office/word/2010/wordprocessingShape">
                    <wps:wsp>
                      <wps:cNvSpPr txBox="1"/>
                      <wps:spPr>
                        <a:xfrm>
                          <a:off x="0" y="0"/>
                          <a:ext cx="390525" cy="257175"/>
                        </a:xfrm>
                        <a:prstGeom prst="rect">
                          <a:avLst/>
                        </a:prstGeom>
                        <a:solidFill>
                          <a:schemeClr val="lt1"/>
                        </a:solidFill>
                        <a:ln w="6350">
                          <a:noFill/>
                        </a:ln>
                      </wps:spPr>
                      <wps:txbx>
                        <w:txbxContent>
                          <w:p w14:paraId="3E3EC543" w14:textId="77777777" w:rsidR="00D45FA5" w:rsidRDefault="00D45FA5" w:rsidP="00F16BB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C442D" id="Text Box 17" o:spid="_x0000_s1027" type="#_x0000_t202" style="position:absolute;margin-left:273pt;margin-top:.45pt;width:30.75pt;height:2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lRAIAAIEEAAAOAAAAZHJzL2Uyb0RvYy54bWysVFFv2jAQfp+0/2D5fSRQUtaIUDEqpklV&#10;WwmmPhvHIZYcn2cbEvbrd3YIZd2epr2Y892Xz3ff3TG/7xpFjsI6Cbqg41FKidAcSqn3Bf2+XX/6&#10;TInzTJdMgRYFPQlH7xcfP8xbk4sJ1KBKYQmSaJe3pqC19yZPEsdr0TA3AiM0BiuwDfN4tfuktKxF&#10;9kYlkzS9TVqwpbHAhXPofeiDdBH5q0pw/1xVTniiCoq5+XjaeO7CmSzmLN9bZmrJz2mwf8iiYVLj&#10;oxeqB+YZOVj5B1UjuQUHlR9xaBKoKslFrAGrGafvqtnUzIhYC4rjzEUm9/9o+dPxxRJZYu9mlGjW&#10;YI+2ovPkC3QEXahPa1yOsI1BoO/Qj9jB79AZyu4q24RfLIhgHJU+XdQNbBydN3dpNsko4RiaZLPx&#10;LAssydvHxjr/VUBDglFQi82LmrLjo/M9dICEtxwoWa6lUvESBkaslCVHhq1WPqaI5L+hlCZtQW9v&#10;sjQSawif98xKYy6h1L6kYPlu1/XSDOXuoDyhChb6OXKGryXm+sicf2EWBwcLx2Xwz3hUCvAtOFuU&#10;1GB//s0f8NhPjFLS4iAW1P04MCsoUd80dvpuPJ2GyY2XaTab4MVeR3bXEX1oVoACjHHtDI9mwHs1&#10;mJWF5hV3ZhlexRDTHN8uqB/Mle/XA3eOi+UygnBWDfOPemN4oA6Ch05su1dmzbldHvv8BMPIsvxd&#10;13ps+FLD8uChkrGlQede1bP8OOdxKM47GRbp+h5Rb/8ci18AAAD//wMAUEsDBBQABgAIAAAAIQAg&#10;nz1f3wAAAAcBAAAPAAAAZHJzL2Rvd25yZXYueG1sTI9PT4NAFMTvJn6HzTPxYuxSC1SRR2OMfxJv&#10;llbjbcs+gci+JewW8Nu7nvQ4mcnMb/LNbDox0uBaywjLRQSCuLK65RphVz5eXoNwXrFWnWVC+CYH&#10;m+L0JFeZthO/0rj1tQgl7DKF0HjfZ1K6qiGj3ML2xMH7tINRPsihlnpQUyg3nbyKolQa1XJYaFRP&#10;9w1VX9ujQfi4qN9f3Py0n1bJqn94Hsv1my4Rz8/mu1sQnmb/F4Zf/IAORWA62CNrJzqEJE7DF49w&#10;AyLYabROQBwQ4mUMssjlf/7iBwAA//8DAFBLAQItABQABgAIAAAAIQC2gziS/gAAAOEBAAATAAAA&#10;AAAAAAAAAAAAAAAAAABbQ29udGVudF9UeXBlc10ueG1sUEsBAi0AFAAGAAgAAAAhADj9If/WAAAA&#10;lAEAAAsAAAAAAAAAAAAAAAAALwEAAF9yZWxzLy5yZWxzUEsBAi0AFAAGAAgAAAAhAND9gGVEAgAA&#10;gQQAAA4AAAAAAAAAAAAAAAAALgIAAGRycy9lMm9Eb2MueG1sUEsBAi0AFAAGAAgAAAAhACCfPV/f&#10;AAAABwEAAA8AAAAAAAAAAAAAAAAAngQAAGRycy9kb3ducmV2LnhtbFBLBQYAAAAABAAEAPMAAACq&#10;BQAAAAA=&#10;" fillcolor="white [3201]" stroked="f" strokeweight=".5pt">
                <v:textbox>
                  <w:txbxContent>
                    <w:p w14:paraId="3E3EC543" w14:textId="77777777" w:rsidR="00D45FA5" w:rsidRDefault="00D45FA5" w:rsidP="00F16BB8">
                      <w:r>
                        <w:t>C.</w:t>
                      </w:r>
                    </w:p>
                  </w:txbxContent>
                </v:textbox>
                <w10:wrap anchorx="margin"/>
              </v:shape>
            </w:pict>
          </mc:Fallback>
        </mc:AlternateContent>
      </w:r>
      <w:r w:rsidRPr="00CE1F01">
        <w:rPr>
          <w:rFonts w:ascii="Times New Roman" w:hAnsi="Times New Roman"/>
          <w:noProof/>
          <w:szCs w:val="24"/>
        </w:rPr>
        <mc:AlternateContent>
          <mc:Choice Requires="wps">
            <w:drawing>
              <wp:anchor distT="0" distB="0" distL="114300" distR="114300" simplePos="0" relativeHeight="251660288" behindDoc="0" locked="0" layoutInCell="1" allowOverlap="1" wp14:anchorId="0198DA16" wp14:editId="5FF3306B">
                <wp:simplePos x="0" y="0"/>
                <wp:positionH relativeFrom="margin">
                  <wp:posOffset>2028825</wp:posOffset>
                </wp:positionH>
                <wp:positionV relativeFrom="paragraph">
                  <wp:posOffset>5715</wp:posOffset>
                </wp:positionV>
                <wp:extent cx="314325" cy="2571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314325" cy="257175"/>
                        </a:xfrm>
                        <a:prstGeom prst="rect">
                          <a:avLst/>
                        </a:prstGeom>
                        <a:solidFill>
                          <a:schemeClr val="lt1"/>
                        </a:solidFill>
                        <a:ln w="6350">
                          <a:noFill/>
                        </a:ln>
                      </wps:spPr>
                      <wps:txbx>
                        <w:txbxContent>
                          <w:p w14:paraId="07B47162" w14:textId="77777777" w:rsidR="00D45FA5" w:rsidRDefault="00D45FA5" w:rsidP="00F16BB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8DA16" id="Text Box 15" o:spid="_x0000_s1028" type="#_x0000_t202" style="position:absolute;margin-left:159.75pt;margin-top:.45pt;width:24.75pt;height:2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IARQIAAIEEAAAOAAAAZHJzL2Uyb0RvYy54bWysVE1v2zAMvQ/YfxB0X52kSdMZcYqsRYcB&#10;QVsgHXpWZDk2IIuapMTufv2e5KTtup2GXWSKpPjxHunFVd9qdlDON2QKPj4bcaaMpLIxu4J/f7z9&#10;dMmZD8KUQpNRBX9Wnl8tP35YdDZXE6pJl8oxBDE+72zB6xBsnmVe1qoV/oysMjBW5FoRcHW7rHSi&#10;Q/RWZ5PR6CLryJXWkVTeQ3szGPkyxa8qJcN9VXkVmC44agvpdOncxjNbLkS+c8LWjTyWIf6hilY0&#10;BklfQt2IINjeNX+EahvpyFMVziS1GVVVI1XqAd2MR++62dTCqtQLwPH2BSb//8LKu8ODY00J7mac&#10;GdGCo0fVB/aFegYV8Omsz+G2sXAMPfTwPek9lLHtvnJt/KIhBjuQfn5BN0aTUJ6Pp+cTJJEwTWbz&#10;8TxFz14fW+fDV0Uti0LBHchLmIrD2gcUAteTS8zlSTflbaN1usSBUdfasYMA1TqkEvHiNy9tWFfw&#10;i/PZKAU2FJ8PkbVBgtjq0FKUQr/tEzSTU7tbKp+BgqNhjryVtw1qXQsfHoTD4KBxLEO4x1FpQi46&#10;SpzV5H7+TR/9wSesnHUYxIL7H3vhFGf6mwHTn8fTaZzcdJnO5hNc3FvL9q3F7NtrAgBjrJ2VSYz+&#10;QZ/EylH7hJ1ZxawwCSORu+DhJF6HYT2wc1KtVskJs2pFWJuNlTF0BDwy8dg/CWePdAXwfEenkRX5&#10;O9YG3/jS0GofqGoSpRHnAdUj/JjzxPRxJ+Mivb0nr9c/x/IXAAAA//8DAFBLAwQUAAYACAAAACEA&#10;3XQ16t8AAAAHAQAADwAAAGRycy9kb3ducmV2LnhtbEyPS0+EQBCE7yb+h0mbeDHugOxDkGZjjI/E&#10;m8uq8TbLtEBkZggzC/jvbU96rFSl6qt8O5tOjDT41lmEeBGBIFs53doaYV8+XF6D8EFZrTpnCeGb&#10;PGyL05NcZdpN9oXGXagFl1ifKYQmhD6T0lcNGeUXrifL3qcbjAosh1rqQU1cbjp5FUVraVRreaFR&#10;Pd01VH3tjgbh46J+f/bz4+uUrJL+/mksN2+6RDw/m29vQASaw18YfvEZHQpmOrij1V50CEmcrjiK&#10;kIJgO1mnfO2AsIyXIItc/ucvfgAAAP//AwBQSwECLQAUAAYACAAAACEAtoM4kv4AAADhAQAAEwAA&#10;AAAAAAAAAAAAAAAAAAAAW0NvbnRlbnRfVHlwZXNdLnhtbFBLAQItABQABgAIAAAAIQA4/SH/1gAA&#10;AJQBAAALAAAAAAAAAAAAAAAAAC8BAABfcmVscy8ucmVsc1BLAQItABQABgAIAAAAIQAFhLIARQIA&#10;AIEEAAAOAAAAAAAAAAAAAAAAAC4CAABkcnMvZTJvRG9jLnhtbFBLAQItABQABgAIAAAAIQDddDXq&#10;3wAAAAcBAAAPAAAAAAAAAAAAAAAAAJ8EAABkcnMvZG93bnJldi54bWxQSwUGAAAAAAQABADzAAAA&#10;qwUAAAAA&#10;" fillcolor="white [3201]" stroked="f" strokeweight=".5pt">
                <v:textbox>
                  <w:txbxContent>
                    <w:p w14:paraId="07B47162" w14:textId="77777777" w:rsidR="00D45FA5" w:rsidRDefault="00D45FA5" w:rsidP="00F16BB8">
                      <w:r>
                        <w:t>B.</w:t>
                      </w:r>
                    </w:p>
                  </w:txbxContent>
                </v:textbox>
                <w10:wrap anchorx="margin"/>
              </v:shape>
            </w:pict>
          </mc:Fallback>
        </mc:AlternateContent>
      </w:r>
      <w:r w:rsidRPr="00CE1F01">
        <w:rPr>
          <w:rFonts w:ascii="Times New Roman" w:hAnsi="Times New Roman"/>
          <w:noProof/>
          <w:szCs w:val="24"/>
        </w:rPr>
        <mc:AlternateContent>
          <mc:Choice Requires="wps">
            <w:drawing>
              <wp:anchor distT="0" distB="0" distL="114300" distR="114300" simplePos="0" relativeHeight="251659264" behindDoc="0" locked="0" layoutInCell="1" allowOverlap="1" wp14:anchorId="0F955C15" wp14:editId="6FFA3D16">
                <wp:simplePos x="0" y="0"/>
                <wp:positionH relativeFrom="margin">
                  <wp:align>left</wp:align>
                </wp:positionH>
                <wp:positionV relativeFrom="paragraph">
                  <wp:posOffset>5080</wp:posOffset>
                </wp:positionV>
                <wp:extent cx="361950" cy="25717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361950" cy="257175"/>
                        </a:xfrm>
                        <a:prstGeom prst="rect">
                          <a:avLst/>
                        </a:prstGeom>
                        <a:solidFill>
                          <a:schemeClr val="lt1"/>
                        </a:solidFill>
                        <a:ln w="6350">
                          <a:noFill/>
                        </a:ln>
                      </wps:spPr>
                      <wps:txbx>
                        <w:txbxContent>
                          <w:p w14:paraId="15647CBF" w14:textId="77777777" w:rsidR="00D45FA5" w:rsidRDefault="00D45FA5" w:rsidP="00F16BB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55C15" id="Text Box 11" o:spid="_x0000_s1029" type="#_x0000_t202" style="position:absolute;margin-left:0;margin-top:.4pt;width:28.5pt;height:20.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26QwIAAIEEAAAOAAAAZHJzL2Uyb0RvYy54bWysVE1v2zAMvQ/YfxB0X5yPpl2NOkXWIsOA&#10;oi2QDD0rslwbkEVNUmJ3v35PctJm3U7DLgpFPlPke2SurvtWs71yviFT8MlozJkyksrGPBf8+2b1&#10;6TNnPghTCk1GFfxFeX69+PjhqrO5mlJNulSOIYnxeWcLXodg8yzzslat8COyyiBYkWtFwNU9Z6UT&#10;HbK3OpuOx+dZR660jqTyHt7bIcgXKX9VKRkeqsqrwHTBUVtIp0vnNp7Z4krkz07YupGHMsQ/VNGK&#10;xuDR11S3Igi2c80fqdpGOvJUhZGkNqOqaqRKPaCbyfhdN+taWJV6ATnevtLk/19aeb9/dKwpod2E&#10;MyNaaLRRfWBfqGdwgZ/O+hywtQUw9PADe/R7OGPbfeXa+IuGGOJg+uWV3ZhNwjk7n1zOEZEITecX&#10;k4t5zJK9fWydD18VtSwaBXcQL3Eq9nc+DNAjJL7lSTflqtE6XeLAqBvt2F5Aah1SiUj+G0ob1hX8&#10;fIYy4keG4udDZm1QS2x1aClaod/2iZrZsd0tlS9gwdEwR97KVYNa74QPj8JhcNAeliE84Kg04S06&#10;WJzV5H7+zR/x0BNRzjoMYsH9j51wijP9zUDpy8nZWZzcdDmbX0xxcaeR7WnE7NobAgEQE9UlM+KD&#10;PpqVo/YJO7OMryIkjMTbBQ9H8yYM64Gdk2q5TCDMqhXhzqytjKkjd1GJTf8knD3IFaDzPR1HVuTv&#10;VBuwA+vLXaCqSZJGngdWD/RjztNQHHYyLtLpPaHe/jkWvwAAAP//AwBQSwMEFAAGAAgAAAAhAAuv&#10;k3vbAAAAAwEAAA8AAABkcnMvZG93bnJldi54bWxMj0tPwzAQhO9I/Adrkbgg6pRQikI2FUI8pN5o&#10;eIibGy9JRLyOYjcJ/57lBMfRjGa+yTez69RIQ2g9IywXCSjiytuWa4SX8uH8GlSIhq3pPBPCNwXY&#10;FMdHucmsn/iZxl2slZRwyAxCE2OfaR2qhpwJC98Ti/fpB2eiyKHWdjCTlLtOXyTJlXamZVloTE93&#10;DVVfu4ND+Dir37dhfnyd0lXa3z+N5frNloinJ/PtDahIc/wLwy++oEMhTHt/YBtUhyBHIoLQi7da&#10;i9ojXC5T0EWu/7MXPwAAAP//AwBQSwECLQAUAAYACAAAACEAtoM4kv4AAADhAQAAEwAAAAAAAAAA&#10;AAAAAAAAAAAAW0NvbnRlbnRfVHlwZXNdLnhtbFBLAQItABQABgAIAAAAIQA4/SH/1gAAAJQBAAAL&#10;AAAAAAAAAAAAAAAAAC8BAABfcmVscy8ucmVsc1BLAQItABQABgAIAAAAIQDpkK26QwIAAIEEAAAO&#10;AAAAAAAAAAAAAAAAAC4CAABkcnMvZTJvRG9jLnhtbFBLAQItABQABgAIAAAAIQALr5N72wAAAAMB&#10;AAAPAAAAAAAAAAAAAAAAAJ0EAABkcnMvZG93bnJldi54bWxQSwUGAAAAAAQABADzAAAApQUAAAAA&#10;" fillcolor="white [3201]" stroked="f" strokeweight=".5pt">
                <v:textbox>
                  <w:txbxContent>
                    <w:p w14:paraId="15647CBF" w14:textId="77777777" w:rsidR="00D45FA5" w:rsidRDefault="00D45FA5" w:rsidP="00F16BB8">
                      <w:r>
                        <w:t>A.</w:t>
                      </w:r>
                    </w:p>
                  </w:txbxContent>
                </v:textbox>
                <w10:wrap anchorx="margin"/>
              </v:shape>
            </w:pict>
          </mc:Fallback>
        </mc:AlternateContent>
      </w:r>
    </w:p>
    <w:p w14:paraId="419E36A3" w14:textId="77777777" w:rsidR="00F16BB8" w:rsidRPr="00CE1F01" w:rsidRDefault="00F16BB8" w:rsidP="00CE1F01">
      <w:pPr>
        <w:rPr>
          <w:rFonts w:ascii="Times New Roman" w:hAnsi="Times New Roman"/>
          <w:szCs w:val="24"/>
        </w:rPr>
      </w:pPr>
      <w:r w:rsidRPr="00CE1F01">
        <w:rPr>
          <w:rFonts w:ascii="Times New Roman" w:hAnsi="Times New Roman"/>
          <w:noProof/>
          <w:szCs w:val="24"/>
        </w:rPr>
        <w:drawing>
          <wp:inline distT="0" distB="0" distL="0" distR="0" wp14:anchorId="6E065C51" wp14:editId="05107BDA">
            <wp:extent cx="6400800" cy="381436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0" cy="3814362"/>
                    </a:xfrm>
                    <a:prstGeom prst="rect">
                      <a:avLst/>
                    </a:prstGeom>
                    <a:noFill/>
                  </pic:spPr>
                </pic:pic>
              </a:graphicData>
            </a:graphic>
          </wp:inline>
        </w:drawing>
      </w:r>
    </w:p>
    <w:p w14:paraId="523DB9FE" w14:textId="77777777" w:rsidR="00F16BB8" w:rsidRPr="00CE1F01" w:rsidRDefault="00F16BB8" w:rsidP="00CE1F01">
      <w:pPr>
        <w:rPr>
          <w:rFonts w:ascii="Times New Roman" w:hAnsi="Times New Roman"/>
          <w:szCs w:val="24"/>
        </w:rPr>
      </w:pPr>
    </w:p>
    <w:p w14:paraId="24C047A9" w14:textId="7327F78D" w:rsidR="00F16BB8" w:rsidRPr="00CE1F01" w:rsidRDefault="00F16BB8" w:rsidP="00CE1F01">
      <w:pPr>
        <w:rPr>
          <w:rFonts w:ascii="Times New Roman" w:hAnsi="Times New Roman"/>
          <w:strike/>
          <w:szCs w:val="24"/>
        </w:rPr>
      </w:pPr>
      <w:r w:rsidRPr="00CE1F01">
        <w:rPr>
          <w:rFonts w:ascii="Times New Roman" w:hAnsi="Times New Roman"/>
          <w:szCs w:val="24"/>
        </w:rPr>
        <w:t xml:space="preserve">Figure 2. </w:t>
      </w:r>
      <w:r w:rsidR="00D45FA5" w:rsidRPr="00CE1F01">
        <w:rPr>
          <w:rFonts w:ascii="Times New Roman" w:hAnsi="Times New Roman"/>
          <w:szCs w:val="24"/>
        </w:rPr>
        <w:t xml:space="preserve">Soybean/Corn rotation </w:t>
      </w:r>
      <w:r w:rsidRPr="00CE1F01">
        <w:rPr>
          <w:rFonts w:ascii="Times New Roman" w:hAnsi="Times New Roman"/>
          <w:szCs w:val="24"/>
        </w:rPr>
        <w:t>percent ground cover by species (A, B, C) and biomass at termination (D).  Green bars are significantly higher than the no-cover control.</w:t>
      </w:r>
    </w:p>
    <w:p w14:paraId="7F89DB62" w14:textId="77777777" w:rsidR="00F16BB8" w:rsidRPr="00CE1F01" w:rsidRDefault="00F16BB8" w:rsidP="00CE1F01">
      <w:pPr>
        <w:rPr>
          <w:rFonts w:ascii="Times New Roman" w:hAnsi="Times New Roman"/>
          <w:szCs w:val="24"/>
        </w:rPr>
      </w:pPr>
      <w:r w:rsidRPr="00CE1F01">
        <w:rPr>
          <w:rFonts w:ascii="Times New Roman" w:hAnsi="Times New Roman"/>
          <w:noProof/>
          <w:szCs w:val="24"/>
        </w:rPr>
        <mc:AlternateContent>
          <mc:Choice Requires="wps">
            <w:drawing>
              <wp:anchor distT="0" distB="0" distL="114300" distR="114300" simplePos="0" relativeHeight="251667456" behindDoc="0" locked="0" layoutInCell="1" allowOverlap="1" wp14:anchorId="11803695" wp14:editId="7EBAA082">
                <wp:simplePos x="0" y="0"/>
                <wp:positionH relativeFrom="margin">
                  <wp:posOffset>4900295</wp:posOffset>
                </wp:positionH>
                <wp:positionV relativeFrom="paragraph">
                  <wp:posOffset>5080</wp:posOffset>
                </wp:positionV>
                <wp:extent cx="361950" cy="257175"/>
                <wp:effectExtent l="0" t="0" r="0" b="9525"/>
                <wp:wrapNone/>
                <wp:docPr id="26" name="Text Box 26"/>
                <wp:cNvGraphicFramePr/>
                <a:graphic xmlns:a="http://schemas.openxmlformats.org/drawingml/2006/main">
                  <a:graphicData uri="http://schemas.microsoft.com/office/word/2010/wordprocessingShape">
                    <wps:wsp>
                      <wps:cNvSpPr txBox="1"/>
                      <wps:spPr>
                        <a:xfrm>
                          <a:off x="0" y="0"/>
                          <a:ext cx="361950" cy="257175"/>
                        </a:xfrm>
                        <a:prstGeom prst="rect">
                          <a:avLst/>
                        </a:prstGeom>
                        <a:solidFill>
                          <a:schemeClr val="lt1"/>
                        </a:solidFill>
                        <a:ln w="6350">
                          <a:noFill/>
                        </a:ln>
                      </wps:spPr>
                      <wps:txbx>
                        <w:txbxContent>
                          <w:p w14:paraId="2101D58F" w14:textId="77777777" w:rsidR="00D45FA5" w:rsidRDefault="00D45FA5" w:rsidP="00F16BB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03695" id="Text Box 26" o:spid="_x0000_s1030" type="#_x0000_t202" style="position:absolute;margin-left:385.85pt;margin-top:.4pt;width:28.5pt;height:20.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ZGRAIAAIEEAAAOAAAAZHJzL2Uyb0RvYy54bWysVE1vGjEQvVfqf7B8bxYIHw1iiShRqkoo&#10;iRSqnI3XCyt5Pa5t2KW/vs9eIGnaU9WLGc/MPs+8N8Pstq01OyjnKzI571/1OFNGUlGZbc6/r+8/&#10;febMB2EKocmonB+V57fzjx9mjZ2qAe1IF8oxgBg/bWzOdyHYaZZ5uVO18FdklUGwJFeLgKvbZoUT&#10;DdBrnQ16vXHWkCusI6m8h/euC/J5wi9LJcNjWXoVmM45agvpdOncxDObz8R064TdVfJUhviHKmpR&#10;GTx6gboTQbC9q/6AqivpyFMZriTVGZVlJVXqAd30e++6ed4Jq1IvIMfbC03+/8HKh8OTY1WR88GY&#10;MyNqaLRWbWBfqGVwgZ/G+inSni0SQws/dD77PZyx7bZ0dfxFQwxxMH28sBvRJJzX4/7NCBGJ0GA0&#10;6U9GESV7/dg6H74qqlk0cu4gXuJUHFY+dKnnlPiWJ10V95XW6RIHRi21YwcBqXVIJQL8tyxtWJPz&#10;8TXKiB8Zip93yNqglthq11K0QrtpEzXDc7sbKo5gwVE3R97K+wq1roQPT8JhcNAeliE84ig14S06&#10;WZztyP38mz/mQ09EOWswiDn3P/bCKc70NwOlb/rDYZzcdBmOJgNc3NvI5m3E7OslgYA+1s7KZMb8&#10;oM9m6ah+wc4s4qsICSPxds7D2VyGbj2wc1ItFikJs2pFWJlnKyN05C4qsW5fhLMnuQJ0fqDzyIrp&#10;O9W63I71xT5QWSVJI88dqyf6MedpKE47GRfp7T1lvf5zzH8BAAD//wMAUEsDBBQABgAIAAAAIQBp&#10;QZce3gAAAAcBAAAPAAAAZHJzL2Rvd25yZXYueG1sTI9PT4QwFMTvJn6H5pl4MW5hUSHIY2OMfxJv&#10;Lrsab11agUhfCe0CfnufJz1OZjLzm2Kz2F5MZvSdI4R4FYEwVDvdUYOwqx4vMxA+KNKqd2QQvo2H&#10;TXl6Uqhcu5lezbQNjeAS8rlCaEMYcil93Rqr/MoNhtj7dKNVgeXYSD2qmcttL9dRdCOt6ogXWjWY&#10;+9bUX9ujRfi4aN5f/PK0n5PrZHh4nqr0TVeI52fL3S2IYJbwF4ZffEaHkpkO7kjaix4hTeOUowh8&#10;gO1snbE8IFzFCciykP/5yx8AAAD//wMAUEsBAi0AFAAGAAgAAAAhALaDOJL+AAAA4QEAABMAAAAA&#10;AAAAAAAAAAAAAAAAAFtDb250ZW50X1R5cGVzXS54bWxQSwECLQAUAAYACAAAACEAOP0h/9YAAACU&#10;AQAACwAAAAAAAAAAAAAAAAAvAQAAX3JlbHMvLnJlbHNQSwECLQAUAAYACAAAACEAwkw2RkQCAACB&#10;BAAADgAAAAAAAAAAAAAAAAAuAgAAZHJzL2Uyb0RvYy54bWxQSwECLQAUAAYACAAAACEAaUGXHt4A&#10;AAAHAQAADwAAAAAAAAAAAAAAAACeBAAAZHJzL2Rvd25yZXYueG1sUEsFBgAAAAAEAAQA8wAAAKkF&#10;AAAAAA==&#10;" fillcolor="white [3201]" stroked="f" strokeweight=".5pt">
                <v:textbox>
                  <w:txbxContent>
                    <w:p w14:paraId="2101D58F" w14:textId="77777777" w:rsidR="00D45FA5" w:rsidRDefault="00D45FA5" w:rsidP="00F16BB8">
                      <w:r>
                        <w:t>D.</w:t>
                      </w:r>
                    </w:p>
                  </w:txbxContent>
                </v:textbox>
                <w10:wrap anchorx="margin"/>
              </v:shape>
            </w:pict>
          </mc:Fallback>
        </mc:AlternateContent>
      </w:r>
      <w:r w:rsidRPr="00CE1F01">
        <w:rPr>
          <w:rFonts w:ascii="Times New Roman" w:hAnsi="Times New Roman"/>
          <w:noProof/>
          <w:szCs w:val="24"/>
        </w:rPr>
        <mc:AlternateContent>
          <mc:Choice Requires="wps">
            <w:drawing>
              <wp:anchor distT="0" distB="0" distL="114300" distR="114300" simplePos="0" relativeHeight="251666432" behindDoc="0" locked="0" layoutInCell="1" allowOverlap="1" wp14:anchorId="58AC85C6" wp14:editId="6D94E228">
                <wp:simplePos x="0" y="0"/>
                <wp:positionH relativeFrom="margin">
                  <wp:posOffset>3486150</wp:posOffset>
                </wp:positionH>
                <wp:positionV relativeFrom="paragraph">
                  <wp:posOffset>5080</wp:posOffset>
                </wp:positionV>
                <wp:extent cx="361950" cy="25717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361950" cy="257175"/>
                        </a:xfrm>
                        <a:prstGeom prst="rect">
                          <a:avLst/>
                        </a:prstGeom>
                        <a:solidFill>
                          <a:schemeClr val="lt1"/>
                        </a:solidFill>
                        <a:ln w="6350">
                          <a:noFill/>
                        </a:ln>
                      </wps:spPr>
                      <wps:txbx>
                        <w:txbxContent>
                          <w:p w14:paraId="38147605" w14:textId="77777777" w:rsidR="00D45FA5" w:rsidRDefault="00D45FA5" w:rsidP="00F16BB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C85C6" id="Text Box 25" o:spid="_x0000_s1031" type="#_x0000_t202" style="position:absolute;margin-left:274.5pt;margin-top:.4pt;width:28.5pt;height:20.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lxZQwIAAIEEAAAOAAAAZHJzL2Uyb0RvYy54bWysVE1vGjEQvVfqf7B8bxYIkAaxRJQoVaUo&#10;iQRVzsbrhZW8Htc27NJf32cvEJr2VPXiHc+M5+O9mZ3etbVme+V8RSbn/aseZ8pIKiqzyfn31cOn&#10;z5z5IEwhNBmV84Py/G728cO0sRM1oC3pQjmGIMZPGpvzbQh2kmVeblUt/BVZZWAsydUi4Oo2WeFE&#10;g+i1zga93jhryBXWkVTeQ3vfGfksxS9LJcNzWXoVmM45agvpdOlcxzObTcVk44TdVvJYhviHKmpR&#10;GSQ9h7oXQbCdq/4IVVfSkacyXEmqMyrLSqrUA7rp9951s9wKq1IvAMfbM0z+/4WVT/sXx6oi54MR&#10;Z0bU4Gil2sC+UMugAj6N9RO4LS0cQws9eD7pPZSx7bZ0dfyiIQY7kD6c0Y3RJJTX4/7tCBYJ02B0&#10;079J0bO3x9b58FVRzaKQcwfyEqZi/+gDCoHrySXm8qSr4qHSOl3iwKiFdmwvQLUOqUS8+M1LG9bk&#10;fHyNMuIjQ/F5F1kbJIitdi1FKbTrNkFzhmFNxQEoOOrmyFv5UKHWR+HDi3AYHLSHZQjPOEpNyEVH&#10;ibMtuZ9/00d/8AkrZw0GMef+x044xZn+ZsD0bX84jJObLsPRzQAXd2lZX1rMrl4QAOhj7axMYvQP&#10;+iSWjupX7Mw8ZoVJGIncOQ8ncRG69cDOSTWfJyfMqhXh0SytjKEjdpGJVfsqnD3SFcDzE51GVkze&#10;sdb5dqjPd4HKKlEace5QPcKPOU9MH3cyLtLlPXm9/TlmvwAAAP//AwBQSwMEFAAGAAgAAAAhAFw2&#10;DdXeAAAABwEAAA8AAABkcnMvZG93bnJldi54bWxMj0FPg0AUhO8m/ofNa+LF2KXSYkWWxhi1iTeL&#10;1njbsq9AZN8Sdgv4732e9DiZycw32WayrRiw940jBYt5BAKpdKahSsFb8XS1BuGDJqNbR6jgGz1s&#10;8vOzTKfGjfSKwy5UgkvIp1pBHUKXSunLGq32c9chsXd0vdWBZV9J0+uRy20rr6MokVY3xAu17vCh&#10;xvJrd7IKPi+rjxc/Pb+P8SruHrdDcbM3hVIXs+n+DkTAKfyF4Ref0SFnpoM7kfGiVbBa3vKXoIAP&#10;sJ1ECcuDguUiBpln8j9//gMAAP//AwBQSwECLQAUAAYACAAAACEAtoM4kv4AAADhAQAAEwAAAAAA&#10;AAAAAAAAAAAAAAAAW0NvbnRlbnRfVHlwZXNdLnhtbFBLAQItABQABgAIAAAAIQA4/SH/1gAAAJQB&#10;AAALAAAAAAAAAAAAAAAAAC8BAABfcmVscy8ucmVsc1BLAQItABQABgAIAAAAIQA7jlxZQwIAAIEE&#10;AAAOAAAAAAAAAAAAAAAAAC4CAABkcnMvZTJvRG9jLnhtbFBLAQItABQABgAIAAAAIQBcNg3V3gAA&#10;AAcBAAAPAAAAAAAAAAAAAAAAAJ0EAABkcnMvZG93bnJldi54bWxQSwUGAAAAAAQABADzAAAAqAUA&#10;AAAA&#10;" fillcolor="white [3201]" stroked="f" strokeweight=".5pt">
                <v:textbox>
                  <w:txbxContent>
                    <w:p w14:paraId="38147605" w14:textId="77777777" w:rsidR="00D45FA5" w:rsidRDefault="00D45FA5" w:rsidP="00F16BB8">
                      <w:r>
                        <w:t>C.</w:t>
                      </w:r>
                    </w:p>
                  </w:txbxContent>
                </v:textbox>
                <w10:wrap anchorx="margin"/>
              </v:shape>
            </w:pict>
          </mc:Fallback>
        </mc:AlternateContent>
      </w:r>
      <w:r w:rsidRPr="00CE1F01">
        <w:rPr>
          <w:rFonts w:ascii="Times New Roman" w:hAnsi="Times New Roman"/>
          <w:noProof/>
          <w:szCs w:val="24"/>
        </w:rPr>
        <mc:AlternateContent>
          <mc:Choice Requires="wps">
            <w:drawing>
              <wp:anchor distT="0" distB="0" distL="114300" distR="114300" simplePos="0" relativeHeight="251665408" behindDoc="0" locked="0" layoutInCell="1" allowOverlap="1" wp14:anchorId="03B50196" wp14:editId="520A7E14">
                <wp:simplePos x="0" y="0"/>
                <wp:positionH relativeFrom="margin">
                  <wp:posOffset>2038350</wp:posOffset>
                </wp:positionH>
                <wp:positionV relativeFrom="paragraph">
                  <wp:posOffset>5080</wp:posOffset>
                </wp:positionV>
                <wp:extent cx="361950" cy="257175"/>
                <wp:effectExtent l="0" t="0" r="0" b="9525"/>
                <wp:wrapNone/>
                <wp:docPr id="24" name="Text Box 24"/>
                <wp:cNvGraphicFramePr/>
                <a:graphic xmlns:a="http://schemas.openxmlformats.org/drawingml/2006/main">
                  <a:graphicData uri="http://schemas.microsoft.com/office/word/2010/wordprocessingShape">
                    <wps:wsp>
                      <wps:cNvSpPr txBox="1"/>
                      <wps:spPr>
                        <a:xfrm>
                          <a:off x="0" y="0"/>
                          <a:ext cx="361950" cy="257175"/>
                        </a:xfrm>
                        <a:prstGeom prst="rect">
                          <a:avLst/>
                        </a:prstGeom>
                        <a:solidFill>
                          <a:schemeClr val="lt1"/>
                        </a:solidFill>
                        <a:ln w="6350">
                          <a:noFill/>
                        </a:ln>
                      </wps:spPr>
                      <wps:txbx>
                        <w:txbxContent>
                          <w:p w14:paraId="1EED315F" w14:textId="77777777" w:rsidR="00D45FA5" w:rsidRDefault="00D45FA5" w:rsidP="00F16BB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50196" id="Text Box 24" o:spid="_x0000_s1032" type="#_x0000_t202" style="position:absolute;margin-left:160.5pt;margin-top:.4pt;width:28.5pt;height:2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zENRAIAAIEEAAAOAAAAZHJzL2Uyb0RvYy54bWysVE1vGjEQvVfqf7B8bxYIHw1iiShRqkoo&#10;iRSqnI3XCyt5Pa5t2KW/vs9eIGnaU9WLGc/MPs+8N8Pstq01OyjnKzI571/1OFNGUlGZbc6/r+8/&#10;febMB2EKocmonB+V57fzjx9mjZ2qAe1IF8oxgBg/bWzOdyHYaZZ5uVO18FdklUGwJFeLgKvbZoUT&#10;DdBrnQ16vXHWkCusI6m8h/euC/J5wi9LJcNjWXoVmM45agvpdOncxDObz8R064TdVfJUhviHKmpR&#10;GTx6gboTQbC9q/6AqivpyFMZriTVGZVlJVXqAd30e++6ed4Jq1IvIMfbC03+/8HKh8OTY1WR88GQ&#10;MyNqaLRWbWBfqGVwgZ/G+inSni0SQws/dD77PZyx7bZ0dfxFQwxxMH28sBvRJJzX4/7NCBGJ0GA0&#10;6U9GESV7/dg6H74qqlk0cu4gXuJUHFY+dKnnlPiWJ10V95XW6RIHRi21YwcBqXVIJQL8tyxtWJPz&#10;8TXKiB8Zip93yNqglthq11K0QrtpEzXjc7sbKo5gwVE3R97K+wq1roQPT8JhcNAeliE84ig14S06&#10;WZztyP38mz/mQ09EOWswiDn3P/bCKc70NwOlb/rDYZzcdBmOJgNc3NvI5m3E7OslgYA+1s7KZMb8&#10;oM9m6ah+wc4s4qsICSPxds7D2VyGbj2wc1ItFikJs2pFWJlnKyN05C4qsW5fhLMnuQJ0fqDzyIrp&#10;O9W63I71xT5QWSVJI88dqyf6MedpKE47GRfp7T1lvf5zzH8BAAD//wMAUEsDBBQABgAIAAAAIQAS&#10;Z/E03gAAAAcBAAAPAAAAZHJzL2Rvd25yZXYueG1sTI/NTsMwEITvSLyDtUhcEHVSA61CNhVC/Ejc&#10;aFoQNzdekojYjmI3CW/PcoLjaEYz3+Sb2XZipCG03iGkiwQEucqb1tUIu/Lxcg0iRO2M7rwjhG8K&#10;sClOT3KdGT+5Vxq3sRZc4kKmEZoY+0zKUDVkdVj4nhx7n36wOrIcamkGPXG57eQySW6k1a3jhUb3&#10;dN9Q9bU9WoSPi/r9JcxP+0ldq/7heSxXb6ZEPD+b725BRJrjXxh+8RkdCmY6+KMzQXQIapnyl4jA&#10;B9hWqzXLA8JVqkAWufzPX/wAAAD//wMAUEsBAi0AFAAGAAgAAAAhALaDOJL+AAAA4QEAABMAAAAA&#10;AAAAAAAAAAAAAAAAAFtDb250ZW50X1R5cGVzXS54bWxQSwECLQAUAAYACAAAACEAOP0h/9YAAACU&#10;AQAACwAAAAAAAAAAAAAAAAAvAQAAX3JlbHMvLnJlbHNQSwECLQAUAAYACAAAACEARnMxDUQCAACB&#10;BAAADgAAAAAAAAAAAAAAAAAuAgAAZHJzL2Uyb0RvYy54bWxQSwECLQAUAAYACAAAACEAEmfxNN4A&#10;AAAHAQAADwAAAAAAAAAAAAAAAACeBAAAZHJzL2Rvd25yZXYueG1sUEsFBgAAAAAEAAQA8wAAAKkF&#10;AAAAAA==&#10;" fillcolor="white [3201]" stroked="f" strokeweight=".5pt">
                <v:textbox>
                  <w:txbxContent>
                    <w:p w14:paraId="1EED315F" w14:textId="77777777" w:rsidR="00D45FA5" w:rsidRDefault="00D45FA5" w:rsidP="00F16BB8">
                      <w:r>
                        <w:t>B.</w:t>
                      </w:r>
                    </w:p>
                  </w:txbxContent>
                </v:textbox>
                <w10:wrap anchorx="margin"/>
              </v:shape>
            </w:pict>
          </mc:Fallback>
        </mc:AlternateContent>
      </w:r>
      <w:r w:rsidRPr="00CE1F01">
        <w:rPr>
          <w:rFonts w:ascii="Times New Roman" w:hAnsi="Times New Roman"/>
          <w:noProof/>
          <w:szCs w:val="24"/>
        </w:rPr>
        <mc:AlternateContent>
          <mc:Choice Requires="wps">
            <w:drawing>
              <wp:anchor distT="0" distB="0" distL="114300" distR="114300" simplePos="0" relativeHeight="251664384" behindDoc="0" locked="0" layoutInCell="1" allowOverlap="1" wp14:anchorId="7793B402" wp14:editId="786D9C65">
                <wp:simplePos x="0" y="0"/>
                <wp:positionH relativeFrom="margin">
                  <wp:posOffset>0</wp:posOffset>
                </wp:positionH>
                <wp:positionV relativeFrom="paragraph">
                  <wp:posOffset>0</wp:posOffset>
                </wp:positionV>
                <wp:extent cx="361950" cy="25717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361950" cy="257175"/>
                        </a:xfrm>
                        <a:prstGeom prst="rect">
                          <a:avLst/>
                        </a:prstGeom>
                        <a:solidFill>
                          <a:schemeClr val="lt1"/>
                        </a:solidFill>
                        <a:ln w="6350">
                          <a:noFill/>
                        </a:ln>
                      </wps:spPr>
                      <wps:txbx>
                        <w:txbxContent>
                          <w:p w14:paraId="6B957CC6" w14:textId="77777777" w:rsidR="00D45FA5" w:rsidRDefault="00D45FA5" w:rsidP="00F16BB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3B402" id="Text Box 27" o:spid="_x0000_s1033" type="#_x0000_t202" style="position:absolute;margin-left:0;margin-top:0;width:28.5pt;height:20.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sSQwIAAIEEAAAOAAAAZHJzL2Uyb0RvYy54bWysVMFu2zAMvQ/YPwi6L47TpFmNOkWWosOA&#10;oi3QDD0rstwYkEVNUmJ3X78nOUm7bqdhF4Ui6SfyPTKXV32r2V4535ApeT4ac6aMpKoxzyX/vr75&#10;9JkzH4SphCajSv6iPL9afPxw2dlCTWhLulKOAcT4orMl34Zgiyzzcqta4UdklUGwJteKgKt7zion&#10;OqC3OpuMx+dZR66yjqTyHt7rIcgXCb+ulQz3de1VYLrkqC2k06VzE89scSmKZyfstpGHMsQ/VNGK&#10;xuDRE9S1CILtXPMHVNtIR57qMJLUZlTXjVSpB3STj99187gVVqVeQI63J5r8/4OVd/sHx5qq5JM5&#10;Z0a00Git+sC+UM/gAj+d9QXSHi0SQw8/dD76PZyx7b52bfxFQwxxMP1yYjeiSTjPzvOLGSISocls&#10;ns9nESV7/dg6H74qalk0Su4gXuJU7G99GFKPKfEtT7qpbhqt0yUOjFppx/YCUuuQSgT4b1nasK7k&#10;52coI35kKH4+IGuDWmKrQ0vRCv2mT9ScaNhQ9QIWHA1z5K28aVDrrfDhQTgMDtrDMoR7HLUmvEUH&#10;i7MtuZ9/88d86IkoZx0GseT+x044xZn+ZqD0RT6dxslNl+lsPsHFvY1s3kbMrl0RCMixdlYmM+YH&#10;fTRrR+0TdmYZX0VIGIm3Sx6O5ioM64Gdk2q5TEmYVSvCrXm0MkJH7qIS6/5JOHuQK0DnOzqOrCje&#10;qTbkDqwvd4HqJkkaeR5YPdCPOU9DcdjJuEhv7ynr9Z9j8QsAAP//AwBQSwMEFAAGAAgAAAAhAFs+&#10;bUnbAAAAAwEAAA8AAABkcnMvZG93bnJldi54bWxMj0tLxEAQhO+C/2FowYu4E13jSkxnEfEBe3Pj&#10;A2+zmTYJZnpCZjaJ/97Wi14Kimqqvs7Xs+vUSENoPSOcLRJQxJW3LdcIz+X96RWoEA1b03kmhC8K&#10;sC4OD3KTWT/xE43bWCsp4ZAZhCbGPtM6VA05Exa+J5bsww/ORLFDre1gJil3nT5PkkvtTMuy0Jie&#10;bhuqPrd7h/B+Ur9twvzwMi3TZX/3OJarV1siHh/NN9egIs3x7xh+8AUdCmHa+T3boDoEeST+qmTp&#10;StwO4SJJQRe5/s9efAMAAP//AwBQSwECLQAUAAYACAAAACEAtoM4kv4AAADhAQAAEwAAAAAAAAAA&#10;AAAAAAAAAAAAW0NvbnRlbnRfVHlwZXNdLnhtbFBLAQItABQABgAIAAAAIQA4/SH/1gAAAJQBAAAL&#10;AAAAAAAAAAAAAAAAAC8BAABfcmVscy8ucmVsc1BLAQItABQABgAIAAAAIQC/sVsSQwIAAIEEAAAO&#10;AAAAAAAAAAAAAAAAAC4CAABkcnMvZTJvRG9jLnhtbFBLAQItABQABgAIAAAAIQBbPm1J2wAAAAMB&#10;AAAPAAAAAAAAAAAAAAAAAJ0EAABkcnMvZG93bnJldi54bWxQSwUGAAAAAAQABADzAAAApQUAAAAA&#10;" fillcolor="white [3201]" stroked="f" strokeweight=".5pt">
                <v:textbox>
                  <w:txbxContent>
                    <w:p w14:paraId="6B957CC6" w14:textId="77777777" w:rsidR="00D45FA5" w:rsidRDefault="00D45FA5" w:rsidP="00F16BB8">
                      <w:r>
                        <w:t>A.</w:t>
                      </w:r>
                    </w:p>
                  </w:txbxContent>
                </v:textbox>
                <w10:wrap anchorx="margin"/>
              </v:shape>
            </w:pict>
          </mc:Fallback>
        </mc:AlternateContent>
      </w:r>
      <w:r w:rsidRPr="00CE1F01">
        <w:rPr>
          <w:rFonts w:ascii="Times New Roman" w:hAnsi="Times New Roman"/>
          <w:szCs w:val="24"/>
        </w:rPr>
        <w:t xml:space="preserve"> </w:t>
      </w:r>
    </w:p>
    <w:p w14:paraId="66B23942" w14:textId="77777777" w:rsidR="00F16BB8" w:rsidRPr="00CE1F01" w:rsidRDefault="00F16BB8" w:rsidP="00CE1F01">
      <w:pPr>
        <w:rPr>
          <w:rFonts w:ascii="Times New Roman" w:hAnsi="Times New Roman"/>
          <w:szCs w:val="24"/>
        </w:rPr>
      </w:pPr>
      <w:r w:rsidRPr="00CE1F01">
        <w:rPr>
          <w:rFonts w:ascii="Times New Roman" w:hAnsi="Times New Roman"/>
          <w:noProof/>
          <w:szCs w:val="24"/>
        </w:rPr>
        <w:drawing>
          <wp:inline distT="0" distB="0" distL="0" distR="0" wp14:anchorId="2015CFA5" wp14:editId="7FCBB7A4">
            <wp:extent cx="6400800" cy="3844011"/>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0" cy="3844011"/>
                    </a:xfrm>
                    <a:prstGeom prst="rect">
                      <a:avLst/>
                    </a:prstGeom>
                    <a:noFill/>
                  </pic:spPr>
                </pic:pic>
              </a:graphicData>
            </a:graphic>
          </wp:inline>
        </w:drawing>
      </w:r>
    </w:p>
    <w:p w14:paraId="5E4B8027" w14:textId="77777777" w:rsidR="00F16BB8" w:rsidRPr="00CE1F01" w:rsidRDefault="00F16BB8" w:rsidP="00CE1F01">
      <w:pPr>
        <w:rPr>
          <w:rFonts w:ascii="Times New Roman" w:hAnsi="Times New Roman"/>
          <w:szCs w:val="24"/>
        </w:rPr>
      </w:pPr>
    </w:p>
    <w:p w14:paraId="14822729" w14:textId="77777777" w:rsidR="00C867D1" w:rsidRPr="00CE1F01" w:rsidRDefault="00C867D1" w:rsidP="00CE1F01">
      <w:pPr>
        <w:rPr>
          <w:rFonts w:ascii="Times New Roman" w:hAnsi="Times New Roman"/>
          <w:i/>
          <w:szCs w:val="24"/>
        </w:rPr>
      </w:pPr>
      <w:r w:rsidRPr="00CE1F01">
        <w:rPr>
          <w:rFonts w:ascii="Times New Roman" w:hAnsi="Times New Roman"/>
          <w:i/>
          <w:szCs w:val="24"/>
        </w:rPr>
        <w:lastRenderedPageBreak/>
        <w:t>Dual-Use Economic Impacts</w:t>
      </w:r>
    </w:p>
    <w:p w14:paraId="45F82143" w14:textId="549B0BF1" w:rsidR="00D57E62" w:rsidRPr="00CE1F01" w:rsidRDefault="00D57E62" w:rsidP="00CE1F01">
      <w:pPr>
        <w:ind w:firstLine="720"/>
        <w:rPr>
          <w:rFonts w:ascii="Times New Roman" w:hAnsi="Times New Roman"/>
          <w:szCs w:val="24"/>
        </w:rPr>
      </w:pPr>
      <w:r w:rsidRPr="00CE1F01">
        <w:rPr>
          <w:rFonts w:ascii="Times New Roman" w:hAnsi="Times New Roman"/>
          <w:szCs w:val="24"/>
        </w:rPr>
        <w:t>Forage yield</w:t>
      </w:r>
      <w:r w:rsidR="00A63B1F" w:rsidRPr="00CE1F01">
        <w:rPr>
          <w:rFonts w:ascii="Times New Roman" w:hAnsi="Times New Roman"/>
          <w:szCs w:val="24"/>
        </w:rPr>
        <w:t xml:space="preserve">s for some species were </w:t>
      </w:r>
      <w:r w:rsidR="00CE1F01" w:rsidRPr="00CE1F01">
        <w:rPr>
          <w:rFonts w:ascii="Times New Roman" w:hAnsi="Times New Roman"/>
          <w:szCs w:val="24"/>
        </w:rPr>
        <w:t>adequate</w:t>
      </w:r>
      <w:r w:rsidR="00A63B1F" w:rsidRPr="00CE1F01">
        <w:rPr>
          <w:rFonts w:ascii="Times New Roman" w:hAnsi="Times New Roman"/>
          <w:szCs w:val="24"/>
        </w:rPr>
        <w:t>, resulting in greater than 1 DM ton/ac</w:t>
      </w:r>
      <w:r w:rsidR="00CE1F01" w:rsidRPr="00CE1F01">
        <w:rPr>
          <w:rFonts w:ascii="Times New Roman" w:hAnsi="Times New Roman"/>
          <w:szCs w:val="24"/>
        </w:rPr>
        <w:t xml:space="preserve">, in the corn/soybean rotation, </w:t>
      </w:r>
      <w:r w:rsidR="00A63B1F" w:rsidRPr="00CE1F01">
        <w:rPr>
          <w:rFonts w:ascii="Times New Roman" w:hAnsi="Times New Roman"/>
          <w:szCs w:val="24"/>
        </w:rPr>
        <w:t>but no significant differences among species</w:t>
      </w:r>
      <w:r w:rsidRPr="00CE1F01">
        <w:rPr>
          <w:rFonts w:ascii="Times New Roman" w:hAnsi="Times New Roman"/>
          <w:szCs w:val="24"/>
        </w:rPr>
        <w:t xml:space="preserve"> </w:t>
      </w:r>
      <w:r w:rsidR="00087415" w:rsidRPr="00CE1F01">
        <w:rPr>
          <w:rFonts w:ascii="Times New Roman" w:hAnsi="Times New Roman"/>
          <w:szCs w:val="24"/>
        </w:rPr>
        <w:t xml:space="preserve">were observed </w:t>
      </w:r>
      <w:r w:rsidRPr="00CE1F01">
        <w:rPr>
          <w:rFonts w:ascii="Times New Roman" w:hAnsi="Times New Roman"/>
          <w:szCs w:val="24"/>
        </w:rPr>
        <w:t>within either crop rotation</w:t>
      </w:r>
      <w:r w:rsidR="00D45FA5" w:rsidRPr="00CE1F01">
        <w:rPr>
          <w:rFonts w:ascii="Times New Roman" w:hAnsi="Times New Roman"/>
          <w:szCs w:val="24"/>
        </w:rPr>
        <w:t xml:space="preserve"> (Figure 3)</w:t>
      </w:r>
      <w:r w:rsidRPr="00CE1F01">
        <w:rPr>
          <w:rFonts w:ascii="Times New Roman" w:hAnsi="Times New Roman"/>
          <w:szCs w:val="24"/>
        </w:rPr>
        <w:t xml:space="preserve">.  </w:t>
      </w:r>
      <w:r w:rsidR="00087415" w:rsidRPr="00CE1F01">
        <w:rPr>
          <w:rFonts w:ascii="Times New Roman" w:hAnsi="Times New Roman"/>
          <w:szCs w:val="24"/>
        </w:rPr>
        <w:t>Because significant differences were observed in biomass at termination estimated using 1 ft</w:t>
      </w:r>
      <w:r w:rsidR="00087415" w:rsidRPr="00CE1F01">
        <w:rPr>
          <w:rFonts w:ascii="Times New Roman" w:hAnsi="Times New Roman"/>
          <w:szCs w:val="24"/>
          <w:vertAlign w:val="superscript"/>
        </w:rPr>
        <w:t>2</w:t>
      </w:r>
      <w:r w:rsidR="00087415" w:rsidRPr="00CE1F01">
        <w:rPr>
          <w:rFonts w:ascii="Times New Roman" w:hAnsi="Times New Roman"/>
          <w:szCs w:val="24"/>
        </w:rPr>
        <w:t xml:space="preserve"> samples, along with similar yield estimates (Figures 1 and 2), it is likely that the forage harvest methods introduced significant error variation into the forage yield estimates resulting in the lack of significant differences. </w:t>
      </w:r>
      <w:r w:rsidR="00CE1F01" w:rsidRPr="00CE1F01">
        <w:rPr>
          <w:rFonts w:ascii="Times New Roman" w:hAnsi="Times New Roman"/>
          <w:szCs w:val="24"/>
        </w:rPr>
        <w:t xml:space="preserve">All cover crop species provided adequate forage nutritive values. </w:t>
      </w:r>
      <w:r w:rsidRPr="00CE1F01">
        <w:rPr>
          <w:rFonts w:ascii="Times New Roman" w:hAnsi="Times New Roman"/>
          <w:szCs w:val="24"/>
        </w:rPr>
        <w:t xml:space="preserve">Forage nutritive value traits, such as crude protein (CP), digested neutral detergent fiber at 48 hours (dNDF48), total digestible nutrients (TDN), and calcium (Ca) showed differences in species in both of the crop rotations (Table </w:t>
      </w:r>
      <w:r w:rsidR="00D45FA5" w:rsidRPr="00CE1F01">
        <w:rPr>
          <w:rFonts w:ascii="Times New Roman" w:hAnsi="Times New Roman"/>
          <w:szCs w:val="24"/>
        </w:rPr>
        <w:t>2</w:t>
      </w:r>
      <w:r w:rsidRPr="00CE1F01">
        <w:rPr>
          <w:rFonts w:ascii="Times New Roman" w:hAnsi="Times New Roman"/>
          <w:szCs w:val="24"/>
        </w:rPr>
        <w:t xml:space="preserve">, </w:t>
      </w:r>
      <w:r w:rsidR="00D45FA5" w:rsidRPr="00CE1F01">
        <w:rPr>
          <w:rFonts w:ascii="Times New Roman" w:hAnsi="Times New Roman"/>
          <w:szCs w:val="24"/>
        </w:rPr>
        <w:t>3</w:t>
      </w:r>
      <w:r w:rsidRPr="00CE1F01">
        <w:rPr>
          <w:rFonts w:ascii="Times New Roman" w:hAnsi="Times New Roman"/>
          <w:szCs w:val="24"/>
        </w:rPr>
        <w:t xml:space="preserve">).  Acid detergent fiber (ADF), neutral detergent fiber (NDF), phosphorus (P), potassium (K), magnesium (Mg), and nitrogen (N) had significant differences by species in the CS rotation only (Table </w:t>
      </w:r>
      <w:r w:rsidR="00D45FA5" w:rsidRPr="00CE1F01">
        <w:rPr>
          <w:rFonts w:ascii="Times New Roman" w:hAnsi="Times New Roman"/>
          <w:szCs w:val="24"/>
        </w:rPr>
        <w:t>3</w:t>
      </w:r>
      <w:r w:rsidRPr="00CE1F01">
        <w:rPr>
          <w:rFonts w:ascii="Times New Roman" w:hAnsi="Times New Roman"/>
          <w:szCs w:val="24"/>
        </w:rPr>
        <w:t xml:space="preserve">).  </w:t>
      </w:r>
    </w:p>
    <w:p w14:paraId="39AC05FC" w14:textId="77777777" w:rsidR="00D45FA5" w:rsidRPr="00CE1F01" w:rsidRDefault="00D45FA5" w:rsidP="00CE1F01">
      <w:pPr>
        <w:ind w:firstLine="720"/>
        <w:rPr>
          <w:rFonts w:ascii="Times New Roman" w:hAnsi="Times New Roman"/>
          <w:szCs w:val="24"/>
        </w:rPr>
      </w:pPr>
    </w:p>
    <w:p w14:paraId="4F69ED10" w14:textId="3F62D0EC" w:rsidR="00D45FA5" w:rsidRPr="00CE1F01" w:rsidRDefault="00D45FA5" w:rsidP="00CE1F01">
      <w:pPr>
        <w:rPr>
          <w:rFonts w:ascii="Times New Roman" w:hAnsi="Times New Roman"/>
          <w:szCs w:val="24"/>
        </w:rPr>
      </w:pPr>
      <w:r w:rsidRPr="00CE1F01">
        <w:rPr>
          <w:rFonts w:ascii="Times New Roman" w:hAnsi="Times New Roman"/>
          <w:szCs w:val="24"/>
        </w:rPr>
        <w:t xml:space="preserve">Figure 3. Forage yield by species for Corn/Soybean rotation (A) and Soybean/Corn rotation (B).  </w:t>
      </w:r>
      <w:r w:rsidRPr="00CE1F01">
        <w:rPr>
          <w:rFonts w:ascii="Times New Roman" w:hAnsi="Times New Roman"/>
          <w:noProof/>
          <w:snapToGrid/>
          <w:szCs w:val="24"/>
        </w:rPr>
        <mc:AlternateContent>
          <mc:Choice Requires="wps">
            <w:drawing>
              <wp:anchor distT="0" distB="0" distL="114300" distR="114300" simplePos="0" relativeHeight="251668480" behindDoc="0" locked="0" layoutInCell="1" allowOverlap="1" wp14:anchorId="2293A8D3" wp14:editId="6A8A73B4">
                <wp:simplePos x="0" y="0"/>
                <wp:positionH relativeFrom="column">
                  <wp:posOffset>3174</wp:posOffset>
                </wp:positionH>
                <wp:positionV relativeFrom="paragraph">
                  <wp:posOffset>172085</wp:posOffset>
                </wp:positionV>
                <wp:extent cx="441325" cy="244475"/>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441325" cy="244475"/>
                        </a:xfrm>
                        <a:prstGeom prst="rect">
                          <a:avLst/>
                        </a:prstGeom>
                        <a:noFill/>
                        <a:ln w="6350">
                          <a:noFill/>
                        </a:ln>
                      </wps:spPr>
                      <wps:txbx>
                        <w:txbxContent>
                          <w:p w14:paraId="4FA75676" w14:textId="04F8791F" w:rsidR="00D45FA5" w:rsidRPr="00D45FA5" w:rsidRDefault="00D45FA5">
                            <w:pPr>
                              <w:rPr>
                                <w:rFonts w:ascii="Times New Roman" w:hAnsi="Times New Roman"/>
                                <w:szCs w:val="24"/>
                              </w:rPr>
                            </w:pPr>
                            <w:r w:rsidRPr="00D45FA5">
                              <w:rPr>
                                <w:rFonts w:ascii="Times New Roman" w:hAnsi="Times New Roman"/>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3A8D3" id="Text Box 7" o:spid="_x0000_s1034" type="#_x0000_t202" style="position:absolute;margin-left:.25pt;margin-top:13.55pt;width:34.75pt;height:1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zDLwIAAFcEAAAOAAAAZHJzL2Uyb0RvYy54bWysVFFv2jAQfp+0/2D5fQRoKC0iVKwV0yTU&#10;VoKpz8axSSTb59mGhP36nR1CUbenaS/mfHe58/d9d8wfWq3IUThfgynoaDCkRBgOZW32Bf2xXX25&#10;o8QHZkqmwIiCnoSnD4vPn+aNnYkxVKBK4QgWMX7W2IJWIdhZlnleCc38AKwwGJTgNAt4dfusdKzB&#10;6lpl4+HwNmvAldYBF96j96kL0kWqL6Xg4UVKLwJRBcW3hXS6dO7imS3mbLZ3zFY1Pz+D/cMrNKsN&#10;Nr2UemKBkYOr/yila+7AgwwDDjoDKWsuEgZEMxp+QLOpmBUJC5Lj7YUm///K8ufjqyN1WdApJYZp&#10;lGgr2kC+QkumkZ3G+hkmbSymhRbdqHLv9+iMoFvpdPxFOATjyPPpwm0sxtGZ56Ob8YQSjqFxnufT&#10;SaySvX9snQ/fBGgSjYI6lC4xyo5rH7rUPiX2MrCqlUryKUOagt7eTIbpg0sEiyuDPSKE7qnRCu2u&#10;TYDvehg7KE+IzkE3Hd7yVY1vWDMfXpnDcUBAOOLhBQ+pAHvB2aKkAvfrb/6YjyphlJIGx6ug/ueB&#10;OUGJ+m5Qv/tRnsd5TJd8Mh3jxV1HdtcRc9CPgBM8wmWyPJkxP6jelA70G27CMnbFEDMcexc09OZj&#10;6IYeN4mL5TIl4QRaFtZmY3ksHVmNDG/bN+bsWYaA+j1DP4hs9kGNLrfTY3kIIOskVeS5Y/VMP05v&#10;Evu8aXE9ru8p6/3/YPEbAAD//wMAUEsDBBQABgAIAAAAIQDayR/a3QAAAAUBAAAPAAAAZHJzL2Rv&#10;d25yZXYueG1sTI9BS8NAFITvgv9heYI3u2kgaYnZlBIoguihtRdvL9ltEtx9G7PbNvrrfZ70OMww&#10;8025mZ0VFzOFwZOC5SIBYaj1eqBOwfFt97AGESKSRuvJKPgyATbV7U2JhfZX2pvLIXaCSygUqKCP&#10;cSykDG1vHIaFHw2xd/KTw8hy6qSe8Mrlzso0SXLpcCBe6HE0dW/aj8PZKXiud6+4b1K3/rb108tp&#10;O34e3zOl7u/m7SOIaOb4F4ZffEaHipkafyYdhFWQcU5BulqCYHeV8LFGQZ7lIKtS/qevfgAAAP//&#10;AwBQSwECLQAUAAYACAAAACEAtoM4kv4AAADhAQAAEwAAAAAAAAAAAAAAAAAAAAAAW0NvbnRlbnRf&#10;VHlwZXNdLnhtbFBLAQItABQABgAIAAAAIQA4/SH/1gAAAJQBAAALAAAAAAAAAAAAAAAAAC8BAABf&#10;cmVscy8ucmVsc1BLAQItABQABgAIAAAAIQAOmUzDLwIAAFcEAAAOAAAAAAAAAAAAAAAAAC4CAABk&#10;cnMvZTJvRG9jLnhtbFBLAQItABQABgAIAAAAIQDayR/a3QAAAAUBAAAPAAAAAAAAAAAAAAAAAIkE&#10;AABkcnMvZG93bnJldi54bWxQSwUGAAAAAAQABADzAAAAkwUAAAAA&#10;" filled="f" stroked="f" strokeweight=".5pt">
                <v:textbox>
                  <w:txbxContent>
                    <w:p w14:paraId="4FA75676" w14:textId="04F8791F" w:rsidR="00D45FA5" w:rsidRPr="00D45FA5" w:rsidRDefault="00D45FA5">
                      <w:pPr>
                        <w:rPr>
                          <w:rFonts w:ascii="Times New Roman" w:hAnsi="Times New Roman"/>
                          <w:szCs w:val="24"/>
                        </w:rPr>
                      </w:pPr>
                      <w:r w:rsidRPr="00D45FA5">
                        <w:rPr>
                          <w:rFonts w:ascii="Times New Roman" w:hAnsi="Times New Roman"/>
                          <w:szCs w:val="24"/>
                        </w:rPr>
                        <w:t>A.</w:t>
                      </w:r>
                    </w:p>
                  </w:txbxContent>
                </v:textbox>
              </v:shape>
            </w:pict>
          </mc:Fallback>
        </mc:AlternateContent>
      </w:r>
    </w:p>
    <w:p w14:paraId="04B8FB97" w14:textId="3796BF2A" w:rsidR="00D45FA5" w:rsidRPr="00CE1F01" w:rsidRDefault="00D45FA5" w:rsidP="00CE1F01">
      <w:pPr>
        <w:rPr>
          <w:rFonts w:ascii="Times New Roman" w:hAnsi="Times New Roman"/>
          <w:strike/>
          <w:szCs w:val="24"/>
        </w:rPr>
      </w:pPr>
      <w:r w:rsidRPr="00CE1F01">
        <w:rPr>
          <w:rFonts w:ascii="Times New Roman" w:hAnsi="Times New Roman"/>
          <w:noProof/>
          <w:snapToGrid/>
          <w:szCs w:val="24"/>
        </w:rPr>
        <mc:AlternateContent>
          <mc:Choice Requires="wps">
            <w:drawing>
              <wp:anchor distT="0" distB="0" distL="114300" distR="114300" simplePos="0" relativeHeight="251670528" behindDoc="0" locked="0" layoutInCell="1" allowOverlap="1" wp14:anchorId="437020AC" wp14:editId="0B606EE2">
                <wp:simplePos x="0" y="0"/>
                <wp:positionH relativeFrom="column">
                  <wp:posOffset>3206750</wp:posOffset>
                </wp:positionH>
                <wp:positionV relativeFrom="paragraph">
                  <wp:posOffset>12700</wp:posOffset>
                </wp:positionV>
                <wp:extent cx="441325" cy="244475"/>
                <wp:effectExtent l="0" t="0" r="0" b="3175"/>
                <wp:wrapNone/>
                <wp:docPr id="8" name="Text Box 8"/>
                <wp:cNvGraphicFramePr/>
                <a:graphic xmlns:a="http://schemas.openxmlformats.org/drawingml/2006/main">
                  <a:graphicData uri="http://schemas.microsoft.com/office/word/2010/wordprocessingShape">
                    <wps:wsp>
                      <wps:cNvSpPr txBox="1"/>
                      <wps:spPr>
                        <a:xfrm>
                          <a:off x="0" y="0"/>
                          <a:ext cx="441325" cy="244475"/>
                        </a:xfrm>
                        <a:prstGeom prst="rect">
                          <a:avLst/>
                        </a:prstGeom>
                        <a:noFill/>
                        <a:ln w="6350">
                          <a:noFill/>
                        </a:ln>
                      </wps:spPr>
                      <wps:txbx>
                        <w:txbxContent>
                          <w:p w14:paraId="04D402E5" w14:textId="39609E93" w:rsidR="00D45FA5" w:rsidRPr="00D45FA5" w:rsidRDefault="00D45FA5" w:rsidP="00D45FA5">
                            <w:pPr>
                              <w:rPr>
                                <w:rFonts w:ascii="Times New Roman" w:hAnsi="Times New Roman"/>
                                <w:szCs w:val="24"/>
                              </w:rPr>
                            </w:pPr>
                            <w:r>
                              <w:rPr>
                                <w:rFonts w:ascii="Times New Roman" w:hAnsi="Times New Roman"/>
                                <w:szCs w:val="24"/>
                              </w:rPr>
                              <w:t>B</w:t>
                            </w:r>
                            <w:r w:rsidRPr="00D45FA5">
                              <w:rPr>
                                <w:rFonts w:ascii="Times New Roman" w:hAnsi="Times New Roman"/>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020AC" id="Text Box 8" o:spid="_x0000_s1035" type="#_x0000_t202" style="position:absolute;margin-left:252.5pt;margin-top:1pt;width:34.75pt;height:1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kXMAIAAFcEAAAOAAAAZHJzL2Uyb0RvYy54bWysVE1v2zAMvQ/YfxB0X5ykTj+MOEXWIsOA&#10;oi2QDD0rshQbkERNUmJnv36UHKdBt9Owi0KRNKn3Hpn5facVOQjnGzAlnYzGlAjDoWrMrqQ/Nqsv&#10;t5T4wEzFFBhR0qPw9H7x+dO8tYWYQg2qEo5gEeOL1pa0DsEWWeZ5LTTzI7DCYFCC0yzg1e2yyrEW&#10;q2uVTcfj66wFV1kHXHiP3sc+SBepvpSChxcpvQhElRTfFtLp0rmNZ7aYs2LnmK0bfnoG+4dXaNYY&#10;bHou9cgCI3vX/FFKN9yBBxlGHHQGUjZcJAyIZjL+gGZdMysSFiTH2zNN/v+V5c+HV0eaqqQolGEa&#10;JdqILpCv0JHbyE5rfYFJa4tpoUM3qjz4PToj6E46HX8RDsE48nw8cxuLcXTm+eRqOqOEY2ia5/nN&#10;LFbJ3j+2zodvAjSJRkkdSpcYZYcnH/rUISX2MrBqlEryKUPakl5fzcbpg3MEiyuDPSKE/qnRCt22&#10;S4DvBhhbqI6IzkE/Hd7yVYNveGI+vDKH44CAcMTDCx5SAfaCk0VJDe7X3/wxH1XCKCUtjldJ/c89&#10;c4IS9d2gfneTPI/zmC757GaKF3cZ2V5GzF4/AE7wBJfJ8mTG/KAGUzrQb7gJy9gVQ8xw7F3SMJgP&#10;oR963CQulsuUhBNoWXgya8tj6chqZHjTvTFnTzIE1O8ZhkFkxQc1+txej+U+gGySVJHnntUT/Ti9&#10;SezTpsX1uLynrPf/g8VvAAAA//8DAFBLAwQUAAYACAAAACEAk9ouRuAAAAAIAQAADwAAAGRycy9k&#10;b3ducmV2LnhtbEyPzU7DMBCE70i8g7VI3KjdqIYqxKmqSBUSgkNLL9yceJtE9U+I3Tbw9Cwnehqt&#10;ZjXzTbGanGVnHGMfvIL5TABD3wTT+1bB/mPzsAQWk/ZG2+BRwTdGWJW3N4XOTbj4LZ53qWUU4mOu&#10;FXQpDTnnsenQ6TgLA3ryDmF0OtE5ttyM+kLhzvJMiEfudO+podMDVh02x93JKXitNu96W2du+WOr&#10;l7fDevjaf0ql7u+m9TOwhFP6f4Y/fEKHkpjqcPImMqtACklbkoKMhHz5tJDAagULIYGXBb8eUP4C&#10;AAD//wMAUEsBAi0AFAAGAAgAAAAhALaDOJL+AAAA4QEAABMAAAAAAAAAAAAAAAAAAAAAAFtDb250&#10;ZW50X1R5cGVzXS54bWxQSwECLQAUAAYACAAAACEAOP0h/9YAAACUAQAACwAAAAAAAAAAAAAAAAAv&#10;AQAAX3JlbHMvLnJlbHNQSwECLQAUAAYACAAAACEAiOeJFzACAABXBAAADgAAAAAAAAAAAAAAAAAu&#10;AgAAZHJzL2Uyb0RvYy54bWxQSwECLQAUAAYACAAAACEAk9ouRuAAAAAIAQAADwAAAAAAAAAAAAAA&#10;AACKBAAAZHJzL2Rvd25yZXYueG1sUEsFBgAAAAAEAAQA8wAAAJcFAAAAAA==&#10;" filled="f" stroked="f" strokeweight=".5pt">
                <v:textbox>
                  <w:txbxContent>
                    <w:p w14:paraId="04D402E5" w14:textId="39609E93" w:rsidR="00D45FA5" w:rsidRPr="00D45FA5" w:rsidRDefault="00D45FA5" w:rsidP="00D45FA5">
                      <w:pPr>
                        <w:rPr>
                          <w:rFonts w:ascii="Times New Roman" w:hAnsi="Times New Roman"/>
                          <w:szCs w:val="24"/>
                        </w:rPr>
                      </w:pPr>
                      <w:r>
                        <w:rPr>
                          <w:rFonts w:ascii="Times New Roman" w:hAnsi="Times New Roman"/>
                          <w:szCs w:val="24"/>
                        </w:rPr>
                        <w:t>B</w:t>
                      </w:r>
                      <w:r w:rsidRPr="00D45FA5">
                        <w:rPr>
                          <w:rFonts w:ascii="Times New Roman" w:hAnsi="Times New Roman"/>
                          <w:szCs w:val="24"/>
                        </w:rPr>
                        <w:t>.</w:t>
                      </w:r>
                    </w:p>
                  </w:txbxContent>
                </v:textbox>
              </v:shape>
            </w:pict>
          </mc:Fallback>
        </mc:AlternateContent>
      </w:r>
      <w:r w:rsidRPr="00CE1F01">
        <w:rPr>
          <w:rFonts w:ascii="Times New Roman" w:hAnsi="Times New Roman"/>
          <w:strike/>
          <w:noProof/>
          <w:szCs w:val="24"/>
        </w:rPr>
        <w:drawing>
          <wp:inline distT="0" distB="0" distL="0" distR="0" wp14:anchorId="378FB6A3" wp14:editId="3B269EC7">
            <wp:extent cx="3200400" cy="213255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0400" cy="2132555"/>
                    </a:xfrm>
                    <a:prstGeom prst="rect">
                      <a:avLst/>
                    </a:prstGeom>
                    <a:noFill/>
                  </pic:spPr>
                </pic:pic>
              </a:graphicData>
            </a:graphic>
          </wp:inline>
        </w:drawing>
      </w:r>
      <w:r w:rsidRPr="00CE1F01">
        <w:rPr>
          <w:rFonts w:ascii="Times New Roman" w:hAnsi="Times New Roman"/>
          <w:strike/>
          <w:noProof/>
          <w:szCs w:val="24"/>
        </w:rPr>
        <w:drawing>
          <wp:inline distT="0" distB="0" distL="0" distR="0" wp14:anchorId="2626679C" wp14:editId="7AA6F9CD">
            <wp:extent cx="3200400" cy="21409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0400" cy="2140903"/>
                    </a:xfrm>
                    <a:prstGeom prst="rect">
                      <a:avLst/>
                    </a:prstGeom>
                    <a:noFill/>
                  </pic:spPr>
                </pic:pic>
              </a:graphicData>
            </a:graphic>
          </wp:inline>
        </w:drawing>
      </w:r>
    </w:p>
    <w:p w14:paraId="52834D49" w14:textId="77777777" w:rsidR="00D45FA5" w:rsidRPr="00CE1F01" w:rsidRDefault="00D45FA5" w:rsidP="00CE1F01">
      <w:pPr>
        <w:ind w:firstLine="720"/>
        <w:rPr>
          <w:rFonts w:ascii="Times New Roman" w:hAnsi="Times New Roman"/>
          <w:szCs w:val="24"/>
        </w:rPr>
      </w:pPr>
    </w:p>
    <w:p w14:paraId="5D885757" w14:textId="528B9BAA" w:rsidR="00D45FA5" w:rsidRPr="00CE1F01" w:rsidRDefault="00D45FA5" w:rsidP="00CE1F01">
      <w:pPr>
        <w:ind w:firstLine="720"/>
        <w:rPr>
          <w:rFonts w:ascii="Times New Roman" w:hAnsi="Times New Roman"/>
          <w:szCs w:val="24"/>
        </w:rPr>
      </w:pPr>
    </w:p>
    <w:p w14:paraId="50DFBAA6" w14:textId="49B1B74F" w:rsidR="00D45FA5" w:rsidRPr="00CE1F01" w:rsidRDefault="00D45FA5" w:rsidP="00CE1F01">
      <w:pPr>
        <w:rPr>
          <w:rFonts w:ascii="Times New Roman" w:hAnsi="Times New Roman"/>
          <w:szCs w:val="24"/>
        </w:rPr>
      </w:pPr>
      <w:r w:rsidRPr="00CE1F01">
        <w:rPr>
          <w:rFonts w:ascii="Times New Roman" w:hAnsi="Times New Roman"/>
          <w:szCs w:val="24"/>
        </w:rPr>
        <w:t xml:space="preserve">Table 3. Mean forage nutritive values that differed significantly by species within the soybean/corn rotation. Means followed by the same MS letter do not differ significantly at the 0.05 level of probability. </w:t>
      </w:r>
    </w:p>
    <w:p w14:paraId="5B20ECF2" w14:textId="7110DB96" w:rsidR="00D57E62" w:rsidRPr="00CE1F01" w:rsidRDefault="00D57E62" w:rsidP="00CE1F01">
      <w:pPr>
        <w:rPr>
          <w:rFonts w:ascii="Times New Roman" w:hAnsi="Times New Roman"/>
          <w:szCs w:val="24"/>
        </w:rPr>
      </w:pPr>
      <w:r w:rsidRPr="00CE1F01">
        <w:rPr>
          <w:rFonts w:ascii="Times New Roman" w:hAnsi="Times New Roman"/>
          <w:noProof/>
          <w:szCs w:val="24"/>
        </w:rPr>
        <w:drawing>
          <wp:inline distT="0" distB="0" distL="0" distR="0" wp14:anchorId="70F19C10" wp14:editId="4A1AEB02">
            <wp:extent cx="3976136" cy="3469005"/>
            <wp:effectExtent l="0" t="0" r="5715" b="0"/>
            <wp:docPr id="44" name="Picture 43">
              <a:extLst xmlns:a="http://schemas.openxmlformats.org/drawingml/2006/main">
                <a:ext uri="{FF2B5EF4-FFF2-40B4-BE49-F238E27FC236}">
                  <a16:creationId xmlns:a16="http://schemas.microsoft.com/office/drawing/2014/main" id="{7C040AD9-CF76-4FD8-9757-A09BEE91FD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a:extLst>
                        <a:ext uri="{FF2B5EF4-FFF2-40B4-BE49-F238E27FC236}">
                          <a16:creationId xmlns:a16="http://schemas.microsoft.com/office/drawing/2014/main" id="{7C040AD9-CF76-4FD8-9757-A09BEE91FD9D}"/>
                        </a:ext>
                      </a:extLst>
                    </pic:cNvPr>
                    <pic:cNvPicPr>
                      <a:picLocks noChangeAspect="1"/>
                    </pic:cNvPicPr>
                  </pic:nvPicPr>
                  <pic:blipFill rotWithShape="1">
                    <a:blip r:embed="rId15"/>
                    <a:srcRect t="5615"/>
                    <a:stretch/>
                  </pic:blipFill>
                  <pic:spPr bwMode="auto">
                    <a:xfrm>
                      <a:off x="0" y="0"/>
                      <a:ext cx="3976687" cy="3469485"/>
                    </a:xfrm>
                    <a:prstGeom prst="rect">
                      <a:avLst/>
                    </a:prstGeom>
                    <a:ln>
                      <a:noFill/>
                    </a:ln>
                    <a:extLst>
                      <a:ext uri="{53640926-AAD7-44D8-BBD7-CCE9431645EC}">
                        <a14:shadowObscured xmlns:a14="http://schemas.microsoft.com/office/drawing/2010/main"/>
                      </a:ext>
                    </a:extLst>
                  </pic:spPr>
                </pic:pic>
              </a:graphicData>
            </a:graphic>
          </wp:inline>
        </w:drawing>
      </w:r>
    </w:p>
    <w:p w14:paraId="2EC4F2EB" w14:textId="31922E69" w:rsidR="00D45FA5" w:rsidRPr="00CE1F01" w:rsidRDefault="00D45FA5" w:rsidP="00CE1F01">
      <w:pPr>
        <w:rPr>
          <w:rFonts w:ascii="Times New Roman" w:hAnsi="Times New Roman"/>
          <w:szCs w:val="24"/>
        </w:rPr>
      </w:pPr>
    </w:p>
    <w:p w14:paraId="500B41A5" w14:textId="63535B8A" w:rsidR="00D45FA5" w:rsidRPr="00CE1F01" w:rsidRDefault="00D45FA5" w:rsidP="00CE1F01">
      <w:pPr>
        <w:rPr>
          <w:rFonts w:ascii="Times New Roman" w:hAnsi="Times New Roman"/>
          <w:szCs w:val="24"/>
        </w:rPr>
      </w:pPr>
    </w:p>
    <w:p w14:paraId="0FEBA284" w14:textId="5DC64C36" w:rsidR="00D45FA5" w:rsidRPr="00CE1F01" w:rsidRDefault="00D45FA5" w:rsidP="00CE1F01">
      <w:pPr>
        <w:rPr>
          <w:rFonts w:ascii="Times New Roman" w:hAnsi="Times New Roman"/>
          <w:szCs w:val="24"/>
        </w:rPr>
      </w:pPr>
    </w:p>
    <w:p w14:paraId="1B669E8B" w14:textId="4ADCF5B0" w:rsidR="00D45FA5" w:rsidRPr="00CE1F01" w:rsidRDefault="00D45FA5" w:rsidP="00CE1F01">
      <w:pPr>
        <w:rPr>
          <w:rFonts w:ascii="Times New Roman" w:hAnsi="Times New Roman"/>
          <w:szCs w:val="24"/>
        </w:rPr>
      </w:pPr>
    </w:p>
    <w:p w14:paraId="19CA4DD0" w14:textId="0117D51F" w:rsidR="00D45FA5" w:rsidRPr="00CE1F01" w:rsidRDefault="00D45FA5" w:rsidP="00CE1F01">
      <w:pPr>
        <w:rPr>
          <w:rFonts w:ascii="Times New Roman" w:hAnsi="Times New Roman"/>
          <w:szCs w:val="24"/>
        </w:rPr>
      </w:pPr>
    </w:p>
    <w:p w14:paraId="0A57AE5A" w14:textId="6C5F7244" w:rsidR="00D45FA5" w:rsidRPr="00CE1F01" w:rsidRDefault="00D45FA5" w:rsidP="00CE1F01">
      <w:pPr>
        <w:rPr>
          <w:rFonts w:ascii="Times New Roman" w:hAnsi="Times New Roman"/>
          <w:szCs w:val="24"/>
        </w:rPr>
      </w:pPr>
      <w:r w:rsidRPr="00CE1F01">
        <w:rPr>
          <w:rFonts w:ascii="Times New Roman" w:hAnsi="Times New Roman"/>
          <w:szCs w:val="24"/>
        </w:rPr>
        <w:t xml:space="preserve">Table 4. Mean forage nutritive values that differed significantly by species within the corn/soybean rotation. Means followed by the same MS letter do not differ significantly at </w:t>
      </w:r>
      <w:r w:rsidR="00CE1F01" w:rsidRPr="00CE1F01">
        <w:rPr>
          <w:rFonts w:ascii="Times New Roman" w:hAnsi="Times New Roman"/>
          <w:szCs w:val="24"/>
        </w:rPr>
        <w:t>P&lt;</w:t>
      </w:r>
      <w:r w:rsidRPr="00CE1F01">
        <w:rPr>
          <w:rFonts w:ascii="Times New Roman" w:hAnsi="Times New Roman"/>
          <w:szCs w:val="24"/>
        </w:rPr>
        <w:t xml:space="preserve"> 0.05</w:t>
      </w:r>
      <w:r w:rsidR="00CE1F01" w:rsidRPr="00CE1F01">
        <w:rPr>
          <w:rFonts w:ascii="Times New Roman" w:hAnsi="Times New Roman"/>
          <w:szCs w:val="24"/>
        </w:rPr>
        <w:t>.</w:t>
      </w:r>
    </w:p>
    <w:p w14:paraId="192ED616" w14:textId="77777777" w:rsidR="00D57E62" w:rsidRPr="00CE1F01" w:rsidRDefault="00D57E62" w:rsidP="00CE1F01">
      <w:pPr>
        <w:rPr>
          <w:rFonts w:ascii="Times New Roman" w:hAnsi="Times New Roman"/>
          <w:szCs w:val="24"/>
        </w:rPr>
      </w:pPr>
      <w:r w:rsidRPr="00CE1F01">
        <w:rPr>
          <w:rFonts w:ascii="Times New Roman" w:hAnsi="Times New Roman"/>
          <w:noProof/>
          <w:szCs w:val="24"/>
        </w:rPr>
        <w:drawing>
          <wp:inline distT="0" distB="0" distL="0" distR="0" wp14:anchorId="28337173" wp14:editId="697DF165">
            <wp:extent cx="5943600" cy="2465705"/>
            <wp:effectExtent l="0" t="0" r="0" b="0"/>
            <wp:docPr id="52" name="Picture 51">
              <a:extLst xmlns:a="http://schemas.openxmlformats.org/drawingml/2006/main">
                <a:ext uri="{FF2B5EF4-FFF2-40B4-BE49-F238E27FC236}">
                  <a16:creationId xmlns:a16="http://schemas.microsoft.com/office/drawing/2014/main" id="{B82242BD-16A5-41C2-A2CD-395843F140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a:extLst>
                        <a:ext uri="{FF2B5EF4-FFF2-40B4-BE49-F238E27FC236}">
                          <a16:creationId xmlns:a16="http://schemas.microsoft.com/office/drawing/2014/main" id="{B82242BD-16A5-41C2-A2CD-395843F14091}"/>
                        </a:ext>
                      </a:extLst>
                    </pic:cNvPr>
                    <pic:cNvPicPr>
                      <a:picLocks noChangeAspect="1"/>
                    </pic:cNvPicPr>
                  </pic:nvPicPr>
                  <pic:blipFill rotWithShape="1">
                    <a:blip r:embed="rId16"/>
                    <a:srcRect t="5246"/>
                    <a:stretch/>
                  </pic:blipFill>
                  <pic:spPr bwMode="auto">
                    <a:xfrm>
                      <a:off x="0" y="0"/>
                      <a:ext cx="5943600" cy="2465705"/>
                    </a:xfrm>
                    <a:prstGeom prst="rect">
                      <a:avLst/>
                    </a:prstGeom>
                    <a:ln>
                      <a:noFill/>
                    </a:ln>
                    <a:extLst>
                      <a:ext uri="{53640926-AAD7-44D8-BBD7-CCE9431645EC}">
                        <a14:shadowObscured xmlns:a14="http://schemas.microsoft.com/office/drawing/2010/main"/>
                      </a:ext>
                    </a:extLst>
                  </pic:spPr>
                </pic:pic>
              </a:graphicData>
            </a:graphic>
          </wp:inline>
        </w:drawing>
      </w:r>
    </w:p>
    <w:p w14:paraId="34D7B920" w14:textId="48052479" w:rsidR="00D57E62" w:rsidRPr="00CE1F01" w:rsidRDefault="00D57E62" w:rsidP="00CE1F01">
      <w:pPr>
        <w:ind w:firstLine="720"/>
        <w:jc w:val="center"/>
        <w:rPr>
          <w:rFonts w:ascii="Times New Roman" w:hAnsi="Times New Roman"/>
          <w:szCs w:val="24"/>
        </w:rPr>
      </w:pPr>
    </w:p>
    <w:p w14:paraId="08551784" w14:textId="1954B3BB" w:rsidR="007D2D96" w:rsidRPr="00CE1F01" w:rsidRDefault="007D2D96" w:rsidP="00CE1F01">
      <w:pPr>
        <w:rPr>
          <w:rFonts w:ascii="Times New Roman" w:hAnsi="Times New Roman"/>
          <w:szCs w:val="24"/>
        </w:rPr>
      </w:pPr>
      <w:r w:rsidRPr="00CE1F01">
        <w:rPr>
          <w:rFonts w:ascii="Times New Roman" w:hAnsi="Times New Roman"/>
          <w:i/>
          <w:szCs w:val="24"/>
        </w:rPr>
        <w:t>Dual-Use Ecological Impacts</w:t>
      </w:r>
    </w:p>
    <w:p w14:paraId="0045B427" w14:textId="062DDC33" w:rsidR="006A7DCC" w:rsidRPr="00CE1F01" w:rsidRDefault="00087415" w:rsidP="00CE1F01">
      <w:pPr>
        <w:ind w:firstLine="720"/>
        <w:rPr>
          <w:rFonts w:ascii="Times New Roman" w:hAnsi="Times New Roman"/>
          <w:szCs w:val="24"/>
        </w:rPr>
      </w:pPr>
      <w:r w:rsidRPr="00CE1F01">
        <w:rPr>
          <w:rFonts w:ascii="Times New Roman" w:hAnsi="Times New Roman"/>
          <w:szCs w:val="24"/>
        </w:rPr>
        <w:t xml:space="preserve">Nitrogen from cover crop biomass differed significantly by species within the longer growing season provided by the CS rotation, but not within the shorter growing season provided by the SC rotation. </w:t>
      </w:r>
      <w:r w:rsidR="00AF14D0" w:rsidRPr="00CE1F01">
        <w:rPr>
          <w:rFonts w:ascii="Times New Roman" w:hAnsi="Times New Roman"/>
          <w:szCs w:val="24"/>
        </w:rPr>
        <w:t xml:space="preserve">Nitrogen content differed among groups (cereals, legumes, brassicas), but variation was not seen among species within these broader groups. Percent carbon did not differ among species within either rotation. Although species did contribute differing levels of nitrogen at termination, by two months after termination, no significant differences were observed in soil nutrients among species within either rotation or management system. Likewise, </w:t>
      </w:r>
      <w:r w:rsidR="006A7DCC" w:rsidRPr="00CE1F01">
        <w:rPr>
          <w:rFonts w:ascii="Times New Roman" w:hAnsi="Times New Roman"/>
          <w:szCs w:val="24"/>
        </w:rPr>
        <w:t>no differences were observed in cash crop yield or quality</w:t>
      </w:r>
      <w:r w:rsidR="00AF14D0" w:rsidRPr="00CE1F01">
        <w:rPr>
          <w:rFonts w:ascii="Times New Roman" w:hAnsi="Times New Roman"/>
          <w:szCs w:val="24"/>
        </w:rPr>
        <w:t xml:space="preserve"> at harvest</w:t>
      </w:r>
      <w:r w:rsidR="00A2375F" w:rsidRPr="00CE1F01">
        <w:rPr>
          <w:rFonts w:ascii="Times New Roman" w:hAnsi="Times New Roman"/>
          <w:szCs w:val="24"/>
        </w:rPr>
        <w:t>, or weed suppression at 21 days post planting</w:t>
      </w:r>
      <w:r w:rsidR="006A7DCC" w:rsidRPr="00CE1F01">
        <w:rPr>
          <w:rFonts w:ascii="Times New Roman" w:hAnsi="Times New Roman"/>
          <w:szCs w:val="24"/>
        </w:rPr>
        <w:t>.</w:t>
      </w:r>
      <w:r w:rsidR="00FE72AD" w:rsidRPr="00CE1F01">
        <w:rPr>
          <w:rFonts w:ascii="Times New Roman" w:hAnsi="Times New Roman"/>
          <w:szCs w:val="24"/>
        </w:rPr>
        <w:t xml:space="preserve"> Results for slug data will be presented in the final report for 19-26-R.</w:t>
      </w:r>
      <w:r w:rsidR="006A7DCC" w:rsidRPr="00CE1F01">
        <w:rPr>
          <w:rFonts w:ascii="Times New Roman" w:hAnsi="Times New Roman"/>
          <w:szCs w:val="24"/>
        </w:rPr>
        <w:t xml:space="preserve"> </w:t>
      </w:r>
    </w:p>
    <w:p w14:paraId="28654F78" w14:textId="77777777" w:rsidR="00AF14D0" w:rsidRPr="00CE1F01" w:rsidRDefault="00AF14D0" w:rsidP="00CE1F01">
      <w:pPr>
        <w:ind w:firstLine="720"/>
        <w:rPr>
          <w:rFonts w:ascii="Times New Roman" w:hAnsi="Times New Roman"/>
          <w:szCs w:val="24"/>
        </w:rPr>
      </w:pPr>
    </w:p>
    <w:p w14:paraId="711C8FDA" w14:textId="587016E4" w:rsidR="004B3655" w:rsidRPr="00CE1F01" w:rsidRDefault="00AF14D0" w:rsidP="00CE1F01">
      <w:pPr>
        <w:rPr>
          <w:rFonts w:ascii="Times New Roman" w:hAnsi="Times New Roman"/>
          <w:szCs w:val="24"/>
        </w:rPr>
      </w:pPr>
      <w:r w:rsidRPr="00CE1F01">
        <w:rPr>
          <w:rFonts w:ascii="Times New Roman" w:hAnsi="Times New Roman"/>
          <w:szCs w:val="24"/>
        </w:rPr>
        <w:t xml:space="preserve">Figure 4. Percent nitrogen by species within the corn/soybean rotation. </w:t>
      </w:r>
    </w:p>
    <w:p w14:paraId="40886B4E" w14:textId="77BAF49D" w:rsidR="00087415" w:rsidRPr="00CE1F01" w:rsidRDefault="00AF14D0" w:rsidP="00CE1F01">
      <w:pPr>
        <w:rPr>
          <w:rFonts w:ascii="Times New Roman" w:hAnsi="Times New Roman"/>
          <w:szCs w:val="24"/>
        </w:rPr>
      </w:pPr>
      <w:r w:rsidRPr="00CE1F01">
        <w:rPr>
          <w:rFonts w:ascii="Times New Roman" w:hAnsi="Times New Roman"/>
          <w:noProof/>
          <w:szCs w:val="24"/>
        </w:rPr>
        <w:drawing>
          <wp:inline distT="0" distB="0" distL="0" distR="0" wp14:anchorId="3D987A1C" wp14:editId="49EF2DC0">
            <wp:extent cx="4737100" cy="277368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37100" cy="2773680"/>
                    </a:xfrm>
                    <a:prstGeom prst="rect">
                      <a:avLst/>
                    </a:prstGeom>
                    <a:noFill/>
                  </pic:spPr>
                </pic:pic>
              </a:graphicData>
            </a:graphic>
          </wp:inline>
        </w:drawing>
      </w:r>
    </w:p>
    <w:p w14:paraId="12F7CA6E" w14:textId="77777777" w:rsidR="00AF14D0" w:rsidRPr="00CE1F01" w:rsidRDefault="00AF14D0" w:rsidP="00CE1F01">
      <w:pPr>
        <w:rPr>
          <w:rFonts w:ascii="Times New Roman" w:hAnsi="Times New Roman"/>
          <w:i/>
          <w:szCs w:val="24"/>
        </w:rPr>
      </w:pPr>
    </w:p>
    <w:p w14:paraId="6EC81FBF" w14:textId="77777777" w:rsidR="00EA120D" w:rsidRPr="00CE1F01" w:rsidRDefault="00EA120D" w:rsidP="00CE1F01">
      <w:pPr>
        <w:rPr>
          <w:rFonts w:ascii="Times New Roman" w:hAnsi="Times New Roman"/>
          <w:i/>
          <w:szCs w:val="24"/>
        </w:rPr>
      </w:pPr>
    </w:p>
    <w:p w14:paraId="14BF7CDD" w14:textId="795C5E65" w:rsidR="004B3655" w:rsidRPr="00CE1F01" w:rsidRDefault="004B3655" w:rsidP="00CE1F01">
      <w:pPr>
        <w:rPr>
          <w:rFonts w:ascii="Times New Roman" w:hAnsi="Times New Roman"/>
          <w:i/>
          <w:szCs w:val="24"/>
        </w:rPr>
      </w:pPr>
      <w:r w:rsidRPr="00CE1F01">
        <w:rPr>
          <w:rFonts w:ascii="Times New Roman" w:hAnsi="Times New Roman"/>
          <w:i/>
          <w:szCs w:val="24"/>
        </w:rPr>
        <w:lastRenderedPageBreak/>
        <w:t>Allelopathic effects</w:t>
      </w:r>
    </w:p>
    <w:p w14:paraId="7282F7BF" w14:textId="7BC5D503" w:rsidR="004B3655" w:rsidRPr="00CE1F01" w:rsidRDefault="004B3655" w:rsidP="00CE1F01">
      <w:pPr>
        <w:ind w:firstLine="720"/>
        <w:rPr>
          <w:rFonts w:ascii="Times New Roman" w:hAnsi="Times New Roman"/>
          <w:szCs w:val="24"/>
        </w:rPr>
      </w:pPr>
      <w:r w:rsidRPr="00CE1F01">
        <w:rPr>
          <w:rFonts w:ascii="Times New Roman" w:hAnsi="Times New Roman"/>
          <w:szCs w:val="24"/>
        </w:rPr>
        <w:t xml:space="preserve">Impact on soybean germination by species varied based on collection location. In samples collected from Knoxville, canola (23%), </w:t>
      </w:r>
      <w:proofErr w:type="spellStart"/>
      <w:r w:rsidRPr="00CE1F01">
        <w:rPr>
          <w:rFonts w:ascii="Times New Roman" w:hAnsi="Times New Roman"/>
          <w:szCs w:val="24"/>
        </w:rPr>
        <w:t>woolypod</w:t>
      </w:r>
      <w:proofErr w:type="spellEnd"/>
      <w:r w:rsidRPr="00CE1F01">
        <w:rPr>
          <w:rFonts w:ascii="Times New Roman" w:hAnsi="Times New Roman"/>
          <w:szCs w:val="24"/>
        </w:rPr>
        <w:t xml:space="preserve"> vetch (22%), and cereal rye</w:t>
      </w:r>
      <w:r w:rsidRPr="00CE1F01">
        <w:rPr>
          <w:rFonts w:ascii="Times New Roman" w:hAnsi="Times New Roman"/>
          <w:bCs/>
          <w:szCs w:val="24"/>
        </w:rPr>
        <w:t xml:space="preserve"> </w:t>
      </w:r>
      <w:r w:rsidRPr="00CE1F01">
        <w:rPr>
          <w:rFonts w:ascii="Times New Roman" w:hAnsi="Times New Roman"/>
          <w:szCs w:val="24"/>
        </w:rPr>
        <w:t xml:space="preserve">(21%) showed the greatest allelopathic effects on soybean germination percentage (Fig. </w:t>
      </w:r>
      <w:r w:rsidR="00EA120D" w:rsidRPr="00CE1F01">
        <w:rPr>
          <w:rFonts w:ascii="Times New Roman" w:hAnsi="Times New Roman"/>
          <w:szCs w:val="24"/>
        </w:rPr>
        <w:t>5</w:t>
      </w:r>
      <w:r w:rsidRPr="00CE1F01">
        <w:rPr>
          <w:rFonts w:ascii="Times New Roman" w:hAnsi="Times New Roman"/>
          <w:szCs w:val="24"/>
        </w:rPr>
        <w:t xml:space="preserve">). In samples collected from Spring Hill, extracts from all cover crops, except canola, significantly reduced seedling root length (p &lt;0.01). Across both locations, almost all cover crops’ extract significantly reduced germination rate (number of germinated seed/day) (Fig. </w:t>
      </w:r>
      <w:r w:rsidR="00984B04" w:rsidRPr="00CE1F01">
        <w:rPr>
          <w:rFonts w:ascii="Times New Roman" w:hAnsi="Times New Roman"/>
          <w:szCs w:val="24"/>
        </w:rPr>
        <w:t>6</w:t>
      </w:r>
      <w:r w:rsidRPr="00CE1F01">
        <w:rPr>
          <w:rFonts w:ascii="Times New Roman" w:hAnsi="Times New Roman"/>
          <w:szCs w:val="24"/>
        </w:rPr>
        <w:t>a and b).</w:t>
      </w:r>
    </w:p>
    <w:p w14:paraId="44744A81" w14:textId="3C5B21A3" w:rsidR="00EA120D" w:rsidRPr="00CE1F01" w:rsidRDefault="00EA120D" w:rsidP="00CE1F01">
      <w:pPr>
        <w:ind w:firstLine="720"/>
        <w:rPr>
          <w:rFonts w:ascii="Times New Roman" w:hAnsi="Times New Roman"/>
          <w:szCs w:val="24"/>
        </w:rPr>
      </w:pPr>
    </w:p>
    <w:p w14:paraId="0F263DD7" w14:textId="619361B9" w:rsidR="00EA120D" w:rsidRPr="00CE1F01" w:rsidRDefault="00EA120D" w:rsidP="00CE1F01">
      <w:pPr>
        <w:rPr>
          <w:rFonts w:ascii="Times New Roman" w:hAnsi="Times New Roman"/>
          <w:szCs w:val="24"/>
        </w:rPr>
      </w:pPr>
      <w:r w:rsidRPr="00CE1F01">
        <w:rPr>
          <w:rFonts w:ascii="Times New Roman" w:hAnsi="Times New Roman"/>
          <w:szCs w:val="24"/>
        </w:rPr>
        <w:t xml:space="preserve">Figure 5. In a controlled environmental study, soybean seeds were treated with the extract of each cover crop and water (check). The extract of canola, cereal rye, and </w:t>
      </w:r>
      <w:proofErr w:type="spellStart"/>
      <w:r w:rsidRPr="00CE1F01">
        <w:rPr>
          <w:rFonts w:ascii="Times New Roman" w:hAnsi="Times New Roman"/>
          <w:szCs w:val="24"/>
        </w:rPr>
        <w:t>woolypod</w:t>
      </w:r>
      <w:proofErr w:type="spellEnd"/>
      <w:r w:rsidRPr="00CE1F01">
        <w:rPr>
          <w:rFonts w:ascii="Times New Roman" w:hAnsi="Times New Roman"/>
          <w:szCs w:val="24"/>
        </w:rPr>
        <w:t xml:space="preserve"> vetch suppressed soybean germination the most. *significant at P</w:t>
      </w:r>
      <w:r w:rsidR="00984B04" w:rsidRPr="00CE1F01">
        <w:rPr>
          <w:rFonts w:ascii="Times New Roman" w:hAnsi="Times New Roman"/>
          <w:szCs w:val="24"/>
        </w:rPr>
        <w:t>&lt;</w:t>
      </w:r>
      <w:r w:rsidRPr="00CE1F01">
        <w:rPr>
          <w:rFonts w:ascii="Times New Roman" w:hAnsi="Times New Roman"/>
          <w:szCs w:val="24"/>
        </w:rPr>
        <w:t>0.05</w:t>
      </w:r>
    </w:p>
    <w:p w14:paraId="39EB854F" w14:textId="4276FEF4" w:rsidR="00EA120D" w:rsidRPr="00CE1F01" w:rsidRDefault="00EA120D" w:rsidP="00CE1F01">
      <w:pPr>
        <w:rPr>
          <w:rFonts w:ascii="Times New Roman" w:hAnsi="Times New Roman"/>
          <w:szCs w:val="24"/>
        </w:rPr>
      </w:pPr>
      <w:r w:rsidRPr="00CE1F01">
        <w:rPr>
          <w:rFonts w:ascii="Times New Roman" w:hAnsi="Times New Roman"/>
          <w:noProof/>
          <w:snapToGrid/>
          <w:szCs w:val="24"/>
        </w:rPr>
        <w:drawing>
          <wp:inline distT="0" distB="0" distL="0" distR="0" wp14:anchorId="1E2F98CC" wp14:editId="1177F823">
            <wp:extent cx="4698332" cy="3031076"/>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97390" cy="3094982"/>
                    </a:xfrm>
                    <a:prstGeom prst="rect">
                      <a:avLst/>
                    </a:prstGeom>
                  </pic:spPr>
                </pic:pic>
              </a:graphicData>
            </a:graphic>
          </wp:inline>
        </w:drawing>
      </w:r>
    </w:p>
    <w:p w14:paraId="6A1F9EDF" w14:textId="062C80C2" w:rsidR="00984B04" w:rsidRPr="00CE1F01" w:rsidRDefault="00984B04" w:rsidP="00CE1F01">
      <w:pPr>
        <w:rPr>
          <w:rFonts w:ascii="Times New Roman" w:hAnsi="Times New Roman"/>
          <w:szCs w:val="24"/>
        </w:rPr>
      </w:pPr>
      <w:r w:rsidRPr="00CE1F01">
        <w:rPr>
          <w:rFonts w:ascii="Times New Roman" w:hAnsi="Times New Roman"/>
          <w:szCs w:val="24"/>
        </w:rPr>
        <w:t xml:space="preserve">Figure 6. </w:t>
      </w:r>
      <w:r w:rsidRPr="00CE1F01">
        <w:rPr>
          <w:rFonts w:ascii="Times New Roman" w:hAnsi="Times New Roman"/>
          <w:szCs w:val="24"/>
        </w:rPr>
        <w:t xml:space="preserve">In a controlled environmental study, soybean seeds were treated with the extract of each cover crop and water (check). </w:t>
      </w:r>
      <w:r w:rsidRPr="00CE1F01">
        <w:rPr>
          <w:rFonts w:ascii="Times New Roman" w:hAnsi="Times New Roman"/>
          <w:szCs w:val="24"/>
        </w:rPr>
        <w:t xml:space="preserve">Application of cover crop extract significantly reduced germination rate (number of germinated seed/day) for soybean at a significant level of P&lt;0.01. </w:t>
      </w:r>
    </w:p>
    <w:p w14:paraId="13111A72" w14:textId="52CF6019" w:rsidR="00984B04" w:rsidRPr="00CE1F01" w:rsidRDefault="00984B04" w:rsidP="00CE1F01">
      <w:pPr>
        <w:rPr>
          <w:rFonts w:ascii="Times New Roman" w:hAnsi="Times New Roman"/>
          <w:szCs w:val="24"/>
        </w:rPr>
      </w:pPr>
      <w:r w:rsidRPr="00CE1F01">
        <w:rPr>
          <w:rFonts w:ascii="Times New Roman" w:hAnsi="Times New Roman"/>
          <w:noProof/>
          <w:snapToGrid/>
          <w:szCs w:val="24"/>
        </w:rPr>
        <w:drawing>
          <wp:inline distT="0" distB="0" distL="0" distR="0" wp14:anchorId="78A67E76" wp14:editId="38E23CAD">
            <wp:extent cx="6400800" cy="27724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0" cy="2772410"/>
                    </a:xfrm>
                    <a:prstGeom prst="rect">
                      <a:avLst/>
                    </a:prstGeom>
                  </pic:spPr>
                </pic:pic>
              </a:graphicData>
            </a:graphic>
          </wp:inline>
        </w:drawing>
      </w:r>
    </w:p>
    <w:p w14:paraId="3E0DD654" w14:textId="6B4DD8A1" w:rsidR="004B3655" w:rsidRPr="00CE1F01" w:rsidRDefault="004B3655" w:rsidP="00CE1F01">
      <w:pPr>
        <w:ind w:firstLine="720"/>
        <w:rPr>
          <w:rFonts w:ascii="Times New Roman" w:hAnsi="Times New Roman"/>
          <w:szCs w:val="24"/>
        </w:rPr>
      </w:pPr>
      <w:r w:rsidRPr="00CE1F01">
        <w:rPr>
          <w:rFonts w:ascii="Times New Roman" w:hAnsi="Times New Roman"/>
          <w:szCs w:val="24"/>
        </w:rPr>
        <w:t xml:space="preserve">Impact on </w:t>
      </w:r>
      <w:proofErr w:type="spellStart"/>
      <w:r w:rsidRPr="00CE1F01">
        <w:rPr>
          <w:rFonts w:ascii="Times New Roman" w:hAnsi="Times New Roman"/>
          <w:szCs w:val="24"/>
        </w:rPr>
        <w:t>goosegrass</w:t>
      </w:r>
      <w:proofErr w:type="spellEnd"/>
      <w:r w:rsidRPr="00CE1F01">
        <w:rPr>
          <w:rFonts w:ascii="Times New Roman" w:hAnsi="Times New Roman"/>
          <w:szCs w:val="24"/>
        </w:rPr>
        <w:t xml:space="preserve"> inhibition also varied by location and species. </w:t>
      </w:r>
      <w:r w:rsidRPr="00CE1F01">
        <w:rPr>
          <w:rFonts w:ascii="Times New Roman" w:hAnsi="Times New Roman"/>
          <w:bCs/>
          <w:szCs w:val="24"/>
        </w:rPr>
        <w:t>In samples collected from Knoxville, c</w:t>
      </w:r>
      <w:r w:rsidRPr="00CE1F01">
        <w:rPr>
          <w:rFonts w:ascii="Times New Roman" w:hAnsi="Times New Roman"/>
          <w:szCs w:val="24"/>
        </w:rPr>
        <w:t xml:space="preserve">anola and </w:t>
      </w:r>
      <w:proofErr w:type="spellStart"/>
      <w:r w:rsidRPr="00CE1F01">
        <w:rPr>
          <w:rFonts w:ascii="Times New Roman" w:hAnsi="Times New Roman"/>
          <w:szCs w:val="24"/>
        </w:rPr>
        <w:t>woolypod</w:t>
      </w:r>
      <w:proofErr w:type="spellEnd"/>
      <w:r w:rsidRPr="00CE1F01">
        <w:rPr>
          <w:rFonts w:ascii="Times New Roman" w:hAnsi="Times New Roman"/>
          <w:szCs w:val="24"/>
        </w:rPr>
        <w:t xml:space="preserve"> vetch showed no allelopathic effects on </w:t>
      </w:r>
      <w:proofErr w:type="spellStart"/>
      <w:r w:rsidRPr="00CE1F01">
        <w:rPr>
          <w:rFonts w:ascii="Times New Roman" w:hAnsi="Times New Roman"/>
          <w:szCs w:val="24"/>
        </w:rPr>
        <w:t>goosegrass</w:t>
      </w:r>
      <w:proofErr w:type="spellEnd"/>
      <w:r w:rsidRPr="00CE1F01">
        <w:rPr>
          <w:rFonts w:ascii="Times New Roman" w:hAnsi="Times New Roman"/>
          <w:szCs w:val="24"/>
        </w:rPr>
        <w:t xml:space="preserve"> germination percentage and rate (Fig. </w:t>
      </w:r>
      <w:r w:rsidR="00984B04" w:rsidRPr="00CE1F01">
        <w:rPr>
          <w:rFonts w:ascii="Times New Roman" w:hAnsi="Times New Roman"/>
          <w:szCs w:val="24"/>
        </w:rPr>
        <w:t>7</w:t>
      </w:r>
      <w:r w:rsidRPr="00CE1F01">
        <w:rPr>
          <w:rFonts w:ascii="Times New Roman" w:hAnsi="Times New Roman"/>
          <w:szCs w:val="24"/>
        </w:rPr>
        <w:t xml:space="preserve">a and b). At Spring Hill, cereal rye and crimson clover showed no allelopathic effects on </w:t>
      </w:r>
      <w:proofErr w:type="spellStart"/>
      <w:r w:rsidRPr="00CE1F01">
        <w:rPr>
          <w:rFonts w:ascii="Times New Roman" w:hAnsi="Times New Roman"/>
          <w:szCs w:val="24"/>
        </w:rPr>
        <w:t>goosegrass</w:t>
      </w:r>
      <w:proofErr w:type="spellEnd"/>
      <w:r w:rsidRPr="00CE1F01">
        <w:rPr>
          <w:rFonts w:ascii="Times New Roman" w:hAnsi="Times New Roman"/>
          <w:szCs w:val="24"/>
        </w:rPr>
        <w:t xml:space="preserve"> germination percentage (Fig. </w:t>
      </w:r>
      <w:r w:rsidR="00984B04" w:rsidRPr="00CE1F01">
        <w:rPr>
          <w:rFonts w:ascii="Times New Roman" w:hAnsi="Times New Roman"/>
          <w:szCs w:val="24"/>
        </w:rPr>
        <w:t>8</w:t>
      </w:r>
      <w:r w:rsidRPr="00CE1F01">
        <w:rPr>
          <w:rFonts w:ascii="Times New Roman" w:hAnsi="Times New Roman"/>
          <w:szCs w:val="24"/>
        </w:rPr>
        <w:t xml:space="preserve">a). Both cereal rye </w:t>
      </w:r>
      <w:r w:rsidRPr="00CE1F01">
        <w:rPr>
          <w:rFonts w:ascii="Times New Roman" w:hAnsi="Times New Roman"/>
          <w:szCs w:val="24"/>
        </w:rPr>
        <w:lastRenderedPageBreak/>
        <w:t xml:space="preserve">and crimson clover plus </w:t>
      </w:r>
      <w:proofErr w:type="spellStart"/>
      <w:r w:rsidRPr="00CE1F01">
        <w:rPr>
          <w:rFonts w:ascii="Times New Roman" w:hAnsi="Times New Roman"/>
          <w:szCs w:val="24"/>
        </w:rPr>
        <w:t>woolypod</w:t>
      </w:r>
      <w:proofErr w:type="spellEnd"/>
      <w:r w:rsidRPr="00CE1F01">
        <w:rPr>
          <w:rFonts w:ascii="Times New Roman" w:hAnsi="Times New Roman"/>
          <w:szCs w:val="24"/>
        </w:rPr>
        <w:t xml:space="preserve"> vetch showed no significant impact on </w:t>
      </w:r>
      <w:proofErr w:type="spellStart"/>
      <w:r w:rsidRPr="00CE1F01">
        <w:rPr>
          <w:rFonts w:ascii="Times New Roman" w:hAnsi="Times New Roman"/>
          <w:szCs w:val="24"/>
        </w:rPr>
        <w:t>goosegrass</w:t>
      </w:r>
      <w:proofErr w:type="spellEnd"/>
      <w:r w:rsidRPr="00CE1F01">
        <w:rPr>
          <w:rFonts w:ascii="Times New Roman" w:hAnsi="Times New Roman"/>
          <w:szCs w:val="24"/>
        </w:rPr>
        <w:t xml:space="preserve"> germination rate (Fig. </w:t>
      </w:r>
      <w:r w:rsidR="00984B04" w:rsidRPr="00CE1F01">
        <w:rPr>
          <w:rFonts w:ascii="Times New Roman" w:hAnsi="Times New Roman"/>
          <w:szCs w:val="24"/>
        </w:rPr>
        <w:t>8</w:t>
      </w:r>
      <w:r w:rsidRPr="00CE1F01">
        <w:rPr>
          <w:rFonts w:ascii="Times New Roman" w:hAnsi="Times New Roman"/>
          <w:szCs w:val="24"/>
        </w:rPr>
        <w:t>b).</w:t>
      </w:r>
      <w:r w:rsidR="001C484A" w:rsidRPr="00CE1F01">
        <w:rPr>
          <w:rFonts w:ascii="Times New Roman" w:hAnsi="Times New Roman"/>
          <w:szCs w:val="24"/>
        </w:rPr>
        <w:t xml:space="preserve"> A</w:t>
      </w:r>
      <w:r w:rsidRPr="00CE1F01">
        <w:rPr>
          <w:rFonts w:ascii="Times New Roman" w:hAnsi="Times New Roman"/>
          <w:szCs w:val="24"/>
        </w:rPr>
        <w:t xml:space="preserve">ll cover crops’ extract significantly reduced </w:t>
      </w:r>
      <w:proofErr w:type="spellStart"/>
      <w:r w:rsidR="001C484A" w:rsidRPr="00CE1F01">
        <w:rPr>
          <w:rFonts w:ascii="Times New Roman" w:hAnsi="Times New Roman"/>
          <w:szCs w:val="24"/>
        </w:rPr>
        <w:t>goosegrass</w:t>
      </w:r>
      <w:proofErr w:type="spellEnd"/>
      <w:r w:rsidR="001C484A" w:rsidRPr="00CE1F01">
        <w:rPr>
          <w:rFonts w:ascii="Times New Roman" w:hAnsi="Times New Roman"/>
          <w:szCs w:val="24"/>
        </w:rPr>
        <w:t xml:space="preserve"> </w:t>
      </w:r>
      <w:r w:rsidRPr="00CE1F01">
        <w:rPr>
          <w:rFonts w:ascii="Times New Roman" w:hAnsi="Times New Roman"/>
          <w:szCs w:val="24"/>
        </w:rPr>
        <w:t xml:space="preserve">seedling </w:t>
      </w:r>
      <w:r w:rsidRPr="00CE1F01">
        <w:rPr>
          <w:rFonts w:ascii="Times New Roman" w:hAnsi="Times New Roman"/>
          <w:b/>
          <w:szCs w:val="24"/>
        </w:rPr>
        <w:t>root length</w:t>
      </w:r>
      <w:r w:rsidRPr="00CE1F01">
        <w:rPr>
          <w:rFonts w:ascii="Times New Roman" w:hAnsi="Times New Roman"/>
          <w:szCs w:val="24"/>
        </w:rPr>
        <w:t xml:space="preserve"> (p &lt;0.01) in both locations.</w:t>
      </w:r>
    </w:p>
    <w:p w14:paraId="0DC2502B" w14:textId="77777777" w:rsidR="00984B04" w:rsidRPr="00CE1F01" w:rsidRDefault="00984B04" w:rsidP="00CE1F01">
      <w:pPr>
        <w:rPr>
          <w:rFonts w:ascii="Times New Roman" w:hAnsi="Times New Roman"/>
          <w:szCs w:val="24"/>
        </w:rPr>
      </w:pPr>
    </w:p>
    <w:p w14:paraId="511B6936" w14:textId="11196274" w:rsidR="00984B04" w:rsidRPr="00CE1F01" w:rsidRDefault="00984B04" w:rsidP="00CE1F01">
      <w:pPr>
        <w:rPr>
          <w:rFonts w:ascii="Times New Roman" w:hAnsi="Times New Roman"/>
          <w:szCs w:val="24"/>
        </w:rPr>
      </w:pPr>
      <w:r w:rsidRPr="00CE1F01">
        <w:rPr>
          <w:rFonts w:ascii="Times New Roman" w:hAnsi="Times New Roman"/>
          <w:szCs w:val="24"/>
        </w:rPr>
        <w:t>Figure 7. I</w:t>
      </w:r>
      <w:r w:rsidRPr="00CE1F01">
        <w:rPr>
          <w:rFonts w:ascii="Times New Roman" w:hAnsi="Times New Roman"/>
          <w:szCs w:val="24"/>
        </w:rPr>
        <w:t xml:space="preserve">n a controlled environmental study, </w:t>
      </w:r>
      <w:proofErr w:type="spellStart"/>
      <w:r w:rsidRPr="00CE1F01">
        <w:rPr>
          <w:rFonts w:ascii="Times New Roman" w:hAnsi="Times New Roman"/>
          <w:szCs w:val="24"/>
        </w:rPr>
        <w:t>goosegrass</w:t>
      </w:r>
      <w:proofErr w:type="spellEnd"/>
      <w:r w:rsidRPr="00CE1F01">
        <w:rPr>
          <w:rFonts w:ascii="Times New Roman" w:hAnsi="Times New Roman"/>
          <w:szCs w:val="24"/>
        </w:rPr>
        <w:t xml:space="preserve"> seeds were treated with the extract of each cover crop and water (check). </w:t>
      </w:r>
      <w:r w:rsidRPr="00CE1F01">
        <w:rPr>
          <w:rFonts w:ascii="Times New Roman" w:hAnsi="Times New Roman"/>
          <w:szCs w:val="24"/>
        </w:rPr>
        <w:t>Mean values for (a) germination (%) and (b) germination rate (number of germinated seed/day) by species from the Knoxville location are given. NS: not significant at P&lt;0.05.</w:t>
      </w:r>
    </w:p>
    <w:p w14:paraId="157CB4C1" w14:textId="3B437BBB" w:rsidR="00984B04" w:rsidRPr="00CE1F01" w:rsidRDefault="00984B04" w:rsidP="00CE1F01">
      <w:pPr>
        <w:rPr>
          <w:rFonts w:ascii="Times New Roman" w:hAnsi="Times New Roman"/>
          <w:szCs w:val="24"/>
        </w:rPr>
      </w:pPr>
      <w:r w:rsidRPr="00CE1F01">
        <w:rPr>
          <w:rFonts w:ascii="Times New Roman" w:hAnsi="Times New Roman"/>
          <w:noProof/>
          <w:snapToGrid/>
          <w:szCs w:val="24"/>
        </w:rPr>
        <w:drawing>
          <wp:inline distT="0" distB="0" distL="0" distR="0" wp14:anchorId="45F5C1DB" wp14:editId="7C2CE0C0">
            <wp:extent cx="6400800" cy="22567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0" cy="2256790"/>
                    </a:xfrm>
                    <a:prstGeom prst="rect">
                      <a:avLst/>
                    </a:prstGeom>
                  </pic:spPr>
                </pic:pic>
              </a:graphicData>
            </a:graphic>
          </wp:inline>
        </w:drawing>
      </w:r>
    </w:p>
    <w:p w14:paraId="26EE85C8" w14:textId="14E39412" w:rsidR="00984B04" w:rsidRPr="00CE1F01" w:rsidRDefault="00984B04" w:rsidP="00CE1F01">
      <w:pPr>
        <w:rPr>
          <w:rFonts w:ascii="Times New Roman" w:hAnsi="Times New Roman"/>
          <w:szCs w:val="24"/>
        </w:rPr>
      </w:pPr>
    </w:p>
    <w:p w14:paraId="79B42D89" w14:textId="00625436" w:rsidR="00984B04" w:rsidRPr="00CE1F01" w:rsidRDefault="00984B04" w:rsidP="00CE1F01">
      <w:pPr>
        <w:rPr>
          <w:rFonts w:ascii="Times New Roman" w:hAnsi="Times New Roman"/>
          <w:szCs w:val="24"/>
        </w:rPr>
      </w:pPr>
      <w:r w:rsidRPr="00CE1F01">
        <w:rPr>
          <w:rFonts w:ascii="Times New Roman" w:hAnsi="Times New Roman"/>
          <w:szCs w:val="24"/>
        </w:rPr>
        <w:t xml:space="preserve">Figure </w:t>
      </w:r>
      <w:r w:rsidRPr="00CE1F01">
        <w:rPr>
          <w:rFonts w:ascii="Times New Roman" w:hAnsi="Times New Roman"/>
          <w:szCs w:val="24"/>
        </w:rPr>
        <w:t>8</w:t>
      </w:r>
      <w:r w:rsidRPr="00CE1F01">
        <w:rPr>
          <w:rFonts w:ascii="Times New Roman" w:hAnsi="Times New Roman"/>
          <w:szCs w:val="24"/>
        </w:rPr>
        <w:t xml:space="preserve">. In a controlled environmental study, </w:t>
      </w:r>
      <w:proofErr w:type="spellStart"/>
      <w:r w:rsidRPr="00CE1F01">
        <w:rPr>
          <w:rFonts w:ascii="Times New Roman" w:hAnsi="Times New Roman"/>
          <w:szCs w:val="24"/>
        </w:rPr>
        <w:t>goosegrass</w:t>
      </w:r>
      <w:proofErr w:type="spellEnd"/>
      <w:r w:rsidRPr="00CE1F01">
        <w:rPr>
          <w:rFonts w:ascii="Times New Roman" w:hAnsi="Times New Roman"/>
          <w:szCs w:val="24"/>
        </w:rPr>
        <w:t xml:space="preserve"> seeds were treated with the extract of each cover crop and water (check). Mean values for (a) germination (%) and (b) germination rate (number of germinated seed/day) by species from the </w:t>
      </w:r>
      <w:r w:rsidRPr="00CE1F01">
        <w:rPr>
          <w:rFonts w:ascii="Times New Roman" w:hAnsi="Times New Roman"/>
          <w:szCs w:val="24"/>
        </w:rPr>
        <w:t xml:space="preserve">Spring Hill </w:t>
      </w:r>
      <w:r w:rsidRPr="00CE1F01">
        <w:rPr>
          <w:rFonts w:ascii="Times New Roman" w:hAnsi="Times New Roman"/>
          <w:szCs w:val="24"/>
        </w:rPr>
        <w:t>location are given. NS: not significant at P&lt;0.05.</w:t>
      </w:r>
    </w:p>
    <w:p w14:paraId="4C1A6B5C" w14:textId="79057338" w:rsidR="00984B04" w:rsidRPr="00CE1F01" w:rsidRDefault="00984B04" w:rsidP="00CE1F01">
      <w:pPr>
        <w:rPr>
          <w:rFonts w:ascii="Times New Roman" w:hAnsi="Times New Roman"/>
          <w:szCs w:val="24"/>
        </w:rPr>
      </w:pPr>
      <w:r w:rsidRPr="00CE1F01">
        <w:rPr>
          <w:rFonts w:ascii="Times New Roman" w:hAnsi="Times New Roman"/>
          <w:noProof/>
          <w:snapToGrid/>
          <w:szCs w:val="24"/>
        </w:rPr>
        <w:drawing>
          <wp:inline distT="0" distB="0" distL="0" distR="0" wp14:anchorId="61222B52" wp14:editId="706269A0">
            <wp:extent cx="6400800" cy="24593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00800" cy="2459355"/>
                    </a:xfrm>
                    <a:prstGeom prst="rect">
                      <a:avLst/>
                    </a:prstGeom>
                  </pic:spPr>
                </pic:pic>
              </a:graphicData>
            </a:graphic>
          </wp:inline>
        </w:drawing>
      </w:r>
    </w:p>
    <w:p w14:paraId="61BA27BA" w14:textId="423A6D32" w:rsidR="004B3655" w:rsidRPr="00CE1F01" w:rsidRDefault="004B3655" w:rsidP="00CE1F01">
      <w:pPr>
        <w:ind w:firstLine="720"/>
        <w:rPr>
          <w:rFonts w:ascii="Times New Roman" w:hAnsi="Times New Roman"/>
          <w:szCs w:val="24"/>
        </w:rPr>
      </w:pPr>
      <w:r w:rsidRPr="00CE1F01">
        <w:rPr>
          <w:rFonts w:ascii="Times New Roman" w:hAnsi="Times New Roman"/>
          <w:szCs w:val="24"/>
        </w:rPr>
        <w:t xml:space="preserve">We were called to over a 100 soybean and cotton fields this summer where very poor control of </w:t>
      </w:r>
      <w:proofErr w:type="spellStart"/>
      <w:r w:rsidRPr="00CE1F01">
        <w:rPr>
          <w:rFonts w:ascii="Times New Roman" w:hAnsi="Times New Roman"/>
          <w:szCs w:val="24"/>
        </w:rPr>
        <w:t>goosegrass</w:t>
      </w:r>
      <w:proofErr w:type="spellEnd"/>
      <w:r w:rsidRPr="00CE1F01">
        <w:rPr>
          <w:rFonts w:ascii="Times New Roman" w:hAnsi="Times New Roman"/>
          <w:szCs w:val="24"/>
        </w:rPr>
        <w:t xml:space="preserve">, </w:t>
      </w:r>
      <w:proofErr w:type="spellStart"/>
      <w:r w:rsidRPr="00CE1F01">
        <w:rPr>
          <w:rFonts w:ascii="Times New Roman" w:hAnsi="Times New Roman"/>
          <w:szCs w:val="24"/>
        </w:rPr>
        <w:t>junglerice</w:t>
      </w:r>
      <w:proofErr w:type="spellEnd"/>
      <w:r w:rsidRPr="00CE1F01">
        <w:rPr>
          <w:rFonts w:ascii="Times New Roman" w:hAnsi="Times New Roman"/>
          <w:szCs w:val="24"/>
        </w:rPr>
        <w:t xml:space="preserve">, </w:t>
      </w:r>
      <w:proofErr w:type="spellStart"/>
      <w:r w:rsidRPr="00CE1F01">
        <w:rPr>
          <w:rFonts w:ascii="Times New Roman" w:hAnsi="Times New Roman"/>
          <w:szCs w:val="24"/>
        </w:rPr>
        <w:t>barnyardgrass</w:t>
      </w:r>
      <w:proofErr w:type="spellEnd"/>
      <w:r w:rsidRPr="00CE1F01">
        <w:rPr>
          <w:rFonts w:ascii="Times New Roman" w:hAnsi="Times New Roman"/>
          <w:szCs w:val="24"/>
        </w:rPr>
        <w:t xml:space="preserve">, and Palmer amaranth with glyphosate and dicamba </w:t>
      </w:r>
      <w:proofErr w:type="spellStart"/>
      <w:r w:rsidRPr="00CE1F01">
        <w:rPr>
          <w:rFonts w:ascii="Times New Roman" w:hAnsi="Times New Roman"/>
          <w:szCs w:val="24"/>
        </w:rPr>
        <w:t>tankmix</w:t>
      </w:r>
      <w:proofErr w:type="spellEnd"/>
      <w:r w:rsidRPr="00CE1F01">
        <w:rPr>
          <w:rFonts w:ascii="Times New Roman" w:hAnsi="Times New Roman"/>
          <w:szCs w:val="24"/>
        </w:rPr>
        <w:t xml:space="preserve"> applications was observed (Fig. </w:t>
      </w:r>
      <w:r w:rsidR="00984B04" w:rsidRPr="00CE1F01">
        <w:rPr>
          <w:rFonts w:ascii="Times New Roman" w:hAnsi="Times New Roman"/>
          <w:szCs w:val="24"/>
        </w:rPr>
        <w:t>9</w:t>
      </w:r>
      <w:r w:rsidRPr="00CE1F01">
        <w:rPr>
          <w:rFonts w:ascii="Times New Roman" w:hAnsi="Times New Roman"/>
          <w:szCs w:val="24"/>
        </w:rPr>
        <w:t xml:space="preserve">). As a result, integrated weed management where cover crops can help supplement control from herbicides needs to be explored.  Therefore, seeds of </w:t>
      </w:r>
      <w:proofErr w:type="spellStart"/>
      <w:r w:rsidRPr="00CE1F01">
        <w:rPr>
          <w:rFonts w:ascii="Times New Roman" w:hAnsi="Times New Roman"/>
          <w:szCs w:val="24"/>
        </w:rPr>
        <w:t>goosegrass</w:t>
      </w:r>
      <w:proofErr w:type="spellEnd"/>
      <w:r w:rsidRPr="00CE1F01">
        <w:rPr>
          <w:rFonts w:ascii="Times New Roman" w:hAnsi="Times New Roman"/>
          <w:szCs w:val="24"/>
        </w:rPr>
        <w:t xml:space="preserve"> were collected and subjected to cover crop allelopathy experiments.  </w:t>
      </w:r>
    </w:p>
    <w:p w14:paraId="567BEEC1" w14:textId="7CBA54DD" w:rsidR="00984B04" w:rsidRPr="00CE1F01" w:rsidRDefault="00984B04" w:rsidP="00CE1F01">
      <w:pPr>
        <w:ind w:firstLine="720"/>
        <w:rPr>
          <w:rFonts w:ascii="Times New Roman" w:hAnsi="Times New Roman"/>
          <w:b/>
          <w:bCs/>
          <w:szCs w:val="24"/>
        </w:rPr>
      </w:pPr>
    </w:p>
    <w:p w14:paraId="13569F91" w14:textId="7D344C1F" w:rsidR="00984B04" w:rsidRPr="00CE1F01" w:rsidRDefault="00984B04" w:rsidP="00CE1F01">
      <w:pPr>
        <w:ind w:firstLine="720"/>
        <w:rPr>
          <w:rFonts w:ascii="Times New Roman" w:hAnsi="Times New Roman"/>
          <w:b/>
          <w:bCs/>
          <w:szCs w:val="24"/>
        </w:rPr>
      </w:pPr>
    </w:p>
    <w:p w14:paraId="5A594848" w14:textId="77777777" w:rsidR="00984B04" w:rsidRPr="00CE1F01" w:rsidRDefault="00984B04" w:rsidP="00CE1F01">
      <w:pPr>
        <w:ind w:firstLine="720"/>
        <w:rPr>
          <w:rFonts w:ascii="Times New Roman" w:hAnsi="Times New Roman"/>
          <w:b/>
          <w:bCs/>
          <w:szCs w:val="24"/>
        </w:rPr>
      </w:pPr>
    </w:p>
    <w:p w14:paraId="17125340" w14:textId="77777777" w:rsidR="00CE1F01" w:rsidRDefault="00CE1F01">
      <w:pPr>
        <w:widowControl/>
        <w:rPr>
          <w:rFonts w:ascii="Times New Roman" w:hAnsi="Times New Roman"/>
          <w:bCs/>
          <w:szCs w:val="24"/>
        </w:rPr>
      </w:pPr>
      <w:r>
        <w:rPr>
          <w:rFonts w:ascii="Times New Roman" w:hAnsi="Times New Roman"/>
          <w:bCs/>
          <w:szCs w:val="24"/>
        </w:rPr>
        <w:br w:type="page"/>
      </w:r>
    </w:p>
    <w:p w14:paraId="0914321A" w14:textId="5745426E" w:rsidR="00984B04" w:rsidRPr="00CE1F01" w:rsidRDefault="00984B04" w:rsidP="00CE1F01">
      <w:pPr>
        <w:rPr>
          <w:rFonts w:ascii="Times New Roman" w:hAnsi="Times New Roman"/>
          <w:bCs/>
          <w:szCs w:val="24"/>
        </w:rPr>
      </w:pPr>
      <w:r w:rsidRPr="00CE1F01">
        <w:rPr>
          <w:rFonts w:ascii="Times New Roman" w:hAnsi="Times New Roman"/>
          <w:bCs/>
          <w:szCs w:val="24"/>
        </w:rPr>
        <w:t xml:space="preserve">Figure 9. </w:t>
      </w:r>
      <w:proofErr w:type="spellStart"/>
      <w:r w:rsidRPr="00CE1F01">
        <w:rPr>
          <w:rFonts w:ascii="Times New Roman" w:hAnsi="Times New Roman"/>
          <w:bCs/>
          <w:szCs w:val="24"/>
        </w:rPr>
        <w:t>Xtend</w:t>
      </w:r>
      <w:proofErr w:type="spellEnd"/>
      <w:r w:rsidRPr="00CE1F01">
        <w:rPr>
          <w:rFonts w:ascii="Times New Roman" w:hAnsi="Times New Roman"/>
          <w:bCs/>
          <w:szCs w:val="24"/>
        </w:rPr>
        <w:t xml:space="preserve"> crop weed failure survey 2019. </w:t>
      </w:r>
    </w:p>
    <w:p w14:paraId="26911AF1" w14:textId="24470A9D" w:rsidR="00984B04" w:rsidRPr="00CE1F01" w:rsidRDefault="00984B04" w:rsidP="00CE1F01">
      <w:pPr>
        <w:rPr>
          <w:rFonts w:ascii="Times New Roman" w:hAnsi="Times New Roman"/>
          <w:b/>
          <w:bCs/>
          <w:szCs w:val="24"/>
        </w:rPr>
      </w:pPr>
      <w:r w:rsidRPr="00CE1F01">
        <w:rPr>
          <w:rFonts w:ascii="Times New Roman" w:hAnsi="Times New Roman"/>
          <w:noProof/>
          <w:snapToGrid/>
          <w:szCs w:val="24"/>
        </w:rPr>
        <w:lastRenderedPageBreak/>
        <w:drawing>
          <wp:inline distT="0" distB="0" distL="0" distR="0" wp14:anchorId="224F89C7" wp14:editId="283C16E5">
            <wp:extent cx="5268375" cy="3422984"/>
            <wp:effectExtent l="0" t="0" r="889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7023" b="875"/>
                    <a:stretch/>
                  </pic:blipFill>
                  <pic:spPr bwMode="auto">
                    <a:xfrm>
                      <a:off x="0" y="0"/>
                      <a:ext cx="5284033" cy="3433158"/>
                    </a:xfrm>
                    <a:prstGeom prst="rect">
                      <a:avLst/>
                    </a:prstGeom>
                    <a:ln>
                      <a:noFill/>
                    </a:ln>
                    <a:extLst>
                      <a:ext uri="{53640926-AAD7-44D8-BBD7-CCE9431645EC}">
                        <a14:shadowObscured xmlns:a14="http://schemas.microsoft.com/office/drawing/2010/main"/>
                      </a:ext>
                    </a:extLst>
                  </pic:spPr>
                </pic:pic>
              </a:graphicData>
            </a:graphic>
          </wp:inline>
        </w:drawing>
      </w:r>
    </w:p>
    <w:p w14:paraId="546EDE15" w14:textId="77777777" w:rsidR="00984B04" w:rsidRPr="00CE1F01" w:rsidRDefault="00984B04" w:rsidP="00CE1F01">
      <w:pPr>
        <w:rPr>
          <w:rFonts w:ascii="Times New Roman" w:hAnsi="Times New Roman"/>
          <w:b/>
          <w:bCs/>
          <w:szCs w:val="24"/>
        </w:rPr>
      </w:pPr>
    </w:p>
    <w:p w14:paraId="136E8FBA" w14:textId="7809AB9F" w:rsidR="00DE7073" w:rsidRPr="00CE1F01" w:rsidRDefault="00DE7073" w:rsidP="00CE1F01">
      <w:pPr>
        <w:rPr>
          <w:rFonts w:ascii="Times New Roman" w:hAnsi="Times New Roman"/>
          <w:b/>
          <w:bCs/>
          <w:szCs w:val="24"/>
        </w:rPr>
      </w:pPr>
      <w:r w:rsidRPr="00CE1F01">
        <w:rPr>
          <w:rFonts w:ascii="Times New Roman" w:hAnsi="Times New Roman"/>
          <w:b/>
          <w:bCs/>
          <w:szCs w:val="24"/>
        </w:rPr>
        <w:t>Conclusions</w:t>
      </w:r>
    </w:p>
    <w:p w14:paraId="71410E37" w14:textId="77777777" w:rsidR="00BD285E" w:rsidRPr="00BD285E" w:rsidRDefault="00BD285E" w:rsidP="00CE1F01">
      <w:pPr>
        <w:widowControl/>
        <w:ind w:firstLine="720"/>
        <w:rPr>
          <w:rFonts w:ascii="Times New Roman" w:eastAsia="Calibri" w:hAnsi="Times New Roman"/>
          <w:snapToGrid/>
          <w:szCs w:val="24"/>
        </w:rPr>
      </w:pPr>
      <w:r w:rsidRPr="00BD285E">
        <w:rPr>
          <w:rFonts w:ascii="Times New Roman" w:eastAsia="Calibri" w:hAnsi="Times New Roman"/>
          <w:snapToGrid/>
          <w:szCs w:val="24"/>
        </w:rPr>
        <w:t xml:space="preserve">Planting cover crops earlier provided more benefits in terms of full-season ground cover and biomass at termination. More species were suited to a corn/soybean rotation than to a soybean/corn rotation due to the longer growing season provided by the former. Regionally adapted species for soybean/corn systems included wheat, triticale, oat, and cereal rye. Crimson clover could also provide significant biomass by termination, but would need to be paired with a cereal in order to achieve full-season ground cover.  Species adaptation was broader in a corn/soybean rotation system, including wheat, triticale, oat, cereal rye, crimson clover, and </w:t>
      </w:r>
      <w:proofErr w:type="spellStart"/>
      <w:r w:rsidRPr="00BD285E">
        <w:rPr>
          <w:rFonts w:ascii="Times New Roman" w:eastAsia="Calibri" w:hAnsi="Times New Roman"/>
          <w:snapToGrid/>
          <w:szCs w:val="24"/>
        </w:rPr>
        <w:t>woolypod</w:t>
      </w:r>
      <w:proofErr w:type="spellEnd"/>
      <w:r w:rsidRPr="00BD285E">
        <w:rPr>
          <w:rFonts w:ascii="Times New Roman" w:eastAsia="Calibri" w:hAnsi="Times New Roman"/>
          <w:snapToGrid/>
          <w:szCs w:val="24"/>
        </w:rPr>
        <w:t xml:space="preserve"> vetch for full season ground cover and biomass at termination, and winter pea and hairy vetch winter/spring ground cover and biomass at termination. Prior to initiating this study, many cover crop species were available only as “variety not stated” (VNS). Since that time, several varieties within species are now being marketed specifically for use as a cover crop. While our study showed that species such as berseem clover, </w:t>
      </w:r>
      <w:proofErr w:type="spellStart"/>
      <w:r w:rsidRPr="00BD285E">
        <w:rPr>
          <w:rFonts w:ascii="Times New Roman" w:eastAsia="Calibri" w:hAnsi="Times New Roman"/>
          <w:snapToGrid/>
          <w:szCs w:val="24"/>
        </w:rPr>
        <w:t>arrowleaf</w:t>
      </w:r>
      <w:proofErr w:type="spellEnd"/>
      <w:r w:rsidRPr="00BD285E">
        <w:rPr>
          <w:rFonts w:ascii="Times New Roman" w:eastAsia="Calibri" w:hAnsi="Times New Roman"/>
          <w:snapToGrid/>
          <w:szCs w:val="24"/>
        </w:rPr>
        <w:t xml:space="preserve"> clover, red clover, barley, canola, forage radish, and turnip were often not well-suited to Tennessee soybean and corn rotation systems, little is known about variation within species. Future work will examine within species variation of cover crop varieties for adaptation to Tennessee soybean systems.    </w:t>
      </w:r>
    </w:p>
    <w:p w14:paraId="67CB45A5" w14:textId="39229669" w:rsidR="00BD285E" w:rsidRPr="00BD285E" w:rsidRDefault="00BD285E" w:rsidP="00CE1F01">
      <w:pPr>
        <w:widowControl/>
        <w:ind w:firstLine="720"/>
        <w:rPr>
          <w:rFonts w:ascii="Times New Roman" w:eastAsia="Calibri" w:hAnsi="Times New Roman"/>
          <w:snapToGrid/>
          <w:szCs w:val="24"/>
        </w:rPr>
      </w:pPr>
      <w:r w:rsidRPr="00BD285E">
        <w:rPr>
          <w:rFonts w:ascii="Times New Roman" w:eastAsia="Calibri" w:hAnsi="Times New Roman"/>
          <w:snapToGrid/>
          <w:szCs w:val="24"/>
        </w:rPr>
        <w:t xml:space="preserve">Dual-use forage/cover crop systems </w:t>
      </w:r>
      <w:r w:rsidRPr="00CE1F01">
        <w:rPr>
          <w:rFonts w:ascii="Times New Roman" w:eastAsia="Calibri" w:hAnsi="Times New Roman"/>
          <w:snapToGrid/>
          <w:szCs w:val="24"/>
        </w:rPr>
        <w:t>produced</w:t>
      </w:r>
      <w:r w:rsidRPr="00BD285E">
        <w:rPr>
          <w:rFonts w:ascii="Times New Roman" w:eastAsia="Calibri" w:hAnsi="Times New Roman"/>
          <w:snapToGrid/>
          <w:szCs w:val="24"/>
        </w:rPr>
        <w:t xml:space="preserve"> sufficient yields, with some species exceeding 1 DM ton/ac, of high-quality forage under a corn/soybean rotation.  The shorter growing season of a soybean/corn rotation, however, resulted in low yields that likely would not be well-suited to grazing or forage production. Removing forage from the cover crop system did not result in a significant reduction in ecological benefits, resulting in no changes in soil nutrients at two months post termination, early-season weed suppression, and cash crop yield or quality. Nitrogen did vary among species in the corn/soybean rotation, indicating a possible reduction in early season nitrogen from removing forage biomass. These results demonstrate integrated forage/cover crop systems as a potentially beneficial system to offset cover crop seed costs and create additional profit, without reducing ecological benefits.     </w:t>
      </w:r>
    </w:p>
    <w:p w14:paraId="649917F7" w14:textId="4CED92C0" w:rsidR="004B3655" w:rsidRPr="00CE1F01" w:rsidRDefault="00BD285E" w:rsidP="00CE1F01">
      <w:pPr>
        <w:ind w:firstLine="720"/>
        <w:rPr>
          <w:rFonts w:ascii="Times New Roman" w:hAnsi="Times New Roman"/>
          <w:szCs w:val="24"/>
        </w:rPr>
      </w:pPr>
      <w:r w:rsidRPr="00CE1F01">
        <w:rPr>
          <w:rFonts w:ascii="Times New Roman" w:hAnsi="Times New Roman"/>
          <w:bCs/>
          <w:szCs w:val="24"/>
        </w:rPr>
        <w:t xml:space="preserve">With increasing herbicide resistant weeds, cover crops offer a further tool for control through allelopathy, chemical root exudates that can inhibit weed seed germination and development.  </w:t>
      </w:r>
      <w:r w:rsidR="001C484A" w:rsidRPr="00CE1F01">
        <w:rPr>
          <w:rFonts w:ascii="Times New Roman" w:hAnsi="Times New Roman"/>
          <w:bCs/>
          <w:szCs w:val="24"/>
        </w:rPr>
        <w:t xml:space="preserve">Results showed that </w:t>
      </w:r>
      <w:r w:rsidR="004B3655" w:rsidRPr="00CE1F01">
        <w:rPr>
          <w:rFonts w:ascii="Times New Roman" w:hAnsi="Times New Roman"/>
          <w:szCs w:val="24"/>
        </w:rPr>
        <w:t xml:space="preserve">among cover crops’ extract; application of </w:t>
      </w:r>
      <w:r w:rsidR="001C484A" w:rsidRPr="00CE1F01">
        <w:rPr>
          <w:rFonts w:ascii="Times New Roman" w:hAnsi="Times New Roman"/>
          <w:szCs w:val="24"/>
        </w:rPr>
        <w:t>h</w:t>
      </w:r>
      <w:r w:rsidR="004B3655" w:rsidRPr="00CE1F01">
        <w:rPr>
          <w:rFonts w:ascii="Times New Roman" w:hAnsi="Times New Roman"/>
          <w:szCs w:val="24"/>
        </w:rPr>
        <w:t xml:space="preserve">airy </w:t>
      </w:r>
      <w:r w:rsidR="001C484A" w:rsidRPr="00CE1F01">
        <w:rPr>
          <w:rFonts w:ascii="Times New Roman" w:hAnsi="Times New Roman"/>
          <w:szCs w:val="24"/>
        </w:rPr>
        <w:t>v</w:t>
      </w:r>
      <w:r w:rsidR="004B3655" w:rsidRPr="00CE1F01">
        <w:rPr>
          <w:rFonts w:ascii="Times New Roman" w:hAnsi="Times New Roman"/>
          <w:szCs w:val="24"/>
        </w:rPr>
        <w:t xml:space="preserve">etch, </w:t>
      </w:r>
      <w:r w:rsidR="001C484A" w:rsidRPr="00CE1F01">
        <w:rPr>
          <w:rFonts w:ascii="Times New Roman" w:hAnsi="Times New Roman"/>
          <w:szCs w:val="24"/>
        </w:rPr>
        <w:t>w</w:t>
      </w:r>
      <w:r w:rsidR="004B3655" w:rsidRPr="00CE1F01">
        <w:rPr>
          <w:rFonts w:ascii="Times New Roman" w:hAnsi="Times New Roman"/>
          <w:szCs w:val="24"/>
        </w:rPr>
        <w:t xml:space="preserve">heat, and </w:t>
      </w:r>
      <w:r w:rsidR="001C484A" w:rsidRPr="00CE1F01">
        <w:rPr>
          <w:rFonts w:ascii="Times New Roman" w:hAnsi="Times New Roman"/>
          <w:szCs w:val="24"/>
        </w:rPr>
        <w:t>w</w:t>
      </w:r>
      <w:r w:rsidR="004B3655" w:rsidRPr="00CE1F01">
        <w:rPr>
          <w:rFonts w:ascii="Times New Roman" w:hAnsi="Times New Roman"/>
          <w:szCs w:val="24"/>
        </w:rPr>
        <w:t xml:space="preserve">inter </w:t>
      </w:r>
      <w:r w:rsidR="001C484A" w:rsidRPr="00CE1F01">
        <w:rPr>
          <w:rFonts w:ascii="Times New Roman" w:hAnsi="Times New Roman"/>
          <w:szCs w:val="24"/>
        </w:rPr>
        <w:t>p</w:t>
      </w:r>
      <w:r w:rsidR="004B3655" w:rsidRPr="00CE1F01">
        <w:rPr>
          <w:rFonts w:ascii="Times New Roman" w:hAnsi="Times New Roman"/>
          <w:szCs w:val="24"/>
        </w:rPr>
        <w:t xml:space="preserve">ea extracts significantly reduced </w:t>
      </w:r>
      <w:proofErr w:type="spellStart"/>
      <w:r w:rsidR="004B3655" w:rsidRPr="00CE1F01">
        <w:rPr>
          <w:rFonts w:ascii="Times New Roman" w:hAnsi="Times New Roman"/>
          <w:szCs w:val="24"/>
        </w:rPr>
        <w:t>goosegrass</w:t>
      </w:r>
      <w:proofErr w:type="spellEnd"/>
      <w:r w:rsidR="004B3655" w:rsidRPr="00CE1F01">
        <w:rPr>
          <w:rFonts w:ascii="Times New Roman" w:hAnsi="Times New Roman"/>
          <w:szCs w:val="24"/>
        </w:rPr>
        <w:t xml:space="preserve"> germination (%) while </w:t>
      </w:r>
      <w:r w:rsidR="001C484A" w:rsidRPr="00CE1F01">
        <w:rPr>
          <w:rFonts w:ascii="Times New Roman" w:hAnsi="Times New Roman"/>
          <w:szCs w:val="24"/>
        </w:rPr>
        <w:t>having</w:t>
      </w:r>
      <w:r w:rsidR="004B3655" w:rsidRPr="00CE1F01">
        <w:rPr>
          <w:rFonts w:ascii="Times New Roman" w:hAnsi="Times New Roman"/>
          <w:szCs w:val="24"/>
        </w:rPr>
        <w:t xml:space="preserve"> no significant impact on soybean germination (%).</w:t>
      </w:r>
      <w:r w:rsidR="001C484A" w:rsidRPr="00CE1F01">
        <w:rPr>
          <w:rFonts w:ascii="Times New Roman" w:hAnsi="Times New Roman"/>
          <w:szCs w:val="24"/>
        </w:rPr>
        <w:t xml:space="preserve"> However, it is important to note when selecting species, </w:t>
      </w:r>
      <w:r w:rsidR="004B3655" w:rsidRPr="00CE1F01">
        <w:rPr>
          <w:rFonts w:ascii="Times New Roman" w:hAnsi="Times New Roman"/>
          <w:bCs/>
          <w:szCs w:val="24"/>
        </w:rPr>
        <w:t>location and environment may change cover crops’ allelopathic potential.</w:t>
      </w:r>
      <w:r w:rsidR="001C484A" w:rsidRPr="00CE1F01">
        <w:rPr>
          <w:rFonts w:ascii="Times New Roman" w:hAnsi="Times New Roman"/>
          <w:szCs w:val="24"/>
        </w:rPr>
        <w:t xml:space="preserve"> Future work will involve c</w:t>
      </w:r>
      <w:r w:rsidR="004B3655" w:rsidRPr="00CE1F01">
        <w:rPr>
          <w:rFonts w:ascii="Times New Roman" w:hAnsi="Times New Roman"/>
          <w:szCs w:val="24"/>
        </w:rPr>
        <w:t xml:space="preserve">ollecting more seeds from different weed species including </w:t>
      </w:r>
      <w:proofErr w:type="spellStart"/>
      <w:r w:rsidR="004B3655" w:rsidRPr="00CE1F01">
        <w:rPr>
          <w:rFonts w:ascii="Times New Roman" w:hAnsi="Times New Roman"/>
          <w:szCs w:val="24"/>
        </w:rPr>
        <w:t>barnyardgrass</w:t>
      </w:r>
      <w:proofErr w:type="spellEnd"/>
      <w:r w:rsidR="004B3655" w:rsidRPr="00CE1F01">
        <w:rPr>
          <w:rFonts w:ascii="Times New Roman" w:hAnsi="Times New Roman"/>
          <w:szCs w:val="24"/>
        </w:rPr>
        <w:t xml:space="preserve">, pigweed, and </w:t>
      </w:r>
      <w:proofErr w:type="spellStart"/>
      <w:r w:rsidR="004B3655" w:rsidRPr="00CE1F01">
        <w:rPr>
          <w:rFonts w:ascii="Times New Roman" w:hAnsi="Times New Roman"/>
          <w:szCs w:val="24"/>
        </w:rPr>
        <w:t>junglerice</w:t>
      </w:r>
      <w:proofErr w:type="spellEnd"/>
      <w:r w:rsidR="004B3655" w:rsidRPr="00CE1F01">
        <w:rPr>
          <w:rFonts w:ascii="Times New Roman" w:hAnsi="Times New Roman"/>
          <w:szCs w:val="24"/>
        </w:rPr>
        <w:t xml:space="preserve"> for further weeds germination test under application of cover crops’ extracts</w:t>
      </w:r>
      <w:r w:rsidR="001C484A" w:rsidRPr="00CE1F01">
        <w:rPr>
          <w:rFonts w:ascii="Times New Roman" w:hAnsi="Times New Roman"/>
          <w:szCs w:val="24"/>
        </w:rPr>
        <w:t>, u</w:t>
      </w:r>
      <w:r w:rsidR="004B3655" w:rsidRPr="00CE1F01">
        <w:rPr>
          <w:rFonts w:ascii="Times New Roman" w:hAnsi="Times New Roman"/>
          <w:szCs w:val="24"/>
        </w:rPr>
        <w:t>sing a new technique to extract cover crop chemical compounds called: ‘Green cover crops product’</w:t>
      </w:r>
      <w:r w:rsidR="001C484A" w:rsidRPr="00CE1F01">
        <w:rPr>
          <w:rFonts w:ascii="Times New Roman" w:hAnsi="Times New Roman"/>
          <w:szCs w:val="24"/>
        </w:rPr>
        <w:t>, and t</w:t>
      </w:r>
      <w:r w:rsidR="004B3655" w:rsidRPr="00CE1F01">
        <w:rPr>
          <w:rFonts w:ascii="Times New Roman" w:hAnsi="Times New Roman"/>
          <w:szCs w:val="24"/>
        </w:rPr>
        <w:t xml:space="preserve">esting varying levels of cover crops’ extract on soybean seeds and monitoring the plant growth and development after application of cover crops’ extract in the greenhouse; a step further than only germination and seedling growth. </w:t>
      </w:r>
    </w:p>
    <w:p w14:paraId="507B97AD" w14:textId="77777777" w:rsidR="004B3655" w:rsidRPr="00CE1F01" w:rsidRDefault="004B3655" w:rsidP="00CE1F01">
      <w:pPr>
        <w:rPr>
          <w:rFonts w:ascii="Times New Roman" w:hAnsi="Times New Roman"/>
          <w:szCs w:val="24"/>
        </w:rPr>
      </w:pPr>
    </w:p>
    <w:p w14:paraId="52ADEA6F" w14:textId="617FC8BA" w:rsidR="00D57E62" w:rsidRPr="00CE1F01" w:rsidRDefault="00D57E62" w:rsidP="00CE1F01">
      <w:pPr>
        <w:rPr>
          <w:rFonts w:ascii="Times New Roman" w:hAnsi="Times New Roman"/>
          <w:szCs w:val="24"/>
        </w:rPr>
      </w:pPr>
    </w:p>
    <w:p w14:paraId="7E445F75" w14:textId="70069D02" w:rsidR="007D2D96" w:rsidRPr="00CE1F01" w:rsidRDefault="007D2D96" w:rsidP="00CE1F01">
      <w:pPr>
        <w:rPr>
          <w:rFonts w:ascii="Times New Roman" w:hAnsi="Times New Roman"/>
          <w:b/>
          <w:szCs w:val="24"/>
        </w:rPr>
      </w:pPr>
      <w:r w:rsidRPr="00CE1F01">
        <w:rPr>
          <w:rFonts w:ascii="Times New Roman" w:hAnsi="Times New Roman"/>
          <w:b/>
          <w:szCs w:val="24"/>
        </w:rPr>
        <w:t>Extension and Outreach</w:t>
      </w:r>
    </w:p>
    <w:p w14:paraId="358CD6E1" w14:textId="77777777" w:rsidR="0087151E" w:rsidRPr="00CE1F01" w:rsidRDefault="0087151E" w:rsidP="00CE1F01">
      <w:pPr>
        <w:rPr>
          <w:rFonts w:ascii="Times New Roman" w:hAnsi="Times New Roman"/>
          <w:szCs w:val="24"/>
        </w:rPr>
      </w:pPr>
      <w:r w:rsidRPr="00CE1F01">
        <w:rPr>
          <w:rFonts w:ascii="Times New Roman" w:hAnsi="Times New Roman"/>
          <w:szCs w:val="24"/>
        </w:rPr>
        <w:tab/>
        <w:t xml:space="preserve">In 2019, results from this study were shared at eight Extension events and were presented as poster or oral presentations at five scientific meetings. A popular press article was posted to news.utcrops.com and an Extension publication is currently in review.  A scientific journal article, targeted towards Agronomy Journal, is in preparation to be submitted in 2020. </w:t>
      </w:r>
    </w:p>
    <w:p w14:paraId="11A1CF69" w14:textId="77777777" w:rsidR="0087151E" w:rsidRPr="00CE1F01" w:rsidRDefault="0087151E" w:rsidP="00CE1F01">
      <w:pPr>
        <w:rPr>
          <w:rFonts w:ascii="Times New Roman" w:hAnsi="Times New Roman"/>
          <w:szCs w:val="24"/>
        </w:rPr>
      </w:pPr>
    </w:p>
    <w:tbl>
      <w:tblPr>
        <w:tblW w:w="8660" w:type="dxa"/>
        <w:tblLook w:val="04A0" w:firstRow="1" w:lastRow="0" w:firstColumn="1" w:lastColumn="0" w:noHBand="0" w:noVBand="1"/>
      </w:tblPr>
      <w:tblGrid>
        <w:gridCol w:w="1020"/>
        <w:gridCol w:w="7640"/>
      </w:tblGrid>
      <w:tr w:rsidR="0087151E" w:rsidRPr="00CE1F01" w14:paraId="1C15CC63" w14:textId="77777777" w:rsidTr="0087151E">
        <w:trPr>
          <w:trHeight w:val="308"/>
        </w:trPr>
        <w:tc>
          <w:tcPr>
            <w:tcW w:w="8660" w:type="dxa"/>
            <w:gridSpan w:val="2"/>
            <w:tcBorders>
              <w:top w:val="nil"/>
              <w:left w:val="nil"/>
              <w:bottom w:val="nil"/>
              <w:right w:val="nil"/>
            </w:tcBorders>
            <w:shd w:val="clear" w:color="auto" w:fill="auto"/>
            <w:noWrap/>
            <w:hideMark/>
          </w:tcPr>
          <w:p w14:paraId="034C2AE2"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Extension Presentations</w:t>
            </w:r>
          </w:p>
        </w:tc>
      </w:tr>
      <w:tr w:rsidR="0087151E" w:rsidRPr="00CE1F01" w14:paraId="09B66253" w14:textId="77777777" w:rsidTr="0087151E">
        <w:trPr>
          <w:trHeight w:val="923"/>
        </w:trPr>
        <w:tc>
          <w:tcPr>
            <w:tcW w:w="1020" w:type="dxa"/>
            <w:tcBorders>
              <w:top w:val="nil"/>
              <w:left w:val="nil"/>
              <w:bottom w:val="nil"/>
              <w:right w:val="nil"/>
            </w:tcBorders>
            <w:shd w:val="clear" w:color="auto" w:fill="auto"/>
            <w:noWrap/>
            <w:hideMark/>
          </w:tcPr>
          <w:p w14:paraId="0B4EB2DC"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1</w:t>
            </w:r>
          </w:p>
        </w:tc>
        <w:tc>
          <w:tcPr>
            <w:tcW w:w="7640" w:type="dxa"/>
            <w:tcBorders>
              <w:top w:val="nil"/>
              <w:left w:val="nil"/>
              <w:bottom w:val="nil"/>
              <w:right w:val="nil"/>
            </w:tcBorders>
            <w:shd w:val="clear" w:color="auto" w:fill="auto"/>
            <w:hideMark/>
          </w:tcPr>
          <w:p w14:paraId="65305193"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 xml:space="preserve">Sykes, V.R. </w:t>
            </w:r>
            <w:r w:rsidRPr="00CE1F01">
              <w:rPr>
                <w:rFonts w:ascii="Times New Roman" w:hAnsi="Times New Roman"/>
                <w:snapToGrid/>
                <w:color w:val="000000"/>
                <w:szCs w:val="24"/>
              </w:rPr>
              <w:t>and</w:t>
            </w:r>
            <w:r w:rsidRPr="00CE1F01">
              <w:rPr>
                <w:rFonts w:ascii="Times New Roman" w:hAnsi="Times New Roman"/>
                <w:b/>
                <w:bCs/>
                <w:snapToGrid/>
                <w:color w:val="000000"/>
                <w:szCs w:val="24"/>
              </w:rPr>
              <w:t xml:space="preserve"> W. Bracey*</w:t>
            </w:r>
            <w:r w:rsidRPr="00CE1F01">
              <w:rPr>
                <w:rFonts w:ascii="Times New Roman" w:hAnsi="Times New Roman"/>
                <w:snapToGrid/>
                <w:color w:val="000000"/>
                <w:szCs w:val="24"/>
              </w:rPr>
              <w:t>. Cover Crop Species Selection: Right Time, Right Place. Climate Change Adaptation In-service. Milan, TN. 27 Mar. 2019.</w:t>
            </w:r>
          </w:p>
        </w:tc>
      </w:tr>
      <w:tr w:rsidR="0087151E" w:rsidRPr="00CE1F01" w14:paraId="4CDB2927" w14:textId="77777777" w:rsidTr="0087151E">
        <w:trPr>
          <w:trHeight w:val="923"/>
        </w:trPr>
        <w:tc>
          <w:tcPr>
            <w:tcW w:w="1020" w:type="dxa"/>
            <w:tcBorders>
              <w:top w:val="nil"/>
              <w:left w:val="nil"/>
              <w:bottom w:val="nil"/>
              <w:right w:val="nil"/>
            </w:tcBorders>
            <w:shd w:val="clear" w:color="auto" w:fill="auto"/>
            <w:noWrap/>
            <w:hideMark/>
          </w:tcPr>
          <w:p w14:paraId="34E6CF89"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2</w:t>
            </w:r>
          </w:p>
        </w:tc>
        <w:tc>
          <w:tcPr>
            <w:tcW w:w="7640" w:type="dxa"/>
            <w:tcBorders>
              <w:top w:val="nil"/>
              <w:left w:val="nil"/>
              <w:bottom w:val="nil"/>
              <w:right w:val="nil"/>
            </w:tcBorders>
            <w:shd w:val="clear" w:color="auto" w:fill="auto"/>
            <w:hideMark/>
          </w:tcPr>
          <w:p w14:paraId="15B49C41"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 xml:space="preserve">Sykes, V.R. </w:t>
            </w:r>
            <w:r w:rsidRPr="00CE1F01">
              <w:rPr>
                <w:rFonts w:ascii="Times New Roman" w:hAnsi="Times New Roman"/>
                <w:snapToGrid/>
                <w:color w:val="000000"/>
                <w:szCs w:val="24"/>
              </w:rPr>
              <w:t>and</w:t>
            </w:r>
            <w:r w:rsidRPr="00CE1F01">
              <w:rPr>
                <w:rFonts w:ascii="Times New Roman" w:hAnsi="Times New Roman"/>
                <w:b/>
                <w:bCs/>
                <w:snapToGrid/>
                <w:color w:val="000000"/>
                <w:szCs w:val="24"/>
              </w:rPr>
              <w:t xml:space="preserve"> W. Bracey*</w:t>
            </w:r>
            <w:r w:rsidRPr="00CE1F01">
              <w:rPr>
                <w:rFonts w:ascii="Times New Roman" w:hAnsi="Times New Roman"/>
                <w:snapToGrid/>
                <w:color w:val="000000"/>
                <w:szCs w:val="24"/>
              </w:rPr>
              <w:t>. Cover Crop Species Selection: Right Time, Right Place. Climate Change Adaptation In-service. Spring Hill, TN. 29 Mar. 2019.</w:t>
            </w:r>
          </w:p>
        </w:tc>
      </w:tr>
      <w:tr w:rsidR="0087151E" w:rsidRPr="00CE1F01" w14:paraId="262235B2" w14:textId="77777777" w:rsidTr="0087151E">
        <w:trPr>
          <w:trHeight w:val="615"/>
        </w:trPr>
        <w:tc>
          <w:tcPr>
            <w:tcW w:w="1020" w:type="dxa"/>
            <w:tcBorders>
              <w:top w:val="nil"/>
              <w:left w:val="nil"/>
              <w:bottom w:val="nil"/>
              <w:right w:val="nil"/>
            </w:tcBorders>
            <w:shd w:val="clear" w:color="auto" w:fill="auto"/>
            <w:noWrap/>
            <w:hideMark/>
          </w:tcPr>
          <w:p w14:paraId="0EC69836"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3</w:t>
            </w:r>
          </w:p>
        </w:tc>
        <w:tc>
          <w:tcPr>
            <w:tcW w:w="7640" w:type="dxa"/>
            <w:tcBorders>
              <w:top w:val="nil"/>
              <w:left w:val="nil"/>
              <w:bottom w:val="nil"/>
              <w:right w:val="nil"/>
            </w:tcBorders>
            <w:shd w:val="clear" w:color="auto" w:fill="auto"/>
            <w:hideMark/>
          </w:tcPr>
          <w:p w14:paraId="73C9F754"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 xml:space="preserve">Sykes, V.R., </w:t>
            </w:r>
            <w:r w:rsidRPr="00CE1F01">
              <w:rPr>
                <w:rFonts w:ascii="Times New Roman" w:hAnsi="Times New Roman"/>
                <w:snapToGrid/>
                <w:color w:val="000000"/>
                <w:szCs w:val="24"/>
              </w:rPr>
              <w:t>Nutrient cycling: the long and short of cover cropping systems, Southern Cover Crops Council Conference, Auburn, AL, 15-17 July 2019</w:t>
            </w:r>
            <w:r w:rsidRPr="00CE1F01">
              <w:rPr>
                <w:rFonts w:ascii="Times New Roman" w:hAnsi="Times New Roman"/>
                <w:b/>
                <w:bCs/>
                <w:snapToGrid/>
                <w:color w:val="000000"/>
                <w:szCs w:val="24"/>
              </w:rPr>
              <w:t>.</w:t>
            </w:r>
          </w:p>
        </w:tc>
      </w:tr>
      <w:tr w:rsidR="0087151E" w:rsidRPr="00CE1F01" w14:paraId="7C21D23F" w14:textId="77777777" w:rsidTr="0087151E">
        <w:trPr>
          <w:trHeight w:val="615"/>
        </w:trPr>
        <w:tc>
          <w:tcPr>
            <w:tcW w:w="1020" w:type="dxa"/>
            <w:tcBorders>
              <w:top w:val="nil"/>
              <w:left w:val="nil"/>
              <w:bottom w:val="nil"/>
              <w:right w:val="nil"/>
            </w:tcBorders>
            <w:shd w:val="clear" w:color="auto" w:fill="auto"/>
            <w:noWrap/>
            <w:hideMark/>
          </w:tcPr>
          <w:p w14:paraId="0972C1F6"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4</w:t>
            </w:r>
          </w:p>
        </w:tc>
        <w:tc>
          <w:tcPr>
            <w:tcW w:w="7640" w:type="dxa"/>
            <w:tcBorders>
              <w:top w:val="nil"/>
              <w:left w:val="nil"/>
              <w:bottom w:val="nil"/>
              <w:right w:val="nil"/>
            </w:tcBorders>
            <w:shd w:val="clear" w:color="auto" w:fill="auto"/>
            <w:hideMark/>
          </w:tcPr>
          <w:p w14:paraId="1287BB1C"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Sykes, V.R</w:t>
            </w:r>
            <w:r w:rsidRPr="00CE1F01">
              <w:rPr>
                <w:rFonts w:ascii="Times New Roman" w:hAnsi="Times New Roman"/>
                <w:snapToGrid/>
                <w:color w:val="000000"/>
                <w:szCs w:val="24"/>
              </w:rPr>
              <w:t>. Cover Crop Species Selection. Row Crops Hot Topic. 6 Sept. 2019.</w:t>
            </w:r>
          </w:p>
        </w:tc>
      </w:tr>
      <w:tr w:rsidR="0087151E" w:rsidRPr="00CE1F01" w14:paraId="5445CC18" w14:textId="77777777" w:rsidTr="0087151E">
        <w:trPr>
          <w:trHeight w:val="615"/>
        </w:trPr>
        <w:tc>
          <w:tcPr>
            <w:tcW w:w="1020" w:type="dxa"/>
            <w:tcBorders>
              <w:top w:val="nil"/>
              <w:left w:val="nil"/>
              <w:bottom w:val="nil"/>
              <w:right w:val="nil"/>
            </w:tcBorders>
            <w:shd w:val="clear" w:color="auto" w:fill="auto"/>
            <w:noWrap/>
            <w:hideMark/>
          </w:tcPr>
          <w:p w14:paraId="388BBA1E"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lastRenderedPageBreak/>
              <w:t>5</w:t>
            </w:r>
          </w:p>
        </w:tc>
        <w:tc>
          <w:tcPr>
            <w:tcW w:w="7640" w:type="dxa"/>
            <w:tcBorders>
              <w:top w:val="nil"/>
              <w:left w:val="nil"/>
              <w:bottom w:val="nil"/>
              <w:right w:val="nil"/>
            </w:tcBorders>
            <w:shd w:val="clear" w:color="auto" w:fill="auto"/>
            <w:hideMark/>
          </w:tcPr>
          <w:p w14:paraId="636FD4DB"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 xml:space="preserve">Sykes, V.R. </w:t>
            </w:r>
            <w:r w:rsidRPr="00CE1F01">
              <w:rPr>
                <w:rFonts w:ascii="Times New Roman" w:hAnsi="Times New Roman"/>
                <w:snapToGrid/>
                <w:color w:val="000000"/>
                <w:szCs w:val="24"/>
              </w:rPr>
              <w:t xml:space="preserve">Call of the Week: The 2019/20 Cover Crop Season. Podcast by </w:t>
            </w:r>
            <w:proofErr w:type="spellStart"/>
            <w:r w:rsidRPr="00CE1F01">
              <w:rPr>
                <w:rFonts w:ascii="Times New Roman" w:hAnsi="Times New Roman"/>
                <w:snapToGrid/>
                <w:color w:val="000000"/>
                <w:szCs w:val="24"/>
              </w:rPr>
              <w:t>UTIAg</w:t>
            </w:r>
            <w:proofErr w:type="spellEnd"/>
            <w:r w:rsidRPr="00CE1F01">
              <w:rPr>
                <w:rFonts w:ascii="Times New Roman" w:hAnsi="Times New Roman"/>
                <w:snapToGrid/>
                <w:color w:val="000000"/>
                <w:szCs w:val="24"/>
              </w:rPr>
              <w:t>. 25 Sept. 2019.</w:t>
            </w:r>
          </w:p>
        </w:tc>
      </w:tr>
      <w:tr w:rsidR="0087151E" w:rsidRPr="00CE1F01" w14:paraId="34CF5641" w14:textId="77777777" w:rsidTr="0087151E">
        <w:trPr>
          <w:trHeight w:val="615"/>
        </w:trPr>
        <w:tc>
          <w:tcPr>
            <w:tcW w:w="1020" w:type="dxa"/>
            <w:tcBorders>
              <w:top w:val="nil"/>
              <w:left w:val="nil"/>
              <w:bottom w:val="nil"/>
              <w:right w:val="nil"/>
            </w:tcBorders>
            <w:shd w:val="clear" w:color="auto" w:fill="auto"/>
            <w:noWrap/>
            <w:hideMark/>
          </w:tcPr>
          <w:p w14:paraId="14B39C33"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6</w:t>
            </w:r>
          </w:p>
        </w:tc>
        <w:tc>
          <w:tcPr>
            <w:tcW w:w="7640" w:type="dxa"/>
            <w:tcBorders>
              <w:top w:val="nil"/>
              <w:left w:val="nil"/>
              <w:bottom w:val="nil"/>
              <w:right w:val="nil"/>
            </w:tcBorders>
            <w:shd w:val="clear" w:color="auto" w:fill="auto"/>
            <w:hideMark/>
          </w:tcPr>
          <w:p w14:paraId="497BFE15"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 xml:space="preserve">Sykes, V.R. </w:t>
            </w:r>
            <w:r w:rsidRPr="00CE1F01">
              <w:rPr>
                <w:rFonts w:ascii="Times New Roman" w:hAnsi="Times New Roman"/>
                <w:snapToGrid/>
                <w:color w:val="000000"/>
                <w:szCs w:val="24"/>
              </w:rPr>
              <w:t xml:space="preserve">Grazing Cover Crops. Tennessee Forage and Grassland Council. Murfreesboro, TN. 8 Nov. 2019. </w:t>
            </w:r>
          </w:p>
        </w:tc>
      </w:tr>
      <w:tr w:rsidR="0087151E" w:rsidRPr="00CE1F01" w14:paraId="112D845E" w14:textId="77777777" w:rsidTr="0087151E">
        <w:trPr>
          <w:trHeight w:val="615"/>
        </w:trPr>
        <w:tc>
          <w:tcPr>
            <w:tcW w:w="1020" w:type="dxa"/>
            <w:tcBorders>
              <w:top w:val="nil"/>
              <w:left w:val="nil"/>
              <w:bottom w:val="nil"/>
              <w:right w:val="nil"/>
            </w:tcBorders>
            <w:shd w:val="clear" w:color="auto" w:fill="auto"/>
            <w:noWrap/>
            <w:hideMark/>
          </w:tcPr>
          <w:p w14:paraId="112CC14D"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7</w:t>
            </w:r>
          </w:p>
        </w:tc>
        <w:tc>
          <w:tcPr>
            <w:tcW w:w="7640" w:type="dxa"/>
            <w:tcBorders>
              <w:top w:val="nil"/>
              <w:left w:val="nil"/>
              <w:bottom w:val="nil"/>
              <w:right w:val="nil"/>
            </w:tcBorders>
            <w:shd w:val="clear" w:color="auto" w:fill="auto"/>
            <w:hideMark/>
          </w:tcPr>
          <w:p w14:paraId="7D005799"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Sykes, V.R.</w:t>
            </w:r>
            <w:r w:rsidRPr="00CE1F01">
              <w:rPr>
                <w:rFonts w:ascii="Times New Roman" w:hAnsi="Times New Roman"/>
                <w:snapToGrid/>
                <w:color w:val="000000"/>
                <w:szCs w:val="24"/>
              </w:rPr>
              <w:t>, Variety Testing and Agroecology Program Update, Statewide Row Crops In-Service, Jackson, TN, 12-13 Dec. 2019</w:t>
            </w:r>
          </w:p>
        </w:tc>
      </w:tr>
      <w:tr w:rsidR="0087151E" w:rsidRPr="00CE1F01" w14:paraId="26027391" w14:textId="77777777" w:rsidTr="0087151E">
        <w:trPr>
          <w:trHeight w:val="615"/>
        </w:trPr>
        <w:tc>
          <w:tcPr>
            <w:tcW w:w="1020" w:type="dxa"/>
            <w:tcBorders>
              <w:top w:val="nil"/>
              <w:left w:val="nil"/>
              <w:bottom w:val="nil"/>
              <w:right w:val="nil"/>
            </w:tcBorders>
            <w:shd w:val="clear" w:color="auto" w:fill="auto"/>
            <w:noWrap/>
            <w:hideMark/>
          </w:tcPr>
          <w:p w14:paraId="1A3BC053"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8</w:t>
            </w:r>
          </w:p>
        </w:tc>
        <w:tc>
          <w:tcPr>
            <w:tcW w:w="7640" w:type="dxa"/>
            <w:tcBorders>
              <w:top w:val="nil"/>
              <w:left w:val="nil"/>
              <w:bottom w:val="nil"/>
              <w:right w:val="nil"/>
            </w:tcBorders>
            <w:shd w:val="clear" w:color="auto" w:fill="auto"/>
            <w:hideMark/>
          </w:tcPr>
          <w:p w14:paraId="014DF025"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Sykes, V.R.</w:t>
            </w:r>
            <w:r w:rsidRPr="00CE1F01">
              <w:rPr>
                <w:rFonts w:ascii="Times New Roman" w:hAnsi="Times New Roman"/>
                <w:snapToGrid/>
                <w:color w:val="000000"/>
                <w:szCs w:val="24"/>
              </w:rPr>
              <w:t>, Grazing Cover Crops, UT Beef and Forage Center Annual Research and Recommendation Meeting, Knoxville, TN, 17 Dec. 2019</w:t>
            </w:r>
          </w:p>
        </w:tc>
      </w:tr>
      <w:tr w:rsidR="0087151E" w:rsidRPr="00CE1F01" w14:paraId="38C6A6F3" w14:textId="77777777" w:rsidTr="0087151E">
        <w:trPr>
          <w:trHeight w:val="308"/>
        </w:trPr>
        <w:tc>
          <w:tcPr>
            <w:tcW w:w="1020" w:type="dxa"/>
            <w:tcBorders>
              <w:top w:val="nil"/>
              <w:left w:val="nil"/>
              <w:bottom w:val="nil"/>
              <w:right w:val="nil"/>
            </w:tcBorders>
            <w:shd w:val="clear" w:color="auto" w:fill="auto"/>
            <w:noWrap/>
            <w:hideMark/>
          </w:tcPr>
          <w:p w14:paraId="47183707" w14:textId="77777777" w:rsidR="0087151E" w:rsidRPr="00CE1F01" w:rsidRDefault="0087151E" w:rsidP="00CE1F01">
            <w:pPr>
              <w:widowControl/>
              <w:rPr>
                <w:rFonts w:ascii="Times New Roman" w:hAnsi="Times New Roman"/>
                <w:b/>
                <w:bCs/>
                <w:snapToGrid/>
                <w:color w:val="000000"/>
                <w:szCs w:val="24"/>
              </w:rPr>
            </w:pPr>
          </w:p>
        </w:tc>
        <w:tc>
          <w:tcPr>
            <w:tcW w:w="7640" w:type="dxa"/>
            <w:tcBorders>
              <w:top w:val="nil"/>
              <w:left w:val="nil"/>
              <w:bottom w:val="nil"/>
              <w:right w:val="nil"/>
            </w:tcBorders>
            <w:shd w:val="clear" w:color="auto" w:fill="auto"/>
            <w:noWrap/>
            <w:hideMark/>
          </w:tcPr>
          <w:p w14:paraId="0703D31D" w14:textId="77777777" w:rsidR="0087151E" w:rsidRPr="00CE1F01" w:rsidRDefault="0087151E" w:rsidP="00CE1F01">
            <w:pPr>
              <w:widowControl/>
              <w:rPr>
                <w:rFonts w:ascii="Times New Roman" w:hAnsi="Times New Roman"/>
                <w:snapToGrid/>
                <w:szCs w:val="24"/>
              </w:rPr>
            </w:pPr>
          </w:p>
        </w:tc>
      </w:tr>
      <w:tr w:rsidR="0087151E" w:rsidRPr="00CE1F01" w14:paraId="4A63A203" w14:textId="77777777" w:rsidTr="0087151E">
        <w:trPr>
          <w:trHeight w:val="308"/>
        </w:trPr>
        <w:tc>
          <w:tcPr>
            <w:tcW w:w="8660" w:type="dxa"/>
            <w:gridSpan w:val="2"/>
            <w:tcBorders>
              <w:top w:val="nil"/>
              <w:left w:val="nil"/>
              <w:bottom w:val="nil"/>
              <w:right w:val="nil"/>
            </w:tcBorders>
            <w:shd w:val="clear" w:color="auto" w:fill="auto"/>
            <w:noWrap/>
            <w:hideMark/>
          </w:tcPr>
          <w:p w14:paraId="5FF4B8D5"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Papers or extended abstracts published in conference proceedings</w:t>
            </w:r>
          </w:p>
        </w:tc>
      </w:tr>
      <w:tr w:rsidR="0087151E" w:rsidRPr="00CE1F01" w14:paraId="252F1ABF" w14:textId="77777777" w:rsidTr="0087151E">
        <w:trPr>
          <w:trHeight w:val="1230"/>
        </w:trPr>
        <w:tc>
          <w:tcPr>
            <w:tcW w:w="1020" w:type="dxa"/>
            <w:tcBorders>
              <w:top w:val="nil"/>
              <w:left w:val="nil"/>
              <w:bottom w:val="nil"/>
              <w:right w:val="nil"/>
            </w:tcBorders>
            <w:shd w:val="clear" w:color="auto" w:fill="auto"/>
            <w:noWrap/>
            <w:hideMark/>
          </w:tcPr>
          <w:p w14:paraId="6B4B36BD"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5</w:t>
            </w:r>
          </w:p>
        </w:tc>
        <w:tc>
          <w:tcPr>
            <w:tcW w:w="7640" w:type="dxa"/>
            <w:tcBorders>
              <w:top w:val="nil"/>
              <w:left w:val="nil"/>
              <w:bottom w:val="nil"/>
              <w:right w:val="nil"/>
            </w:tcBorders>
            <w:shd w:val="clear" w:color="auto" w:fill="auto"/>
            <w:hideMark/>
          </w:tcPr>
          <w:p w14:paraId="3F7FCED8"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b/>
                <w:bCs/>
                <w:snapToGrid/>
                <w:color w:val="000000"/>
                <w:szCs w:val="24"/>
              </w:rPr>
              <w:t>Bracey, W.*</w:t>
            </w:r>
            <w:r w:rsidRPr="00CE1F01">
              <w:rPr>
                <w:rFonts w:ascii="Times New Roman" w:hAnsi="Times New Roman"/>
                <w:snapToGrid/>
                <w:color w:val="000000"/>
                <w:szCs w:val="24"/>
              </w:rPr>
              <w:t xml:space="preserve">, </w:t>
            </w:r>
            <w:r w:rsidRPr="00CE1F01">
              <w:rPr>
                <w:rFonts w:ascii="Times New Roman" w:hAnsi="Times New Roman"/>
                <w:b/>
                <w:bCs/>
                <w:snapToGrid/>
                <w:color w:val="000000"/>
                <w:szCs w:val="24"/>
              </w:rPr>
              <w:t>V.R. Sykes</w:t>
            </w:r>
            <w:r w:rsidRPr="00CE1F01">
              <w:rPr>
                <w:rFonts w:ascii="Times New Roman" w:hAnsi="Times New Roman"/>
                <w:snapToGrid/>
                <w:color w:val="000000"/>
                <w:szCs w:val="24"/>
              </w:rPr>
              <w:t>, G. Bates, X. Yin, L. Steckel, D. Butler, R. Nave. Comparison of dual-use and single-use cover crops in no-till Tennessee production systems. Southern Cover Crops Council Conference. 16-17 July, 2019. Auburn, AL.</w:t>
            </w:r>
          </w:p>
        </w:tc>
      </w:tr>
      <w:tr w:rsidR="0087151E" w:rsidRPr="00CE1F01" w14:paraId="75DF3CCD" w14:textId="77777777" w:rsidTr="0087151E">
        <w:trPr>
          <w:trHeight w:val="1230"/>
        </w:trPr>
        <w:tc>
          <w:tcPr>
            <w:tcW w:w="1020" w:type="dxa"/>
            <w:tcBorders>
              <w:top w:val="nil"/>
              <w:left w:val="nil"/>
              <w:bottom w:val="nil"/>
              <w:right w:val="nil"/>
            </w:tcBorders>
            <w:shd w:val="clear" w:color="auto" w:fill="auto"/>
            <w:noWrap/>
            <w:hideMark/>
          </w:tcPr>
          <w:p w14:paraId="1B21E8E8"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2</w:t>
            </w:r>
          </w:p>
        </w:tc>
        <w:tc>
          <w:tcPr>
            <w:tcW w:w="7640" w:type="dxa"/>
            <w:tcBorders>
              <w:top w:val="nil"/>
              <w:left w:val="nil"/>
              <w:bottom w:val="nil"/>
              <w:right w:val="nil"/>
            </w:tcBorders>
            <w:shd w:val="clear" w:color="auto" w:fill="auto"/>
            <w:hideMark/>
          </w:tcPr>
          <w:p w14:paraId="7EF0C5BF"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b/>
                <w:bCs/>
                <w:snapToGrid/>
                <w:color w:val="000000"/>
                <w:szCs w:val="24"/>
              </w:rPr>
              <w:t>Bracey, W.*</w:t>
            </w:r>
            <w:r w:rsidRPr="00CE1F01">
              <w:rPr>
                <w:rFonts w:ascii="Times New Roman" w:hAnsi="Times New Roman"/>
                <w:snapToGrid/>
                <w:color w:val="000000"/>
                <w:szCs w:val="24"/>
              </w:rPr>
              <w:t xml:space="preserve">, </w:t>
            </w:r>
            <w:r w:rsidRPr="00CE1F01">
              <w:rPr>
                <w:rFonts w:ascii="Times New Roman" w:hAnsi="Times New Roman"/>
                <w:b/>
                <w:bCs/>
                <w:snapToGrid/>
                <w:color w:val="000000"/>
                <w:szCs w:val="24"/>
              </w:rPr>
              <w:t>V.R. Sykes</w:t>
            </w:r>
            <w:r w:rsidRPr="00CE1F01">
              <w:rPr>
                <w:rFonts w:ascii="Times New Roman" w:hAnsi="Times New Roman"/>
                <w:snapToGrid/>
                <w:color w:val="000000"/>
                <w:szCs w:val="24"/>
              </w:rPr>
              <w:t>, G. Bates, X. Yin, L. Steckel, D. Butler, R. Nave. Comparison of dual-use and single-use cover crops in no-till Tennessee production systems. ACS Annual Meeting. 10-13 Nov. 2019. San Antonio, TX.</w:t>
            </w:r>
          </w:p>
        </w:tc>
      </w:tr>
      <w:tr w:rsidR="0087151E" w:rsidRPr="00CE1F01" w14:paraId="181AEB41" w14:textId="77777777" w:rsidTr="0087151E">
        <w:trPr>
          <w:trHeight w:val="923"/>
        </w:trPr>
        <w:tc>
          <w:tcPr>
            <w:tcW w:w="1020" w:type="dxa"/>
            <w:tcBorders>
              <w:top w:val="nil"/>
              <w:left w:val="nil"/>
              <w:bottom w:val="nil"/>
              <w:right w:val="nil"/>
            </w:tcBorders>
            <w:shd w:val="clear" w:color="auto" w:fill="auto"/>
            <w:noWrap/>
            <w:hideMark/>
          </w:tcPr>
          <w:p w14:paraId="102C6D9A"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3</w:t>
            </w:r>
          </w:p>
        </w:tc>
        <w:tc>
          <w:tcPr>
            <w:tcW w:w="7640" w:type="dxa"/>
            <w:tcBorders>
              <w:top w:val="nil"/>
              <w:left w:val="nil"/>
              <w:bottom w:val="nil"/>
              <w:right w:val="nil"/>
            </w:tcBorders>
            <w:shd w:val="clear" w:color="auto" w:fill="auto"/>
            <w:hideMark/>
          </w:tcPr>
          <w:p w14:paraId="13755A6E"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 xml:space="preserve">Longmire, M., J. Grant, S. Stewart, </w:t>
            </w:r>
            <w:r w:rsidRPr="00CE1F01">
              <w:rPr>
                <w:rFonts w:ascii="Times New Roman" w:hAnsi="Times New Roman"/>
                <w:b/>
                <w:bCs/>
                <w:snapToGrid/>
                <w:color w:val="000000"/>
                <w:szCs w:val="24"/>
              </w:rPr>
              <w:t>V. Sykes</w:t>
            </w:r>
            <w:r w:rsidRPr="00CE1F01">
              <w:rPr>
                <w:rFonts w:ascii="Times New Roman" w:hAnsi="Times New Roman"/>
                <w:snapToGrid/>
                <w:color w:val="000000"/>
                <w:szCs w:val="24"/>
              </w:rPr>
              <w:t xml:space="preserve">. 2019. Slugs and Bugs: The Thugs of Soybean Communities. Entomology 2019. 17 - 20 Nov 2019. St. Louis, MS. </w:t>
            </w:r>
          </w:p>
        </w:tc>
      </w:tr>
      <w:tr w:rsidR="0087151E" w:rsidRPr="00CE1F01" w14:paraId="0E302D5A" w14:textId="77777777" w:rsidTr="0087151E">
        <w:trPr>
          <w:trHeight w:val="923"/>
        </w:trPr>
        <w:tc>
          <w:tcPr>
            <w:tcW w:w="1020" w:type="dxa"/>
            <w:tcBorders>
              <w:top w:val="nil"/>
              <w:left w:val="nil"/>
              <w:bottom w:val="nil"/>
              <w:right w:val="nil"/>
            </w:tcBorders>
            <w:shd w:val="clear" w:color="auto" w:fill="auto"/>
            <w:noWrap/>
            <w:hideMark/>
          </w:tcPr>
          <w:p w14:paraId="5BBFE66B"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4</w:t>
            </w:r>
          </w:p>
        </w:tc>
        <w:tc>
          <w:tcPr>
            <w:tcW w:w="7640" w:type="dxa"/>
            <w:tcBorders>
              <w:top w:val="nil"/>
              <w:left w:val="nil"/>
              <w:bottom w:val="nil"/>
              <w:right w:val="nil"/>
            </w:tcBorders>
            <w:shd w:val="clear" w:color="auto" w:fill="auto"/>
            <w:hideMark/>
          </w:tcPr>
          <w:p w14:paraId="6BF76D7C"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 xml:space="preserve">Longmire, M., J. Grant, S. Stewart, </w:t>
            </w:r>
            <w:r w:rsidRPr="00CE1F01">
              <w:rPr>
                <w:rFonts w:ascii="Times New Roman" w:hAnsi="Times New Roman"/>
                <w:b/>
                <w:bCs/>
                <w:snapToGrid/>
                <w:color w:val="000000"/>
                <w:szCs w:val="24"/>
              </w:rPr>
              <w:t>V. Sykes</w:t>
            </w:r>
            <w:r w:rsidRPr="00CE1F01">
              <w:rPr>
                <w:rFonts w:ascii="Times New Roman" w:hAnsi="Times New Roman"/>
                <w:snapToGrid/>
                <w:color w:val="000000"/>
                <w:szCs w:val="24"/>
              </w:rPr>
              <w:t xml:space="preserve">. 2019. Dual-Cropping Soybean Systems: Impacts on Pest and Beneficial Arthropods in Tennessee. Entomology 2019. 17 - 20 Nov 2019. St. Louis, MS. </w:t>
            </w:r>
          </w:p>
        </w:tc>
      </w:tr>
      <w:tr w:rsidR="0087151E" w:rsidRPr="00CE1F01" w14:paraId="26B2CA4F" w14:textId="77777777" w:rsidTr="0087151E">
        <w:trPr>
          <w:trHeight w:val="1230"/>
        </w:trPr>
        <w:tc>
          <w:tcPr>
            <w:tcW w:w="1020" w:type="dxa"/>
            <w:tcBorders>
              <w:top w:val="nil"/>
              <w:left w:val="nil"/>
              <w:bottom w:val="nil"/>
              <w:right w:val="nil"/>
            </w:tcBorders>
            <w:shd w:val="clear" w:color="auto" w:fill="auto"/>
            <w:noWrap/>
            <w:hideMark/>
          </w:tcPr>
          <w:p w14:paraId="6948A08C"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1</w:t>
            </w:r>
          </w:p>
        </w:tc>
        <w:tc>
          <w:tcPr>
            <w:tcW w:w="7640" w:type="dxa"/>
            <w:tcBorders>
              <w:top w:val="nil"/>
              <w:left w:val="nil"/>
              <w:bottom w:val="nil"/>
              <w:right w:val="nil"/>
            </w:tcBorders>
            <w:shd w:val="clear" w:color="auto" w:fill="auto"/>
            <w:hideMark/>
          </w:tcPr>
          <w:p w14:paraId="2244064F"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b/>
                <w:bCs/>
                <w:snapToGrid/>
                <w:color w:val="000000"/>
                <w:szCs w:val="24"/>
              </w:rPr>
              <w:t>Bracey, W.*</w:t>
            </w:r>
            <w:r w:rsidRPr="00CE1F01">
              <w:rPr>
                <w:rFonts w:ascii="Times New Roman" w:hAnsi="Times New Roman"/>
                <w:snapToGrid/>
                <w:color w:val="000000"/>
                <w:szCs w:val="24"/>
              </w:rPr>
              <w:t xml:space="preserve">, </w:t>
            </w:r>
            <w:r w:rsidRPr="00CE1F01">
              <w:rPr>
                <w:rFonts w:ascii="Times New Roman" w:hAnsi="Times New Roman"/>
                <w:b/>
                <w:bCs/>
                <w:snapToGrid/>
                <w:color w:val="000000"/>
                <w:szCs w:val="24"/>
              </w:rPr>
              <w:t>V.R. Sykes</w:t>
            </w:r>
            <w:r w:rsidRPr="00CE1F01">
              <w:rPr>
                <w:rFonts w:ascii="Times New Roman" w:hAnsi="Times New Roman"/>
                <w:snapToGrid/>
                <w:color w:val="000000"/>
                <w:szCs w:val="24"/>
              </w:rPr>
              <w:t>, G. Bates, X. Yin, L. Steckel, D. Butler, R. Nave. Comparison of dual-use and single-use cover crops in no-till Tennessee production systems. UT Beef and Forage Center Annual Research and Recommendation Meeting, Knoxville, TN, 17 Dec. 2019</w:t>
            </w:r>
          </w:p>
        </w:tc>
      </w:tr>
      <w:tr w:rsidR="0087151E" w:rsidRPr="00CE1F01" w14:paraId="3EC8CD8D" w14:textId="77777777" w:rsidTr="0087151E">
        <w:trPr>
          <w:trHeight w:val="308"/>
        </w:trPr>
        <w:tc>
          <w:tcPr>
            <w:tcW w:w="1020" w:type="dxa"/>
            <w:tcBorders>
              <w:top w:val="nil"/>
              <w:left w:val="nil"/>
              <w:bottom w:val="nil"/>
              <w:right w:val="nil"/>
            </w:tcBorders>
            <w:shd w:val="clear" w:color="auto" w:fill="auto"/>
            <w:noWrap/>
            <w:hideMark/>
          </w:tcPr>
          <w:p w14:paraId="340808B9" w14:textId="77777777" w:rsidR="0087151E" w:rsidRPr="00CE1F01" w:rsidRDefault="0087151E" w:rsidP="00CE1F01">
            <w:pPr>
              <w:widowControl/>
              <w:rPr>
                <w:rFonts w:ascii="Times New Roman" w:hAnsi="Times New Roman"/>
                <w:snapToGrid/>
                <w:color w:val="000000"/>
                <w:szCs w:val="24"/>
              </w:rPr>
            </w:pPr>
          </w:p>
        </w:tc>
        <w:tc>
          <w:tcPr>
            <w:tcW w:w="7640" w:type="dxa"/>
            <w:tcBorders>
              <w:top w:val="nil"/>
              <w:left w:val="nil"/>
              <w:bottom w:val="nil"/>
              <w:right w:val="nil"/>
            </w:tcBorders>
            <w:shd w:val="clear" w:color="auto" w:fill="auto"/>
            <w:noWrap/>
            <w:hideMark/>
          </w:tcPr>
          <w:p w14:paraId="33437ABF" w14:textId="77777777" w:rsidR="0087151E" w:rsidRPr="00CE1F01" w:rsidRDefault="0087151E" w:rsidP="00CE1F01">
            <w:pPr>
              <w:widowControl/>
              <w:rPr>
                <w:rFonts w:ascii="Times New Roman" w:hAnsi="Times New Roman"/>
                <w:snapToGrid/>
                <w:szCs w:val="24"/>
              </w:rPr>
            </w:pPr>
          </w:p>
        </w:tc>
      </w:tr>
      <w:tr w:rsidR="0087151E" w:rsidRPr="00CE1F01" w14:paraId="0DEA3A06" w14:textId="77777777" w:rsidTr="0087151E">
        <w:trPr>
          <w:trHeight w:val="308"/>
        </w:trPr>
        <w:tc>
          <w:tcPr>
            <w:tcW w:w="8660" w:type="dxa"/>
            <w:gridSpan w:val="2"/>
            <w:tcBorders>
              <w:top w:val="nil"/>
              <w:left w:val="nil"/>
              <w:bottom w:val="nil"/>
              <w:right w:val="nil"/>
            </w:tcBorders>
            <w:shd w:val="clear" w:color="auto" w:fill="auto"/>
            <w:noWrap/>
            <w:hideMark/>
          </w:tcPr>
          <w:p w14:paraId="7C52C205" w14:textId="77777777" w:rsidR="0087151E" w:rsidRPr="00CE1F01" w:rsidRDefault="0087151E" w:rsidP="00CE1F01">
            <w:pPr>
              <w:widowControl/>
              <w:rPr>
                <w:rFonts w:ascii="Times New Roman" w:hAnsi="Times New Roman"/>
                <w:b/>
                <w:bCs/>
                <w:snapToGrid/>
                <w:color w:val="000000"/>
                <w:szCs w:val="24"/>
              </w:rPr>
            </w:pPr>
            <w:r w:rsidRPr="00CE1F01">
              <w:rPr>
                <w:rFonts w:ascii="Times New Roman" w:hAnsi="Times New Roman"/>
                <w:b/>
                <w:bCs/>
                <w:snapToGrid/>
                <w:color w:val="000000"/>
                <w:szCs w:val="24"/>
              </w:rPr>
              <w:t>Publications</w:t>
            </w:r>
          </w:p>
        </w:tc>
      </w:tr>
      <w:tr w:rsidR="0087151E" w:rsidRPr="00CE1F01" w14:paraId="1579AFBE" w14:textId="77777777" w:rsidTr="0087151E">
        <w:trPr>
          <w:trHeight w:val="615"/>
        </w:trPr>
        <w:tc>
          <w:tcPr>
            <w:tcW w:w="1020" w:type="dxa"/>
            <w:tcBorders>
              <w:top w:val="nil"/>
              <w:left w:val="nil"/>
              <w:bottom w:val="nil"/>
              <w:right w:val="nil"/>
            </w:tcBorders>
            <w:shd w:val="clear" w:color="auto" w:fill="auto"/>
            <w:noWrap/>
            <w:hideMark/>
          </w:tcPr>
          <w:p w14:paraId="6DC0A390"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snapToGrid/>
                <w:color w:val="000000"/>
                <w:szCs w:val="24"/>
              </w:rPr>
              <w:t>1</w:t>
            </w:r>
          </w:p>
        </w:tc>
        <w:tc>
          <w:tcPr>
            <w:tcW w:w="7640" w:type="dxa"/>
            <w:tcBorders>
              <w:top w:val="nil"/>
              <w:left w:val="nil"/>
              <w:bottom w:val="nil"/>
              <w:right w:val="nil"/>
            </w:tcBorders>
            <w:shd w:val="clear" w:color="auto" w:fill="auto"/>
            <w:hideMark/>
          </w:tcPr>
          <w:p w14:paraId="124FABAC" w14:textId="77777777" w:rsidR="0087151E" w:rsidRPr="00CE1F01" w:rsidRDefault="0087151E" w:rsidP="00CE1F01">
            <w:pPr>
              <w:widowControl/>
              <w:rPr>
                <w:rFonts w:ascii="Times New Roman" w:hAnsi="Times New Roman"/>
                <w:snapToGrid/>
                <w:color w:val="000000"/>
                <w:szCs w:val="24"/>
              </w:rPr>
            </w:pPr>
            <w:r w:rsidRPr="00CE1F01">
              <w:rPr>
                <w:rFonts w:ascii="Times New Roman" w:hAnsi="Times New Roman"/>
                <w:b/>
                <w:bCs/>
                <w:snapToGrid/>
                <w:color w:val="000000"/>
                <w:szCs w:val="24"/>
              </w:rPr>
              <w:t xml:space="preserve">Sykes, V.R. </w:t>
            </w:r>
            <w:r w:rsidRPr="00CE1F01">
              <w:rPr>
                <w:rFonts w:ascii="Times New Roman" w:hAnsi="Times New Roman"/>
                <w:snapToGrid/>
                <w:color w:val="000000"/>
                <w:szCs w:val="24"/>
              </w:rPr>
              <w:t>Cover Crop Species Selection for Tennessee Corn and Soybean Systems. News.Utcrops.com. 12 Sept. 2019.</w:t>
            </w:r>
          </w:p>
        </w:tc>
      </w:tr>
    </w:tbl>
    <w:p w14:paraId="06E683A7" w14:textId="771C3ECA" w:rsidR="0087151E" w:rsidRDefault="0087151E" w:rsidP="00D57E62">
      <w:pPr>
        <w:rPr>
          <w:rFonts w:ascii="Times New Roman" w:hAnsi="Times New Roman"/>
          <w:szCs w:val="24"/>
        </w:rPr>
      </w:pPr>
      <w:r>
        <w:rPr>
          <w:rFonts w:ascii="Times New Roman" w:hAnsi="Times New Roman"/>
          <w:szCs w:val="24"/>
        </w:rPr>
        <w:t xml:space="preserve"> </w:t>
      </w:r>
    </w:p>
    <w:p w14:paraId="3C407A44" w14:textId="0E5C52F0" w:rsidR="00D57E62" w:rsidRPr="0068634B" w:rsidRDefault="0087151E" w:rsidP="00D57E62">
      <w:pPr>
        <w:rPr>
          <w:rFonts w:ascii="Times New Roman" w:hAnsi="Times New Roman"/>
          <w:szCs w:val="24"/>
        </w:rPr>
      </w:pPr>
      <w:r>
        <w:rPr>
          <w:rFonts w:ascii="Times New Roman" w:hAnsi="Times New Roman"/>
          <w:szCs w:val="24"/>
        </w:rPr>
        <w:t xml:space="preserve"> </w:t>
      </w:r>
    </w:p>
    <w:p w14:paraId="2B8E30C1" w14:textId="77777777" w:rsidR="00CE1274" w:rsidRDefault="00CE1274" w:rsidP="003A6161">
      <w:pPr>
        <w:rPr>
          <w:rFonts w:ascii="Times New Roman" w:hAnsi="Times New Roman"/>
          <w:b/>
          <w:szCs w:val="24"/>
        </w:rPr>
      </w:pPr>
    </w:p>
    <w:p w14:paraId="57011B2A" w14:textId="36003025" w:rsidR="00236879" w:rsidRDefault="00236879">
      <w:pPr>
        <w:widowControl/>
        <w:rPr>
          <w:rFonts w:ascii="Times New Roman" w:hAnsi="Times New Roman"/>
          <w:b/>
          <w:szCs w:val="24"/>
        </w:rPr>
      </w:pPr>
    </w:p>
    <w:sectPr w:rsidR="00236879">
      <w:footerReference w:type="even" r:id="rId23"/>
      <w:footerReference w:type="default" r:id="rId24"/>
      <w:endnotePr>
        <w:numFmt w:val="decimal"/>
      </w:endnotePr>
      <w:pgSz w:w="12240" w:h="15840" w:code="1"/>
      <w:pgMar w:top="720" w:right="720" w:bottom="734" w:left="1440" w:header="72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E0522" w14:textId="77777777" w:rsidR="00D45FA5" w:rsidRDefault="00D45FA5">
      <w:r>
        <w:separator/>
      </w:r>
    </w:p>
  </w:endnote>
  <w:endnote w:type="continuationSeparator" w:id="0">
    <w:p w14:paraId="0D7A5DE4" w14:textId="77777777" w:rsidR="00D45FA5" w:rsidRDefault="00D4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24FC0" w14:textId="77777777" w:rsidR="00D45FA5" w:rsidRDefault="00D45F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C24FC1" w14:textId="77777777" w:rsidR="00D45FA5" w:rsidRDefault="00D45F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24FC2" w14:textId="67287ADE" w:rsidR="00D45FA5" w:rsidRDefault="00D45F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FC24FC3" w14:textId="77777777" w:rsidR="00D45FA5" w:rsidRDefault="00D45FA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0C538" w14:textId="77777777" w:rsidR="00D45FA5" w:rsidRDefault="00D45FA5">
      <w:r>
        <w:separator/>
      </w:r>
    </w:p>
  </w:footnote>
  <w:footnote w:type="continuationSeparator" w:id="0">
    <w:p w14:paraId="7EC1FE3B" w14:textId="77777777" w:rsidR="00D45FA5" w:rsidRDefault="00D45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C21BD"/>
    <w:multiLevelType w:val="singleLevel"/>
    <w:tmpl w:val="0409000F"/>
    <w:lvl w:ilvl="0">
      <w:start w:val="5"/>
      <w:numFmt w:val="decimal"/>
      <w:lvlText w:val="%1."/>
      <w:lvlJc w:val="left"/>
      <w:pPr>
        <w:tabs>
          <w:tab w:val="num" w:pos="360"/>
        </w:tabs>
        <w:ind w:left="360" w:hanging="360"/>
      </w:pPr>
      <w:rPr>
        <w:rFonts w:hint="default"/>
      </w:rPr>
    </w:lvl>
  </w:abstractNum>
  <w:abstractNum w:abstractNumId="1" w15:restartNumberingAfterBreak="0">
    <w:nsid w:val="1EBE2045"/>
    <w:multiLevelType w:val="singleLevel"/>
    <w:tmpl w:val="3E00D8F2"/>
    <w:lvl w:ilvl="0">
      <w:start w:val="4"/>
      <w:numFmt w:val="decimal"/>
      <w:lvlText w:val="%1."/>
      <w:lvlJc w:val="left"/>
      <w:pPr>
        <w:tabs>
          <w:tab w:val="num" w:pos="1080"/>
        </w:tabs>
        <w:ind w:left="1080" w:hanging="360"/>
      </w:pPr>
      <w:rPr>
        <w:rFonts w:hint="default"/>
      </w:rPr>
    </w:lvl>
  </w:abstractNum>
  <w:abstractNum w:abstractNumId="2" w15:restartNumberingAfterBreak="0">
    <w:nsid w:val="261A61E8"/>
    <w:multiLevelType w:val="hybridMultilevel"/>
    <w:tmpl w:val="730ADFD2"/>
    <w:lvl w:ilvl="0" w:tplc="46D020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7021F14"/>
    <w:multiLevelType w:val="singleLevel"/>
    <w:tmpl w:val="04090015"/>
    <w:lvl w:ilvl="0">
      <w:start w:val="8"/>
      <w:numFmt w:val="upperLetter"/>
      <w:lvlText w:val="%1."/>
      <w:lvlJc w:val="left"/>
      <w:pPr>
        <w:tabs>
          <w:tab w:val="num" w:pos="360"/>
        </w:tabs>
        <w:ind w:left="360" w:hanging="360"/>
      </w:pPr>
      <w:rPr>
        <w:rFonts w:hint="default"/>
      </w:rPr>
    </w:lvl>
  </w:abstractNum>
  <w:abstractNum w:abstractNumId="4" w15:restartNumberingAfterBreak="0">
    <w:nsid w:val="6EF73F45"/>
    <w:multiLevelType w:val="singleLevel"/>
    <w:tmpl w:val="04090011"/>
    <w:lvl w:ilvl="0">
      <w:start w:val="1"/>
      <w:numFmt w:val="decimal"/>
      <w:lvlText w:val="%1)"/>
      <w:lvlJc w:val="left"/>
      <w:pPr>
        <w:tabs>
          <w:tab w:val="num" w:pos="360"/>
        </w:tabs>
        <w:ind w:left="360" w:hanging="360"/>
      </w:pPr>
      <w:rPr>
        <w:rFonts w:hint="default"/>
      </w:rPr>
    </w:lvl>
  </w:abstractNum>
  <w:abstractNum w:abstractNumId="5" w15:restartNumberingAfterBreak="0">
    <w:nsid w:val="77803949"/>
    <w:multiLevelType w:val="hybridMultilevel"/>
    <w:tmpl w:val="72B4CC9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7CE"/>
    <w:rsid w:val="000347CE"/>
    <w:rsid w:val="00087415"/>
    <w:rsid w:val="000C62EC"/>
    <w:rsid w:val="001B793F"/>
    <w:rsid w:val="001C484A"/>
    <w:rsid w:val="001F2120"/>
    <w:rsid w:val="001F3F50"/>
    <w:rsid w:val="00202F12"/>
    <w:rsid w:val="00221D0F"/>
    <w:rsid w:val="00230285"/>
    <w:rsid w:val="00233D3E"/>
    <w:rsid w:val="00236879"/>
    <w:rsid w:val="00252807"/>
    <w:rsid w:val="002C516C"/>
    <w:rsid w:val="002C6EAF"/>
    <w:rsid w:val="003005BD"/>
    <w:rsid w:val="0030501B"/>
    <w:rsid w:val="003A6161"/>
    <w:rsid w:val="003D588A"/>
    <w:rsid w:val="003E27DA"/>
    <w:rsid w:val="004B0284"/>
    <w:rsid w:val="004B3655"/>
    <w:rsid w:val="004C25E3"/>
    <w:rsid w:val="004E7053"/>
    <w:rsid w:val="00513872"/>
    <w:rsid w:val="0056038D"/>
    <w:rsid w:val="005807EB"/>
    <w:rsid w:val="00590E51"/>
    <w:rsid w:val="00597522"/>
    <w:rsid w:val="005F01D2"/>
    <w:rsid w:val="00604B38"/>
    <w:rsid w:val="00622866"/>
    <w:rsid w:val="006511B2"/>
    <w:rsid w:val="00696C48"/>
    <w:rsid w:val="006A7DCC"/>
    <w:rsid w:val="00713F03"/>
    <w:rsid w:val="00746C46"/>
    <w:rsid w:val="00774B34"/>
    <w:rsid w:val="00777AF8"/>
    <w:rsid w:val="00784958"/>
    <w:rsid w:val="007B0408"/>
    <w:rsid w:val="007C6E42"/>
    <w:rsid w:val="007D2D96"/>
    <w:rsid w:val="00824C96"/>
    <w:rsid w:val="008251A8"/>
    <w:rsid w:val="0087151E"/>
    <w:rsid w:val="00893F1A"/>
    <w:rsid w:val="008B34F9"/>
    <w:rsid w:val="008C2FEA"/>
    <w:rsid w:val="008D6932"/>
    <w:rsid w:val="008E5C97"/>
    <w:rsid w:val="0093377A"/>
    <w:rsid w:val="00984B04"/>
    <w:rsid w:val="0099781C"/>
    <w:rsid w:val="009A337F"/>
    <w:rsid w:val="009A352F"/>
    <w:rsid w:val="009C1D24"/>
    <w:rsid w:val="009C564D"/>
    <w:rsid w:val="009D1BBA"/>
    <w:rsid w:val="009F5F86"/>
    <w:rsid w:val="00A13B42"/>
    <w:rsid w:val="00A2375F"/>
    <w:rsid w:val="00A63B1F"/>
    <w:rsid w:val="00A65DE6"/>
    <w:rsid w:val="00A6616B"/>
    <w:rsid w:val="00AB7829"/>
    <w:rsid w:val="00AF14D0"/>
    <w:rsid w:val="00B36170"/>
    <w:rsid w:val="00B80A1E"/>
    <w:rsid w:val="00BC6957"/>
    <w:rsid w:val="00BD0B9D"/>
    <w:rsid w:val="00BD285E"/>
    <w:rsid w:val="00C161DF"/>
    <w:rsid w:val="00C306DC"/>
    <w:rsid w:val="00C54DCB"/>
    <w:rsid w:val="00C66AB5"/>
    <w:rsid w:val="00C725C7"/>
    <w:rsid w:val="00C76FE6"/>
    <w:rsid w:val="00C8344D"/>
    <w:rsid w:val="00C867D1"/>
    <w:rsid w:val="00CC0230"/>
    <w:rsid w:val="00CE1274"/>
    <w:rsid w:val="00CE1F01"/>
    <w:rsid w:val="00CE2B16"/>
    <w:rsid w:val="00CE4057"/>
    <w:rsid w:val="00CE71C7"/>
    <w:rsid w:val="00CF7DC1"/>
    <w:rsid w:val="00D112C4"/>
    <w:rsid w:val="00D45FA5"/>
    <w:rsid w:val="00D46FD5"/>
    <w:rsid w:val="00D50D43"/>
    <w:rsid w:val="00D57E62"/>
    <w:rsid w:val="00D648F9"/>
    <w:rsid w:val="00D9047D"/>
    <w:rsid w:val="00DA7A95"/>
    <w:rsid w:val="00DE100B"/>
    <w:rsid w:val="00DE7073"/>
    <w:rsid w:val="00E064DC"/>
    <w:rsid w:val="00E37ABC"/>
    <w:rsid w:val="00E4460C"/>
    <w:rsid w:val="00E4627E"/>
    <w:rsid w:val="00E50E11"/>
    <w:rsid w:val="00E52C62"/>
    <w:rsid w:val="00EA120D"/>
    <w:rsid w:val="00F16BB8"/>
    <w:rsid w:val="00F43E92"/>
    <w:rsid w:val="00F45B6E"/>
    <w:rsid w:val="00F523C7"/>
    <w:rsid w:val="00F942CF"/>
    <w:rsid w:val="00FC479B"/>
    <w:rsid w:val="00FE7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FC24FA4"/>
  <w15:chartTrackingRefBased/>
  <w15:docId w15:val="{AAC60344-DADD-4C54-9948-889F39E0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Times New Roman" w:hAnsi="Times New Roman"/>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semiHidden/>
    <w:rPr>
      <w:rFonts w:ascii="CG Times (W1)" w:hAnsi="CG Times (W1)"/>
      <w:sz w:val="18"/>
    </w:rPr>
  </w:style>
  <w:style w:type="paragraph" w:styleId="BodyText2">
    <w:name w:val="Body Text 2"/>
    <w:basedOn w:val="Normal"/>
    <w:semiHidden/>
    <w:pPr>
      <w:jc w:val="both"/>
    </w:pPr>
    <w:rPr>
      <w:rFonts w:ascii="Times New Roman" w:hAnsi="Times New Roman"/>
      <w:sz w:val="18"/>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33D3E"/>
    <w:rPr>
      <w:color w:val="0000FF"/>
      <w:u w:val="single"/>
    </w:rPr>
  </w:style>
  <w:style w:type="paragraph" w:styleId="NormalWeb">
    <w:name w:val="Normal (Web)"/>
    <w:basedOn w:val="Normal"/>
    <w:uiPriority w:val="99"/>
    <w:semiHidden/>
    <w:unhideWhenUsed/>
    <w:rsid w:val="004B3655"/>
    <w:rPr>
      <w:rFonts w:ascii="Times New Roman" w:hAnsi="Times New Roman"/>
      <w:szCs w:val="24"/>
    </w:rPr>
  </w:style>
  <w:style w:type="character" w:styleId="Emphasis">
    <w:name w:val="Emphasis"/>
    <w:basedOn w:val="DefaultParagraphFont"/>
    <w:uiPriority w:val="20"/>
    <w:qFormat/>
    <w:rsid w:val="004B3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66240">
      <w:bodyDiv w:val="1"/>
      <w:marLeft w:val="0"/>
      <w:marRight w:val="0"/>
      <w:marTop w:val="0"/>
      <w:marBottom w:val="0"/>
      <w:divBdr>
        <w:top w:val="none" w:sz="0" w:space="0" w:color="auto"/>
        <w:left w:val="none" w:sz="0" w:space="0" w:color="auto"/>
        <w:bottom w:val="none" w:sz="0" w:space="0" w:color="auto"/>
        <w:right w:val="none" w:sz="0" w:space="0" w:color="auto"/>
      </w:divBdr>
    </w:div>
    <w:div w:id="190806180">
      <w:bodyDiv w:val="1"/>
      <w:marLeft w:val="0"/>
      <w:marRight w:val="0"/>
      <w:marTop w:val="0"/>
      <w:marBottom w:val="0"/>
      <w:divBdr>
        <w:top w:val="none" w:sz="0" w:space="0" w:color="auto"/>
        <w:left w:val="none" w:sz="0" w:space="0" w:color="auto"/>
        <w:bottom w:val="none" w:sz="0" w:space="0" w:color="auto"/>
        <w:right w:val="none" w:sz="0" w:space="0" w:color="auto"/>
      </w:divBdr>
    </w:div>
    <w:div w:id="418908585">
      <w:bodyDiv w:val="1"/>
      <w:marLeft w:val="0"/>
      <w:marRight w:val="0"/>
      <w:marTop w:val="0"/>
      <w:marBottom w:val="0"/>
      <w:divBdr>
        <w:top w:val="none" w:sz="0" w:space="0" w:color="auto"/>
        <w:left w:val="none" w:sz="0" w:space="0" w:color="auto"/>
        <w:bottom w:val="none" w:sz="0" w:space="0" w:color="auto"/>
        <w:right w:val="none" w:sz="0" w:space="0" w:color="auto"/>
      </w:divBdr>
    </w:div>
    <w:div w:id="527914167">
      <w:bodyDiv w:val="1"/>
      <w:marLeft w:val="0"/>
      <w:marRight w:val="0"/>
      <w:marTop w:val="0"/>
      <w:marBottom w:val="0"/>
      <w:divBdr>
        <w:top w:val="none" w:sz="0" w:space="0" w:color="auto"/>
        <w:left w:val="none" w:sz="0" w:space="0" w:color="auto"/>
        <w:bottom w:val="none" w:sz="0" w:space="0" w:color="auto"/>
        <w:right w:val="none" w:sz="0" w:space="0" w:color="auto"/>
      </w:divBdr>
    </w:div>
    <w:div w:id="553927854">
      <w:bodyDiv w:val="1"/>
      <w:marLeft w:val="0"/>
      <w:marRight w:val="0"/>
      <w:marTop w:val="0"/>
      <w:marBottom w:val="0"/>
      <w:divBdr>
        <w:top w:val="none" w:sz="0" w:space="0" w:color="auto"/>
        <w:left w:val="none" w:sz="0" w:space="0" w:color="auto"/>
        <w:bottom w:val="none" w:sz="0" w:space="0" w:color="auto"/>
        <w:right w:val="none" w:sz="0" w:space="0" w:color="auto"/>
      </w:divBdr>
    </w:div>
    <w:div w:id="819612331">
      <w:bodyDiv w:val="1"/>
      <w:marLeft w:val="0"/>
      <w:marRight w:val="0"/>
      <w:marTop w:val="0"/>
      <w:marBottom w:val="0"/>
      <w:divBdr>
        <w:top w:val="none" w:sz="0" w:space="0" w:color="auto"/>
        <w:left w:val="none" w:sz="0" w:space="0" w:color="auto"/>
        <w:bottom w:val="none" w:sz="0" w:space="0" w:color="auto"/>
        <w:right w:val="none" w:sz="0" w:space="0" w:color="auto"/>
      </w:divBdr>
    </w:div>
    <w:div w:id="982923760">
      <w:bodyDiv w:val="1"/>
      <w:marLeft w:val="0"/>
      <w:marRight w:val="0"/>
      <w:marTop w:val="0"/>
      <w:marBottom w:val="0"/>
      <w:divBdr>
        <w:top w:val="none" w:sz="0" w:space="0" w:color="auto"/>
        <w:left w:val="none" w:sz="0" w:space="0" w:color="auto"/>
        <w:bottom w:val="none" w:sz="0" w:space="0" w:color="auto"/>
        <w:right w:val="none" w:sz="0" w:space="0" w:color="auto"/>
      </w:divBdr>
    </w:div>
    <w:div w:id="1350134263">
      <w:bodyDiv w:val="1"/>
      <w:marLeft w:val="0"/>
      <w:marRight w:val="0"/>
      <w:marTop w:val="0"/>
      <w:marBottom w:val="0"/>
      <w:divBdr>
        <w:top w:val="none" w:sz="0" w:space="0" w:color="auto"/>
        <w:left w:val="none" w:sz="0" w:space="0" w:color="auto"/>
        <w:bottom w:val="none" w:sz="0" w:space="0" w:color="auto"/>
        <w:right w:val="none" w:sz="0" w:space="0" w:color="auto"/>
      </w:divBdr>
    </w:div>
    <w:div w:id="1713529025">
      <w:bodyDiv w:val="1"/>
      <w:marLeft w:val="0"/>
      <w:marRight w:val="0"/>
      <w:marTop w:val="0"/>
      <w:marBottom w:val="0"/>
      <w:divBdr>
        <w:top w:val="none" w:sz="0" w:space="0" w:color="auto"/>
        <w:left w:val="none" w:sz="0" w:space="0" w:color="auto"/>
        <w:bottom w:val="none" w:sz="0" w:space="0" w:color="auto"/>
        <w:right w:val="none" w:sz="0" w:space="0" w:color="auto"/>
      </w:divBdr>
    </w:div>
    <w:div w:id="1732584025">
      <w:bodyDiv w:val="1"/>
      <w:marLeft w:val="0"/>
      <w:marRight w:val="0"/>
      <w:marTop w:val="0"/>
      <w:marBottom w:val="0"/>
      <w:divBdr>
        <w:top w:val="none" w:sz="0" w:space="0" w:color="auto"/>
        <w:left w:val="none" w:sz="0" w:space="0" w:color="auto"/>
        <w:bottom w:val="none" w:sz="0" w:space="0" w:color="auto"/>
        <w:right w:val="none" w:sz="0" w:space="0" w:color="auto"/>
      </w:divBdr>
    </w:div>
    <w:div w:id="184709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CC4704475C34092B8DB587E3AD04D" ma:contentTypeVersion="13" ma:contentTypeDescription="Create a new document." ma:contentTypeScope="" ma:versionID="90ec59e82a3ac7ce2e44d127c24bb44d">
  <xsd:schema xmlns:xsd="http://www.w3.org/2001/XMLSchema" xmlns:xs="http://www.w3.org/2001/XMLSchema" xmlns:p="http://schemas.microsoft.com/office/2006/metadata/properties" xmlns:ns3="07b31f68-5196-40e2-ba8b-033c5f3717f5" xmlns:ns4="5f803d70-3c8f-4bcc-b1ae-dcbbe483775e" targetNamespace="http://schemas.microsoft.com/office/2006/metadata/properties" ma:root="true" ma:fieldsID="b6c466765aa4bb365ce9f7468ddcc589" ns3:_="" ns4:_="">
    <xsd:import namespace="07b31f68-5196-40e2-ba8b-033c5f3717f5"/>
    <xsd:import namespace="5f803d70-3c8f-4bcc-b1ae-dcbbe483775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31f68-5196-40e2-ba8b-033c5f3717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03d70-3c8f-4bcc-b1ae-dcbbe483775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D366A-6387-41FE-8566-2CB41FCB7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31f68-5196-40e2-ba8b-033c5f3717f5"/>
    <ds:schemaRef ds:uri="5f803d70-3c8f-4bcc-b1ae-dcbbe4837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DAB54F-9A5C-40B6-B024-30F8658F12FE}">
  <ds:schemaRefs>
    <ds:schemaRef ds:uri="http://schemas.microsoft.com/sharepoint/v3/contenttype/forms"/>
  </ds:schemaRefs>
</ds:datastoreItem>
</file>

<file path=customXml/itemProps3.xml><?xml version="1.0" encoding="utf-8"?>
<ds:datastoreItem xmlns:ds="http://schemas.openxmlformats.org/officeDocument/2006/customXml" ds:itemID="{AA3A7FB8-9A11-4B30-AE85-CA9A4422F7F3}">
  <ds:schemaRef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5f803d70-3c8f-4bcc-b1ae-dcbbe483775e"/>
    <ds:schemaRef ds:uri="http://schemas.microsoft.com/office/infopath/2007/PartnerControls"/>
    <ds:schemaRef ds:uri="http://schemas.openxmlformats.org/package/2006/metadata/core-properties"/>
    <ds:schemaRef ds:uri="07b31f68-5196-40e2-ba8b-033c5f3717f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11</Pages>
  <Words>2852</Words>
  <Characters>16277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Background Information and Research Update - 2003</vt:lpstr>
    </vt:vector>
  </TitlesOfParts>
  <Company>University of Tennessee</Company>
  <LinksUpToDate>false</LinksUpToDate>
  <CharactersWithSpaces>19091</CharactersWithSpaces>
  <SharedDoc>false</SharedDoc>
  <HLinks>
    <vt:vector size="6" baseType="variant">
      <vt:variant>
        <vt:i4>2752637</vt:i4>
      </vt:variant>
      <vt:variant>
        <vt:i4>0</vt:i4>
      </vt:variant>
      <vt:variant>
        <vt:i4>0</vt:i4>
      </vt:variant>
      <vt:variant>
        <vt:i4>5</vt:i4>
      </vt:variant>
      <vt:variant>
        <vt:lpwstr>http://varietytrials.tennessee.edu/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Information and Research Update - 2003</dc:title>
  <dc:subject/>
  <dc:creator>Vincent R. Pantalone</dc:creator>
  <cp:keywords/>
  <cp:lastModifiedBy>Sykes, Virginia Roseanna</cp:lastModifiedBy>
  <cp:revision>7</cp:revision>
  <cp:lastPrinted>2006-12-14T13:23:00Z</cp:lastPrinted>
  <dcterms:created xsi:type="dcterms:W3CDTF">2019-12-03T13:47:00Z</dcterms:created>
  <dcterms:modified xsi:type="dcterms:W3CDTF">2019-12-03T16:46:00Z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0x01010011DCC4704475C34092B8DB587E3AD04D</vt:lpwstr>
  </property>
</Properties>
</file>