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18E35" w14:textId="01058AA0" w:rsidR="005A5193" w:rsidRPr="005A5193" w:rsidRDefault="005A5193" w:rsidP="00284121">
      <w:pPr>
        <w:rPr>
          <w:rFonts w:ascii="Calibri" w:hAnsi="Calibri" w:cs="Calibri"/>
          <w:szCs w:val="22"/>
        </w:rPr>
      </w:pPr>
      <w:r w:rsidRPr="005A5193">
        <w:rPr>
          <w:rFonts w:ascii="Calibri" w:hAnsi="Calibri" w:cs="Calibri"/>
          <w:szCs w:val="22"/>
        </w:rPr>
        <w:t>Technical Report</w:t>
      </w:r>
    </w:p>
    <w:p w14:paraId="12F1680E" w14:textId="77777777" w:rsidR="005A5193" w:rsidRPr="005A5193" w:rsidRDefault="005A5193" w:rsidP="00284121">
      <w:pPr>
        <w:rPr>
          <w:rFonts w:ascii="Calibri" w:hAnsi="Calibri" w:cs="Calibri"/>
          <w:b/>
          <w:sz w:val="22"/>
          <w:szCs w:val="22"/>
        </w:rPr>
      </w:pPr>
    </w:p>
    <w:p w14:paraId="7D33AAA1" w14:textId="31793BA1" w:rsidR="00284121" w:rsidRPr="00345847" w:rsidRDefault="00284121" w:rsidP="00284121">
      <w:pPr>
        <w:rPr>
          <w:rFonts w:ascii="Calibri" w:hAnsi="Calibri" w:cs="Calibri"/>
          <w:b/>
          <w:sz w:val="28"/>
          <w:szCs w:val="22"/>
        </w:rPr>
      </w:pPr>
      <w:r w:rsidRPr="00345847">
        <w:rPr>
          <w:rFonts w:ascii="Calibri" w:hAnsi="Calibri" w:cs="Calibri"/>
          <w:b/>
          <w:sz w:val="28"/>
          <w:szCs w:val="22"/>
        </w:rPr>
        <w:t>Why Do Some Soil Practices Make Fields More Resilient To Saline-Prone Years?</w:t>
      </w:r>
    </w:p>
    <w:p w14:paraId="44E42729" w14:textId="77777777" w:rsidR="005A5193" w:rsidRDefault="005A5193" w:rsidP="000D604D">
      <w:pPr>
        <w:jc w:val="both"/>
        <w:rPr>
          <w:rFonts w:ascii="Calibri" w:hAnsi="Calibri" w:cs="Calibri"/>
          <w:b/>
          <w:sz w:val="22"/>
          <w:szCs w:val="22"/>
        </w:rPr>
      </w:pPr>
    </w:p>
    <w:p w14:paraId="5FA332D3" w14:textId="2DB6CD1D" w:rsidR="005A5193" w:rsidRPr="005A5193" w:rsidRDefault="00F960DF" w:rsidP="005A5193">
      <w:pPr>
        <w:jc w:val="both"/>
        <w:rPr>
          <w:rFonts w:ascii="Calibri" w:hAnsi="Calibri" w:cs="Calibri"/>
          <w:i/>
          <w:sz w:val="22"/>
          <w:szCs w:val="22"/>
        </w:rPr>
      </w:pPr>
      <w:r w:rsidRPr="005A5193">
        <w:rPr>
          <w:rFonts w:ascii="Calibri" w:hAnsi="Calibri" w:cs="Calibri"/>
          <w:i/>
          <w:sz w:val="22"/>
          <w:szCs w:val="22"/>
        </w:rPr>
        <w:t xml:space="preserve">Dr. Aaron Daigh, </w:t>
      </w:r>
      <w:r w:rsidR="00485BF8" w:rsidRPr="005A5193">
        <w:rPr>
          <w:rFonts w:ascii="Calibri" w:hAnsi="Calibri" w:cs="Calibri"/>
          <w:i/>
          <w:sz w:val="22"/>
          <w:szCs w:val="22"/>
        </w:rPr>
        <w:t>NDSU Soil Science</w:t>
      </w:r>
      <w:r w:rsidR="005A5193">
        <w:rPr>
          <w:rFonts w:ascii="Calibri" w:hAnsi="Calibri" w:cs="Calibri"/>
          <w:i/>
          <w:sz w:val="22"/>
          <w:szCs w:val="22"/>
        </w:rPr>
        <w:t xml:space="preserve">, </w:t>
      </w:r>
      <w:r w:rsidR="005A5193" w:rsidRPr="005A5193">
        <w:rPr>
          <w:rFonts w:ascii="Calibri" w:hAnsi="Calibri" w:cs="Calibri"/>
          <w:i/>
          <w:sz w:val="22"/>
          <w:szCs w:val="22"/>
        </w:rPr>
        <w:t>Principal Investigator</w:t>
      </w:r>
    </w:p>
    <w:p w14:paraId="2FF8F625" w14:textId="0B38C3C9" w:rsidR="00485BF8" w:rsidRPr="005A5193" w:rsidRDefault="00284121" w:rsidP="000D604D">
      <w:pPr>
        <w:tabs>
          <w:tab w:val="left" w:pos="1980"/>
        </w:tabs>
        <w:ind w:left="1890" w:hanging="1890"/>
        <w:jc w:val="both"/>
        <w:rPr>
          <w:rFonts w:ascii="Calibri" w:hAnsi="Calibri" w:cs="Calibri"/>
          <w:i/>
          <w:sz w:val="22"/>
          <w:szCs w:val="22"/>
        </w:rPr>
      </w:pPr>
      <w:r w:rsidRPr="005A5193">
        <w:rPr>
          <w:rFonts w:ascii="Calibri" w:hAnsi="Calibri" w:cs="Calibri"/>
          <w:i/>
          <w:sz w:val="22"/>
          <w:szCs w:val="22"/>
        </w:rPr>
        <w:t>Dr. Caley Gasch, NDSU Soil Science</w:t>
      </w:r>
      <w:r w:rsidR="002D575C">
        <w:rPr>
          <w:rFonts w:ascii="Calibri" w:hAnsi="Calibri" w:cs="Calibri"/>
          <w:i/>
          <w:sz w:val="22"/>
          <w:szCs w:val="22"/>
        </w:rPr>
        <w:t>, Co-Investigator</w:t>
      </w:r>
    </w:p>
    <w:p w14:paraId="632E12EF" w14:textId="5E2B576C" w:rsidR="00F960DF" w:rsidRPr="005A5193" w:rsidRDefault="00284121" w:rsidP="000D604D">
      <w:pPr>
        <w:jc w:val="both"/>
        <w:rPr>
          <w:rFonts w:ascii="Calibri" w:hAnsi="Calibri" w:cs="Calibri"/>
          <w:i/>
          <w:sz w:val="22"/>
          <w:szCs w:val="22"/>
        </w:rPr>
      </w:pPr>
      <w:r w:rsidRPr="005A5193">
        <w:rPr>
          <w:rFonts w:ascii="Calibri" w:hAnsi="Calibri" w:cs="Calibri"/>
          <w:i/>
          <w:sz w:val="22"/>
          <w:szCs w:val="22"/>
        </w:rPr>
        <w:t>Dr. Thomas DeSutter, NDSU Soil Science</w:t>
      </w:r>
      <w:r w:rsidR="002D575C">
        <w:rPr>
          <w:rFonts w:ascii="Calibri" w:hAnsi="Calibri" w:cs="Calibri"/>
          <w:i/>
          <w:sz w:val="22"/>
          <w:szCs w:val="22"/>
        </w:rPr>
        <w:t>, Co-Investigator</w:t>
      </w:r>
    </w:p>
    <w:p w14:paraId="35E6D510" w14:textId="77777777" w:rsidR="00284121" w:rsidRPr="00345847" w:rsidRDefault="00284121" w:rsidP="000D604D">
      <w:pPr>
        <w:jc w:val="both"/>
        <w:rPr>
          <w:rFonts w:ascii="Calibri" w:hAnsi="Calibri" w:cs="Calibri"/>
          <w:sz w:val="22"/>
          <w:szCs w:val="22"/>
        </w:rPr>
      </w:pPr>
    </w:p>
    <w:p w14:paraId="1112BD7C" w14:textId="569F8EBF" w:rsidR="005A5193" w:rsidRDefault="005A5193" w:rsidP="000D604D">
      <w:pPr>
        <w:jc w:val="both"/>
        <w:rPr>
          <w:rFonts w:ascii="Calibri" w:hAnsi="Calibri" w:cs="Calibri"/>
          <w:sz w:val="28"/>
          <w:szCs w:val="22"/>
          <w:u w:val="single"/>
        </w:rPr>
      </w:pPr>
      <w:r w:rsidRPr="005A5193">
        <w:rPr>
          <w:rFonts w:ascii="Calibri" w:hAnsi="Calibri" w:cs="Calibri"/>
          <w:sz w:val="28"/>
          <w:szCs w:val="22"/>
          <w:u w:val="single"/>
        </w:rPr>
        <w:t>Introduction</w:t>
      </w:r>
    </w:p>
    <w:p w14:paraId="39385EEB" w14:textId="38468FA0" w:rsidR="005A5193" w:rsidRDefault="000D3181" w:rsidP="005A5193">
      <w:pPr>
        <w:jc w:val="both"/>
        <w:rPr>
          <w:rFonts w:ascii="Calibri" w:hAnsi="Calibri" w:cs="Calibri"/>
          <w:sz w:val="22"/>
          <w:szCs w:val="22"/>
        </w:rPr>
      </w:pPr>
      <w:r>
        <w:rPr>
          <w:rFonts w:ascii="Calibri" w:hAnsi="Calibri" w:cs="Calibri"/>
          <w:sz w:val="22"/>
          <w:szCs w:val="22"/>
        </w:rPr>
        <w:t>Soil salinization severely affected a s</w:t>
      </w:r>
      <w:r w:rsidR="005A5193" w:rsidRPr="00345847">
        <w:rPr>
          <w:rFonts w:ascii="Calibri" w:hAnsi="Calibri" w:cs="Calibri"/>
          <w:sz w:val="22"/>
          <w:szCs w:val="22"/>
        </w:rPr>
        <w:t xml:space="preserve">oybean production field near Grand Forks </w:t>
      </w:r>
      <w:r>
        <w:rPr>
          <w:rFonts w:ascii="Calibri" w:hAnsi="Calibri" w:cs="Calibri"/>
          <w:sz w:val="22"/>
          <w:szCs w:val="22"/>
        </w:rPr>
        <w:t>d</w:t>
      </w:r>
      <w:r w:rsidR="005A5193" w:rsidRPr="00345847">
        <w:rPr>
          <w:rFonts w:ascii="Calibri" w:hAnsi="Calibri" w:cs="Calibri"/>
          <w:sz w:val="22"/>
          <w:szCs w:val="22"/>
        </w:rPr>
        <w:t>uring 2018 due to a persistently high water table. In this field, the southeast corner sustained healthy soybean growth; whereas, most other areas within the field had substantial crop loss (</w:t>
      </w:r>
      <w:r>
        <w:rPr>
          <w:rFonts w:ascii="Calibri" w:hAnsi="Calibri" w:cs="Calibri"/>
          <w:sz w:val="22"/>
          <w:szCs w:val="22"/>
        </w:rPr>
        <w:t>Figure 1</w:t>
      </w:r>
      <w:r w:rsidR="005A5193" w:rsidRPr="00345847">
        <w:rPr>
          <w:rFonts w:ascii="Calibri" w:hAnsi="Calibri" w:cs="Calibri"/>
          <w:sz w:val="22"/>
          <w:szCs w:val="22"/>
        </w:rPr>
        <w:t>). The healthy soybean plants in the southeast corner are the exact outline of a previous research project on cover crops, no-tillage, and tile drainage (previously managed by Co</w:t>
      </w:r>
      <w:r w:rsidR="005A5193" w:rsidRPr="00BD0A93">
        <w:rPr>
          <w:rFonts w:ascii="Calibri" w:hAnsi="Calibri" w:cs="Calibri"/>
          <w:sz w:val="22"/>
          <w:szCs w:val="22"/>
        </w:rPr>
        <w:t>-PI DeSutter</w:t>
      </w:r>
      <w:r w:rsidRPr="00BD0A93">
        <w:rPr>
          <w:rFonts w:ascii="Calibri" w:hAnsi="Calibri" w:cs="Calibri"/>
          <w:sz w:val="22"/>
          <w:szCs w:val="22"/>
        </w:rPr>
        <w:t>; Figure 2</w:t>
      </w:r>
      <w:r w:rsidR="005A5193" w:rsidRPr="00BD0A93">
        <w:rPr>
          <w:rFonts w:ascii="Calibri" w:hAnsi="Calibri" w:cs="Calibri"/>
          <w:sz w:val="22"/>
          <w:szCs w:val="22"/>
        </w:rPr>
        <w:t>) that was decommissioned three years prior to the 2018 soybean crop (</w:t>
      </w:r>
      <w:r w:rsidR="00BD0A93">
        <w:rPr>
          <w:rFonts w:ascii="Calibri" w:hAnsi="Calibri" w:cs="Calibri"/>
          <w:sz w:val="22"/>
          <w:szCs w:val="22"/>
        </w:rPr>
        <w:t xml:space="preserve">Dr. Heather </w:t>
      </w:r>
      <w:r w:rsidR="005A5193" w:rsidRPr="00BD0A93">
        <w:rPr>
          <w:rFonts w:ascii="Calibri" w:hAnsi="Calibri" w:cs="Calibri"/>
          <w:sz w:val="22"/>
          <w:szCs w:val="22"/>
        </w:rPr>
        <w:t>Dose,</w:t>
      </w:r>
      <w:r w:rsidR="00BD0A93">
        <w:rPr>
          <w:rFonts w:ascii="Calibri" w:hAnsi="Calibri" w:cs="Calibri"/>
          <w:sz w:val="22"/>
          <w:szCs w:val="22"/>
        </w:rPr>
        <w:t xml:space="preserve"> NDSU dissertation,</w:t>
      </w:r>
      <w:r w:rsidR="005A5193" w:rsidRPr="00BD0A93">
        <w:rPr>
          <w:rFonts w:ascii="Calibri" w:hAnsi="Calibri" w:cs="Calibri"/>
          <w:sz w:val="22"/>
          <w:szCs w:val="22"/>
        </w:rPr>
        <w:t xml:space="preserve"> 2016). This</w:t>
      </w:r>
      <w:r w:rsidR="005A5193" w:rsidRPr="00345847">
        <w:rPr>
          <w:rFonts w:ascii="Calibri" w:hAnsi="Calibri" w:cs="Calibri"/>
          <w:sz w:val="22"/>
          <w:szCs w:val="22"/>
        </w:rPr>
        <w:t xml:space="preserve"> stark observation present</w:t>
      </w:r>
      <w:r w:rsidR="006D1D9F">
        <w:rPr>
          <w:rFonts w:ascii="Calibri" w:hAnsi="Calibri" w:cs="Calibri"/>
          <w:sz w:val="22"/>
          <w:szCs w:val="22"/>
        </w:rPr>
        <w:t>ed</w:t>
      </w:r>
      <w:r w:rsidR="005A5193" w:rsidRPr="00345847">
        <w:rPr>
          <w:rFonts w:ascii="Calibri" w:hAnsi="Calibri" w:cs="Calibri"/>
          <w:sz w:val="22"/>
          <w:szCs w:val="22"/>
        </w:rPr>
        <w:t xml:space="preserve"> an opportunity for us to evaluate the site’s soil health properties and infer why the older research plots prevented crop loss from salinity. This project evaluate</w:t>
      </w:r>
      <w:r w:rsidR="006D1D9F">
        <w:rPr>
          <w:rFonts w:ascii="Calibri" w:hAnsi="Calibri" w:cs="Calibri"/>
          <w:sz w:val="22"/>
          <w:szCs w:val="22"/>
        </w:rPr>
        <w:t>d</w:t>
      </w:r>
      <w:r w:rsidR="005A5193" w:rsidRPr="00345847">
        <w:rPr>
          <w:rFonts w:ascii="Calibri" w:hAnsi="Calibri" w:cs="Calibri"/>
          <w:sz w:val="22"/>
          <w:szCs w:val="22"/>
        </w:rPr>
        <w:t xml:space="preserve"> the soil biological community</w:t>
      </w:r>
      <w:r w:rsidR="006D1D9F">
        <w:rPr>
          <w:rFonts w:ascii="Calibri" w:hAnsi="Calibri" w:cs="Calibri"/>
          <w:sz w:val="22"/>
          <w:szCs w:val="22"/>
        </w:rPr>
        <w:t xml:space="preserve"> structure</w:t>
      </w:r>
      <w:r w:rsidR="005A5193" w:rsidRPr="00345847">
        <w:rPr>
          <w:rFonts w:ascii="Calibri" w:hAnsi="Calibri" w:cs="Calibri"/>
          <w:sz w:val="22"/>
          <w:szCs w:val="22"/>
        </w:rPr>
        <w:t xml:space="preserve">, soil </w:t>
      </w:r>
      <w:r w:rsidR="006D1D9F">
        <w:rPr>
          <w:rFonts w:ascii="Calibri" w:hAnsi="Calibri" w:cs="Calibri"/>
          <w:sz w:val="22"/>
          <w:szCs w:val="22"/>
        </w:rPr>
        <w:t>aggregation</w:t>
      </w:r>
      <w:r w:rsidR="005A5193" w:rsidRPr="00345847">
        <w:rPr>
          <w:rFonts w:ascii="Calibri" w:hAnsi="Calibri" w:cs="Calibri"/>
          <w:sz w:val="22"/>
          <w:szCs w:val="22"/>
        </w:rPr>
        <w:t xml:space="preserve">, and soil fertility parameters within the southeast corner’s old research site and compare the soil health to other areas within the field with and without severe impact from soil salinity. This evaluation and comparison of soil health indices </w:t>
      </w:r>
      <w:r w:rsidR="006D1D9F">
        <w:rPr>
          <w:rFonts w:ascii="Calibri" w:hAnsi="Calibri" w:cs="Calibri"/>
          <w:sz w:val="22"/>
          <w:szCs w:val="22"/>
        </w:rPr>
        <w:t>is to better understand</w:t>
      </w:r>
      <w:r w:rsidR="005A5193" w:rsidRPr="00345847">
        <w:rPr>
          <w:rFonts w:ascii="Calibri" w:hAnsi="Calibri" w:cs="Calibri"/>
          <w:sz w:val="22"/>
          <w:szCs w:val="22"/>
        </w:rPr>
        <w:t xml:space="preserve"> what aspects of soil health govern soybean field’s resiliency to future soil salinization. </w:t>
      </w:r>
    </w:p>
    <w:p w14:paraId="0EC57881" w14:textId="77777777" w:rsidR="0020527C" w:rsidRPr="00345847" w:rsidRDefault="0020527C" w:rsidP="005A5193">
      <w:pPr>
        <w:jc w:val="both"/>
        <w:rPr>
          <w:rFonts w:ascii="Calibri" w:hAnsi="Calibri" w:cs="Calibri"/>
          <w:sz w:val="22"/>
          <w:szCs w:val="22"/>
        </w:rPr>
      </w:pPr>
    </w:p>
    <w:p w14:paraId="429E2E85" w14:textId="62C8E20C" w:rsidR="005A5193" w:rsidRDefault="0020527C" w:rsidP="0020527C">
      <w:pPr>
        <w:jc w:val="center"/>
        <w:rPr>
          <w:rFonts w:ascii="Calibri" w:hAnsi="Calibri" w:cs="Calibri"/>
          <w:sz w:val="22"/>
          <w:szCs w:val="22"/>
        </w:rPr>
      </w:pPr>
      <w:r w:rsidRPr="00BC439B">
        <w:rPr>
          <w:noProof/>
        </w:rPr>
        <w:drawing>
          <wp:inline distT="0" distB="0" distL="0" distR="0" wp14:anchorId="5C5B13DE" wp14:editId="67026234">
            <wp:extent cx="4419600" cy="3645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4442830" cy="3664916"/>
                    </a:xfrm>
                    <a:prstGeom prst="rect">
                      <a:avLst/>
                    </a:prstGeom>
                  </pic:spPr>
                </pic:pic>
              </a:graphicData>
            </a:graphic>
          </wp:inline>
        </w:drawing>
      </w:r>
    </w:p>
    <w:p w14:paraId="43AE18D7" w14:textId="77777777" w:rsidR="0020527C" w:rsidRPr="002D575C" w:rsidRDefault="0020527C" w:rsidP="0020527C">
      <w:pPr>
        <w:jc w:val="center"/>
        <w:rPr>
          <w:rFonts w:asciiTheme="majorHAnsi" w:hAnsiTheme="majorHAnsi" w:cstheme="majorHAnsi"/>
          <w:i/>
          <w:sz w:val="22"/>
        </w:rPr>
      </w:pPr>
      <w:r w:rsidRPr="002D575C">
        <w:rPr>
          <w:rFonts w:asciiTheme="majorHAnsi" w:hAnsiTheme="majorHAnsi" w:cstheme="majorHAnsi"/>
          <w:b/>
          <w:i/>
          <w:sz w:val="22"/>
          <w:szCs w:val="22"/>
        </w:rPr>
        <w:t xml:space="preserve">Figure 1. </w:t>
      </w:r>
      <w:r w:rsidRPr="002D575C">
        <w:rPr>
          <w:rFonts w:asciiTheme="majorHAnsi" w:hAnsiTheme="majorHAnsi" w:cstheme="majorHAnsi"/>
          <w:i/>
          <w:sz w:val="22"/>
        </w:rPr>
        <w:t>Aerial photo of a soybean field near Grand Forks on August 21</w:t>
      </w:r>
      <w:r w:rsidRPr="002D575C">
        <w:rPr>
          <w:rFonts w:asciiTheme="majorHAnsi" w:hAnsiTheme="majorHAnsi" w:cstheme="majorHAnsi"/>
          <w:i/>
          <w:sz w:val="22"/>
          <w:vertAlign w:val="superscript"/>
        </w:rPr>
        <w:t>st</w:t>
      </w:r>
      <w:r w:rsidRPr="002D575C">
        <w:rPr>
          <w:rFonts w:asciiTheme="majorHAnsi" w:hAnsiTheme="majorHAnsi" w:cstheme="majorHAnsi"/>
          <w:i/>
          <w:sz w:val="22"/>
        </w:rPr>
        <w:t>, 2018. The white areas without plants were substantially affected by soil salinization due to a persistent water table within 2-3 feet of the ground surface throughout the growing season. The area highlighted by the yellow circle with healthy soybeans is a previous research site that was decommissioned three years ago.</w:t>
      </w:r>
    </w:p>
    <w:p w14:paraId="1E76798A" w14:textId="77777777" w:rsidR="006D1D9F" w:rsidRDefault="0048511A" w:rsidP="000D604D">
      <w:pPr>
        <w:jc w:val="both"/>
        <w:rPr>
          <w:rFonts w:ascii="Calibri" w:hAnsi="Calibri" w:cs="Calibri"/>
          <w:sz w:val="22"/>
          <w:szCs w:val="22"/>
        </w:rPr>
      </w:pPr>
      <w:r w:rsidRPr="00345847">
        <w:rPr>
          <w:rFonts w:ascii="Calibri" w:hAnsi="Calibri" w:cs="Calibri"/>
          <w:sz w:val="22"/>
          <w:szCs w:val="22"/>
        </w:rPr>
        <w:lastRenderedPageBreak/>
        <w:t xml:space="preserve">This </w:t>
      </w:r>
      <w:r w:rsidR="00D96BF1" w:rsidRPr="00345847">
        <w:rPr>
          <w:rFonts w:ascii="Calibri" w:hAnsi="Calibri" w:cs="Calibri"/>
          <w:sz w:val="22"/>
          <w:szCs w:val="22"/>
        </w:rPr>
        <w:t xml:space="preserve">project’s goals </w:t>
      </w:r>
      <w:r w:rsidR="0043229E">
        <w:rPr>
          <w:rFonts w:ascii="Calibri" w:hAnsi="Calibri" w:cs="Calibri"/>
          <w:sz w:val="22"/>
          <w:szCs w:val="22"/>
        </w:rPr>
        <w:t>were</w:t>
      </w:r>
      <w:r w:rsidR="00D96BF1" w:rsidRPr="00345847">
        <w:rPr>
          <w:rFonts w:ascii="Calibri" w:hAnsi="Calibri" w:cs="Calibri"/>
          <w:sz w:val="22"/>
          <w:szCs w:val="22"/>
        </w:rPr>
        <w:t xml:space="preserve"> to</w:t>
      </w:r>
      <w:r w:rsidR="006D1D9F">
        <w:rPr>
          <w:rFonts w:ascii="Calibri" w:hAnsi="Calibri" w:cs="Calibri"/>
          <w:sz w:val="22"/>
          <w:szCs w:val="22"/>
        </w:rPr>
        <w:t>:</w:t>
      </w:r>
    </w:p>
    <w:p w14:paraId="20A5DE8E" w14:textId="77777777" w:rsidR="006D1D9F" w:rsidRDefault="00D96BF1" w:rsidP="006D1D9F">
      <w:pPr>
        <w:ind w:left="990" w:hanging="270"/>
        <w:jc w:val="both"/>
        <w:rPr>
          <w:rFonts w:ascii="Calibri" w:hAnsi="Calibri" w:cs="Calibri"/>
          <w:sz w:val="22"/>
          <w:szCs w:val="22"/>
        </w:rPr>
      </w:pPr>
      <w:r w:rsidRPr="00345847">
        <w:rPr>
          <w:rFonts w:ascii="Calibri" w:hAnsi="Calibri" w:cs="Calibri"/>
          <w:sz w:val="22"/>
          <w:szCs w:val="22"/>
        </w:rPr>
        <w:t>1) determine why some soil management practices build a soil’s resiliency to salinization using a case-study site that had stark differences in soybean losses during 2018</w:t>
      </w:r>
      <w:r w:rsidR="006D1D9F">
        <w:rPr>
          <w:rFonts w:ascii="Calibri" w:hAnsi="Calibri" w:cs="Calibri"/>
          <w:sz w:val="22"/>
          <w:szCs w:val="22"/>
        </w:rPr>
        <w:t xml:space="preserve"> (Figure 1)</w:t>
      </w:r>
      <w:r w:rsidRPr="00345847">
        <w:rPr>
          <w:rFonts w:ascii="Calibri" w:hAnsi="Calibri" w:cs="Calibri"/>
          <w:sz w:val="22"/>
          <w:szCs w:val="22"/>
        </w:rPr>
        <w:t xml:space="preserve">, and </w:t>
      </w:r>
    </w:p>
    <w:p w14:paraId="3F8AB97E" w14:textId="15F2DA1A" w:rsidR="0043229E" w:rsidRDefault="00D96BF1" w:rsidP="006D1D9F">
      <w:pPr>
        <w:ind w:left="990" w:hanging="270"/>
        <w:jc w:val="both"/>
        <w:rPr>
          <w:rFonts w:ascii="Calibri" w:hAnsi="Calibri" w:cs="Calibri"/>
          <w:sz w:val="22"/>
          <w:szCs w:val="22"/>
        </w:rPr>
      </w:pPr>
      <w:r w:rsidRPr="00345847">
        <w:rPr>
          <w:rFonts w:ascii="Calibri" w:hAnsi="Calibri" w:cs="Calibri"/>
          <w:sz w:val="22"/>
          <w:szCs w:val="22"/>
        </w:rPr>
        <w:t xml:space="preserve">2) provide recommendations to soybean growers on management practices to help safeguard fields that may be vulnerable to future soil salinization. </w:t>
      </w:r>
    </w:p>
    <w:p w14:paraId="7EFC5614" w14:textId="77777777" w:rsidR="0043229E" w:rsidRDefault="0043229E" w:rsidP="000D604D">
      <w:pPr>
        <w:jc w:val="both"/>
        <w:rPr>
          <w:rFonts w:ascii="Calibri" w:hAnsi="Calibri" w:cs="Calibri"/>
          <w:sz w:val="22"/>
          <w:szCs w:val="22"/>
        </w:rPr>
      </w:pPr>
    </w:p>
    <w:p w14:paraId="278B603E" w14:textId="77777777" w:rsidR="006D1D9F" w:rsidRDefault="00D96BF1" w:rsidP="000D604D">
      <w:pPr>
        <w:jc w:val="both"/>
        <w:rPr>
          <w:rFonts w:ascii="Calibri" w:hAnsi="Calibri" w:cs="Calibri"/>
          <w:sz w:val="22"/>
          <w:szCs w:val="22"/>
        </w:rPr>
      </w:pPr>
      <w:r w:rsidRPr="00345847">
        <w:rPr>
          <w:rFonts w:ascii="Calibri" w:hAnsi="Calibri" w:cs="Calibri"/>
          <w:sz w:val="22"/>
          <w:szCs w:val="22"/>
        </w:rPr>
        <w:t xml:space="preserve">The objectives </w:t>
      </w:r>
      <w:r w:rsidR="0043229E">
        <w:rPr>
          <w:rFonts w:ascii="Calibri" w:hAnsi="Calibri" w:cs="Calibri"/>
          <w:sz w:val="22"/>
          <w:szCs w:val="22"/>
        </w:rPr>
        <w:t>were</w:t>
      </w:r>
      <w:r w:rsidRPr="00345847">
        <w:rPr>
          <w:rFonts w:ascii="Calibri" w:hAnsi="Calibri" w:cs="Calibri"/>
          <w:sz w:val="22"/>
          <w:szCs w:val="22"/>
        </w:rPr>
        <w:t xml:space="preserve"> to</w:t>
      </w:r>
      <w:r w:rsidR="006D1D9F">
        <w:rPr>
          <w:rFonts w:ascii="Calibri" w:hAnsi="Calibri" w:cs="Calibri"/>
          <w:sz w:val="22"/>
          <w:szCs w:val="22"/>
        </w:rPr>
        <w:t>:</w:t>
      </w:r>
    </w:p>
    <w:p w14:paraId="0D79267E" w14:textId="77777777" w:rsidR="006D1D9F" w:rsidRDefault="006D1D9F" w:rsidP="006D1D9F">
      <w:pPr>
        <w:ind w:left="990" w:hanging="270"/>
        <w:jc w:val="both"/>
        <w:rPr>
          <w:rFonts w:ascii="Calibri" w:hAnsi="Calibri" w:cs="Calibri"/>
          <w:sz w:val="22"/>
          <w:szCs w:val="22"/>
        </w:rPr>
      </w:pPr>
      <w:r>
        <w:rPr>
          <w:rFonts w:ascii="Calibri" w:hAnsi="Calibri" w:cs="Calibri"/>
          <w:sz w:val="22"/>
          <w:szCs w:val="22"/>
        </w:rPr>
        <w:t xml:space="preserve">1) </w:t>
      </w:r>
      <w:r w:rsidR="00D96BF1" w:rsidRPr="00345847">
        <w:rPr>
          <w:rFonts w:ascii="Calibri" w:hAnsi="Calibri" w:cs="Calibri"/>
          <w:sz w:val="22"/>
          <w:szCs w:val="22"/>
        </w:rPr>
        <w:t xml:space="preserve">identify soil health parameters, associated with biological, </w:t>
      </w:r>
      <w:r>
        <w:rPr>
          <w:rFonts w:ascii="Calibri" w:hAnsi="Calibri" w:cs="Calibri"/>
          <w:sz w:val="22"/>
          <w:szCs w:val="22"/>
        </w:rPr>
        <w:t>physical</w:t>
      </w:r>
      <w:r w:rsidR="00D96BF1" w:rsidRPr="00345847">
        <w:rPr>
          <w:rFonts w:ascii="Calibri" w:hAnsi="Calibri" w:cs="Calibri"/>
          <w:sz w:val="22"/>
          <w:szCs w:val="22"/>
        </w:rPr>
        <w:t xml:space="preserve">, and fertility aspects, which are strongly linked to soil management areas that have demonstrated resiliency to soil salinization and soybean loss, and </w:t>
      </w:r>
    </w:p>
    <w:p w14:paraId="377F8A3D" w14:textId="491D8B63" w:rsidR="00485BF8" w:rsidRPr="00345847" w:rsidRDefault="00D96BF1" w:rsidP="006D1D9F">
      <w:pPr>
        <w:ind w:left="990" w:hanging="270"/>
        <w:jc w:val="both"/>
        <w:rPr>
          <w:rFonts w:ascii="Calibri" w:hAnsi="Calibri" w:cs="Calibri"/>
          <w:sz w:val="22"/>
          <w:szCs w:val="22"/>
        </w:rPr>
      </w:pPr>
      <w:r w:rsidRPr="00345847">
        <w:rPr>
          <w:rFonts w:ascii="Calibri" w:hAnsi="Calibri" w:cs="Calibri"/>
          <w:sz w:val="22"/>
          <w:szCs w:val="22"/>
        </w:rPr>
        <w:t xml:space="preserve">2) disseminate information to soybean producers at established annual field days and local grower meetings. </w:t>
      </w:r>
    </w:p>
    <w:p w14:paraId="18936621" w14:textId="69C1BF73" w:rsidR="00345847" w:rsidRPr="00345847" w:rsidRDefault="00345847" w:rsidP="000D604D">
      <w:pPr>
        <w:jc w:val="both"/>
        <w:rPr>
          <w:rFonts w:ascii="Calibri" w:hAnsi="Calibri" w:cs="Calibri"/>
          <w:sz w:val="22"/>
          <w:szCs w:val="22"/>
        </w:rPr>
      </w:pPr>
    </w:p>
    <w:p w14:paraId="49F1D55E" w14:textId="31BDC751" w:rsidR="00345847" w:rsidRPr="00345847" w:rsidRDefault="00345847" w:rsidP="00345847">
      <w:pPr>
        <w:jc w:val="both"/>
        <w:rPr>
          <w:rFonts w:ascii="Calibri" w:hAnsi="Calibri" w:cs="Calibri"/>
          <w:sz w:val="22"/>
          <w:szCs w:val="22"/>
        </w:rPr>
      </w:pPr>
      <w:r w:rsidRPr="00345847">
        <w:rPr>
          <w:rFonts w:ascii="Calibri" w:hAnsi="Calibri" w:cs="Calibri"/>
          <w:sz w:val="22"/>
          <w:szCs w:val="22"/>
        </w:rPr>
        <w:t xml:space="preserve">This </w:t>
      </w:r>
      <w:r w:rsidR="006D1D9F">
        <w:rPr>
          <w:rFonts w:ascii="Calibri" w:hAnsi="Calibri" w:cs="Calibri"/>
          <w:sz w:val="22"/>
          <w:szCs w:val="22"/>
        </w:rPr>
        <w:t xml:space="preserve">type of </w:t>
      </w:r>
      <w:r w:rsidRPr="00345847">
        <w:rPr>
          <w:rFonts w:ascii="Calibri" w:hAnsi="Calibri" w:cs="Calibri"/>
          <w:sz w:val="22"/>
          <w:szCs w:val="22"/>
        </w:rPr>
        <w:t xml:space="preserve">research will benefit ND soybean farmers by providing information to producers on which soil health parameters aid in limiting soil salinization in future years. Producers will then be able to </w:t>
      </w:r>
      <w:r w:rsidR="006D1D9F">
        <w:rPr>
          <w:rFonts w:ascii="Calibri" w:hAnsi="Calibri" w:cs="Calibri"/>
          <w:sz w:val="22"/>
          <w:szCs w:val="22"/>
        </w:rPr>
        <w:t xml:space="preserve">better </w:t>
      </w:r>
      <w:r w:rsidRPr="00345847">
        <w:rPr>
          <w:rFonts w:ascii="Calibri" w:hAnsi="Calibri" w:cs="Calibri"/>
          <w:sz w:val="22"/>
          <w:szCs w:val="22"/>
        </w:rPr>
        <w:t>align their soil management practices to safeguard their soybean yields in fields that may be prone to future salinization.</w:t>
      </w:r>
    </w:p>
    <w:p w14:paraId="5342B4AA" w14:textId="2791F101" w:rsidR="00345847" w:rsidRPr="00345847" w:rsidRDefault="00345847" w:rsidP="000D604D">
      <w:pPr>
        <w:jc w:val="both"/>
        <w:rPr>
          <w:rFonts w:ascii="Calibri" w:hAnsi="Calibri" w:cs="Calibri"/>
          <w:sz w:val="22"/>
          <w:szCs w:val="22"/>
        </w:rPr>
      </w:pPr>
    </w:p>
    <w:p w14:paraId="1BFDF817" w14:textId="28BE68DA" w:rsidR="00345847" w:rsidRPr="005A5193" w:rsidRDefault="00345847" w:rsidP="00345847">
      <w:pPr>
        <w:rPr>
          <w:rFonts w:ascii="Calibri" w:hAnsi="Calibri" w:cs="Calibri"/>
          <w:sz w:val="28"/>
          <w:szCs w:val="22"/>
          <w:u w:val="single"/>
        </w:rPr>
      </w:pPr>
      <w:r w:rsidRPr="005A5193">
        <w:rPr>
          <w:rFonts w:ascii="Calibri" w:hAnsi="Calibri" w:cs="Calibri"/>
          <w:sz w:val="28"/>
          <w:szCs w:val="22"/>
          <w:u w:val="single"/>
        </w:rPr>
        <w:t xml:space="preserve">Methods </w:t>
      </w:r>
    </w:p>
    <w:p w14:paraId="7923591A" w14:textId="699A4F92" w:rsidR="00345847" w:rsidRPr="00345847" w:rsidRDefault="006D1D9F" w:rsidP="00345847">
      <w:pPr>
        <w:jc w:val="both"/>
        <w:rPr>
          <w:rFonts w:ascii="Calibri" w:hAnsi="Calibri" w:cs="Calibri"/>
          <w:sz w:val="22"/>
          <w:szCs w:val="22"/>
        </w:rPr>
      </w:pPr>
      <w:r>
        <w:rPr>
          <w:rFonts w:ascii="Calibri" w:hAnsi="Calibri" w:cs="Calibri"/>
          <w:sz w:val="22"/>
          <w:szCs w:val="22"/>
        </w:rPr>
        <w:t>The f</w:t>
      </w:r>
      <w:r w:rsidR="00345847" w:rsidRPr="00345847">
        <w:rPr>
          <w:rFonts w:ascii="Calibri" w:hAnsi="Calibri" w:cs="Calibri"/>
          <w:sz w:val="22"/>
          <w:szCs w:val="22"/>
        </w:rPr>
        <w:t>ield site used in this study (</w:t>
      </w:r>
      <w:r>
        <w:rPr>
          <w:rFonts w:ascii="Calibri" w:hAnsi="Calibri" w:cs="Calibri"/>
          <w:sz w:val="22"/>
          <w:szCs w:val="22"/>
        </w:rPr>
        <w:t>Figures 1 and 2) is located southwest of</w:t>
      </w:r>
      <w:r w:rsidR="00345847" w:rsidRPr="00345847">
        <w:rPr>
          <w:rFonts w:ascii="Calibri" w:hAnsi="Calibri" w:cs="Calibri"/>
          <w:sz w:val="22"/>
          <w:szCs w:val="22"/>
        </w:rPr>
        <w:t xml:space="preserve"> Grand Forks, ND</w:t>
      </w:r>
      <w:r>
        <w:rPr>
          <w:rFonts w:ascii="Calibri" w:hAnsi="Calibri" w:cs="Calibri"/>
          <w:sz w:val="22"/>
          <w:szCs w:val="22"/>
        </w:rPr>
        <w:t xml:space="preserve"> on a producer’s farm</w:t>
      </w:r>
      <w:r w:rsidR="00345847" w:rsidRPr="00345847">
        <w:rPr>
          <w:rFonts w:ascii="Calibri" w:hAnsi="Calibri" w:cs="Calibri"/>
          <w:sz w:val="22"/>
          <w:szCs w:val="22"/>
        </w:rPr>
        <w:t>. This field, and surrounding areas, has experienced persistently high water tables during 2018 which resulted in substantial soybean losses due to soil salinization</w:t>
      </w:r>
      <w:r>
        <w:rPr>
          <w:rFonts w:ascii="Calibri" w:hAnsi="Calibri" w:cs="Calibri"/>
          <w:sz w:val="22"/>
          <w:szCs w:val="22"/>
        </w:rPr>
        <w:t xml:space="preserve"> (Figure 1)</w:t>
      </w:r>
      <w:r w:rsidR="00345847" w:rsidRPr="00345847">
        <w:rPr>
          <w:rFonts w:ascii="Calibri" w:hAnsi="Calibri" w:cs="Calibri"/>
          <w:sz w:val="22"/>
          <w:szCs w:val="22"/>
        </w:rPr>
        <w:t xml:space="preserve">. </w:t>
      </w:r>
      <w:r>
        <w:rPr>
          <w:rFonts w:ascii="Calibri" w:hAnsi="Calibri" w:cs="Calibri"/>
          <w:sz w:val="22"/>
          <w:szCs w:val="22"/>
        </w:rPr>
        <w:t>This study was initiated in the summer of 2019 and concluded in spring of 2020.</w:t>
      </w:r>
    </w:p>
    <w:p w14:paraId="5C1E36FA" w14:textId="77777777" w:rsidR="00345847" w:rsidRPr="00345847" w:rsidRDefault="00345847" w:rsidP="00345847">
      <w:pPr>
        <w:tabs>
          <w:tab w:val="left" w:pos="8070"/>
        </w:tabs>
        <w:jc w:val="both"/>
        <w:rPr>
          <w:rFonts w:ascii="Calibri" w:hAnsi="Calibri" w:cs="Calibri"/>
          <w:sz w:val="22"/>
          <w:szCs w:val="22"/>
        </w:rPr>
      </w:pPr>
      <w:r w:rsidRPr="00345847">
        <w:rPr>
          <w:rFonts w:ascii="Calibri" w:hAnsi="Calibri" w:cs="Calibri"/>
          <w:sz w:val="22"/>
          <w:szCs w:val="22"/>
        </w:rPr>
        <w:tab/>
      </w:r>
    </w:p>
    <w:p w14:paraId="555C9F9D" w14:textId="2958B0CC" w:rsidR="006D1D9F" w:rsidRDefault="006D1D9F" w:rsidP="00BD0A93">
      <w:pPr>
        <w:jc w:val="both"/>
        <w:rPr>
          <w:rFonts w:ascii="Calibri" w:hAnsi="Calibri" w:cs="Calibri"/>
          <w:sz w:val="22"/>
          <w:szCs w:val="22"/>
        </w:rPr>
      </w:pPr>
      <w:r>
        <w:rPr>
          <w:rFonts w:ascii="Calibri" w:hAnsi="Calibri" w:cs="Calibri"/>
          <w:sz w:val="22"/>
          <w:szCs w:val="22"/>
        </w:rPr>
        <w:t>T</w:t>
      </w:r>
      <w:r w:rsidR="00345847" w:rsidRPr="00345847">
        <w:rPr>
          <w:rFonts w:ascii="Calibri" w:hAnsi="Calibri" w:cs="Calibri"/>
          <w:sz w:val="22"/>
          <w:szCs w:val="22"/>
        </w:rPr>
        <w:t xml:space="preserve">ransects </w:t>
      </w:r>
      <w:r>
        <w:rPr>
          <w:rFonts w:ascii="Calibri" w:hAnsi="Calibri" w:cs="Calibri"/>
          <w:sz w:val="22"/>
          <w:szCs w:val="22"/>
        </w:rPr>
        <w:t>(N=9) were</w:t>
      </w:r>
      <w:r w:rsidR="00345847" w:rsidRPr="00345847">
        <w:rPr>
          <w:rFonts w:ascii="Calibri" w:hAnsi="Calibri" w:cs="Calibri"/>
          <w:sz w:val="22"/>
          <w:szCs w:val="22"/>
        </w:rPr>
        <w:t xml:space="preserve"> established and georeferenced for soil sampling</w:t>
      </w:r>
      <w:r>
        <w:rPr>
          <w:rFonts w:ascii="Calibri" w:hAnsi="Calibri" w:cs="Calibri"/>
          <w:sz w:val="22"/>
          <w:szCs w:val="22"/>
        </w:rPr>
        <w:t xml:space="preserve"> in 2019</w:t>
      </w:r>
      <w:r w:rsidR="00345847" w:rsidRPr="00345847">
        <w:rPr>
          <w:rFonts w:ascii="Calibri" w:hAnsi="Calibri" w:cs="Calibri"/>
          <w:sz w:val="22"/>
          <w:szCs w:val="22"/>
        </w:rPr>
        <w:t>.</w:t>
      </w:r>
      <w:r>
        <w:rPr>
          <w:rFonts w:ascii="Calibri" w:hAnsi="Calibri" w:cs="Calibri"/>
          <w:sz w:val="22"/>
          <w:szCs w:val="22"/>
        </w:rPr>
        <w:t xml:space="preserve"> Three transects were located at the western edge and three transects at the northern edge of the decommissioned research site that had been maintained with no-till practices and underlined with subsurface drainage. Three additional transects were located within the neighboring areas that has been maintained with conventional tillage and no drainage management.  Each transect was placed where four consecutive sample points were in an area with dead, damaged, or dying plants, whereas the remaining four consecutive sample points were in an area with living plants (Figure 2). This arrangement of transects allows us to evaluate “pairs” of adjacent areas of contrasting plant performance that may have been controlled by soil management practices (i.e., tillage and drainage) or by natural patches of salinity (i.e., the three transects located in the area neighboring the decommissioned research site) under conventional management practices.</w:t>
      </w:r>
    </w:p>
    <w:p w14:paraId="65F4D7B8" w14:textId="77777777" w:rsidR="006D1D9F" w:rsidRDefault="006D1D9F" w:rsidP="00BD0A93">
      <w:pPr>
        <w:jc w:val="both"/>
        <w:rPr>
          <w:rFonts w:ascii="Calibri" w:hAnsi="Calibri" w:cs="Calibri"/>
          <w:sz w:val="22"/>
          <w:szCs w:val="22"/>
        </w:rPr>
      </w:pPr>
    </w:p>
    <w:p w14:paraId="6D221DFF" w14:textId="41F201E8" w:rsidR="00BD0A93" w:rsidRDefault="00345847" w:rsidP="00BD0A93">
      <w:pPr>
        <w:jc w:val="both"/>
        <w:rPr>
          <w:rFonts w:ascii="Calibri" w:hAnsi="Calibri" w:cs="Calibri"/>
          <w:sz w:val="22"/>
          <w:szCs w:val="22"/>
        </w:rPr>
      </w:pPr>
      <w:r w:rsidRPr="00345847">
        <w:rPr>
          <w:rFonts w:ascii="Calibri" w:hAnsi="Calibri" w:cs="Calibri"/>
          <w:sz w:val="22"/>
          <w:szCs w:val="22"/>
        </w:rPr>
        <w:t xml:space="preserve">For soil biological community structures and soil fertility evaluations, disturbed soil samples </w:t>
      </w:r>
      <w:r w:rsidR="006D1D9F">
        <w:rPr>
          <w:rFonts w:ascii="Calibri" w:hAnsi="Calibri" w:cs="Calibri"/>
          <w:sz w:val="22"/>
          <w:szCs w:val="22"/>
        </w:rPr>
        <w:t>were</w:t>
      </w:r>
      <w:r w:rsidRPr="00345847">
        <w:rPr>
          <w:rFonts w:ascii="Calibri" w:hAnsi="Calibri" w:cs="Calibri"/>
          <w:sz w:val="22"/>
          <w:szCs w:val="22"/>
        </w:rPr>
        <w:t xml:space="preserve"> collected at all transect points. Soil biological community structures </w:t>
      </w:r>
      <w:r w:rsidR="006D1D9F">
        <w:rPr>
          <w:rFonts w:ascii="Calibri" w:hAnsi="Calibri" w:cs="Calibri"/>
          <w:sz w:val="22"/>
          <w:szCs w:val="22"/>
        </w:rPr>
        <w:t>were</w:t>
      </w:r>
      <w:r w:rsidRPr="00345847">
        <w:rPr>
          <w:rFonts w:ascii="Calibri" w:hAnsi="Calibri" w:cs="Calibri"/>
          <w:sz w:val="22"/>
          <w:szCs w:val="22"/>
        </w:rPr>
        <w:t xml:space="preserve"> analyzed using phospholipid fatty acid (PLFA) analysis for total microbial biomass, arbuscular mycorrhizal </w:t>
      </w:r>
      <w:r w:rsidR="006D1D9F">
        <w:rPr>
          <w:rFonts w:ascii="Calibri" w:hAnsi="Calibri" w:cs="Calibri"/>
          <w:sz w:val="22"/>
          <w:szCs w:val="22"/>
        </w:rPr>
        <w:t xml:space="preserve">(AM) </w:t>
      </w:r>
      <w:r w:rsidRPr="00345847">
        <w:rPr>
          <w:rFonts w:ascii="Calibri" w:hAnsi="Calibri" w:cs="Calibri"/>
          <w:sz w:val="22"/>
          <w:szCs w:val="22"/>
        </w:rPr>
        <w:t xml:space="preserve">fungi, </w:t>
      </w:r>
      <w:r w:rsidR="006D1D9F">
        <w:rPr>
          <w:rFonts w:ascii="Calibri" w:hAnsi="Calibri" w:cs="Calibri"/>
          <w:sz w:val="22"/>
          <w:szCs w:val="22"/>
        </w:rPr>
        <w:t>remaining</w:t>
      </w:r>
      <w:r w:rsidRPr="00345847">
        <w:rPr>
          <w:rFonts w:ascii="Calibri" w:hAnsi="Calibri" w:cs="Calibri"/>
          <w:sz w:val="22"/>
          <w:szCs w:val="22"/>
        </w:rPr>
        <w:t xml:space="preserve"> fungi, actinomycetes, eukaryotes, gram negative and positive bacteria, </w:t>
      </w:r>
      <w:r w:rsidR="002D575C">
        <w:rPr>
          <w:rFonts w:ascii="Calibri" w:hAnsi="Calibri" w:cs="Calibri"/>
          <w:sz w:val="22"/>
          <w:szCs w:val="22"/>
        </w:rPr>
        <w:t xml:space="preserve">G- stress (ratio of </w:t>
      </w:r>
      <w:r w:rsidRPr="00345847">
        <w:rPr>
          <w:rFonts w:ascii="Calibri" w:hAnsi="Calibri" w:cs="Calibri"/>
          <w:sz w:val="22"/>
          <w:szCs w:val="22"/>
        </w:rPr>
        <w:t>cyclopropanes</w:t>
      </w:r>
      <w:r w:rsidR="002D575C">
        <w:rPr>
          <w:rFonts w:ascii="Calibri" w:hAnsi="Calibri" w:cs="Calibri"/>
          <w:sz w:val="22"/>
          <w:szCs w:val="22"/>
        </w:rPr>
        <w:t xml:space="preserve"> to gram negative bacteria)</w:t>
      </w:r>
      <w:r w:rsidRPr="00345847">
        <w:rPr>
          <w:rFonts w:ascii="Calibri" w:hAnsi="Calibri" w:cs="Calibri"/>
          <w:sz w:val="22"/>
          <w:szCs w:val="22"/>
        </w:rPr>
        <w:t xml:space="preserve"> which can be used as a stress indicator of gram negative bacteria (i.e. bacteria typically associated with the rhizosphere among plant roots)</w:t>
      </w:r>
      <w:r w:rsidR="002D575C">
        <w:rPr>
          <w:rFonts w:ascii="Calibri" w:hAnsi="Calibri" w:cs="Calibri"/>
          <w:sz w:val="22"/>
          <w:szCs w:val="22"/>
        </w:rPr>
        <w:t>, and several other PLFA ratios of interest</w:t>
      </w:r>
      <w:r w:rsidRPr="00345847">
        <w:rPr>
          <w:rFonts w:ascii="Calibri" w:hAnsi="Calibri" w:cs="Calibri"/>
          <w:sz w:val="22"/>
          <w:szCs w:val="22"/>
        </w:rPr>
        <w:t>. Soil fertility parameters include</w:t>
      </w:r>
      <w:r w:rsidR="006D1D9F">
        <w:rPr>
          <w:rFonts w:ascii="Calibri" w:hAnsi="Calibri" w:cs="Calibri"/>
          <w:sz w:val="22"/>
          <w:szCs w:val="22"/>
        </w:rPr>
        <w:t>d</w:t>
      </w:r>
      <w:r w:rsidRPr="00345847">
        <w:rPr>
          <w:rFonts w:ascii="Calibri" w:hAnsi="Calibri" w:cs="Calibri"/>
          <w:sz w:val="22"/>
          <w:szCs w:val="22"/>
        </w:rPr>
        <w:t xml:space="preserve"> </w:t>
      </w:r>
      <w:r w:rsidR="006D1D9F">
        <w:rPr>
          <w:rFonts w:ascii="Calibri" w:hAnsi="Calibri" w:cs="Calibri"/>
          <w:sz w:val="22"/>
          <w:szCs w:val="22"/>
        </w:rPr>
        <w:t xml:space="preserve">nitrate-N, Olsen P, extractable K, 1:1 </w:t>
      </w:r>
      <w:r w:rsidRPr="00345847">
        <w:rPr>
          <w:rFonts w:ascii="Calibri" w:hAnsi="Calibri" w:cs="Calibri"/>
          <w:sz w:val="22"/>
          <w:szCs w:val="22"/>
        </w:rPr>
        <w:t xml:space="preserve">pH, </w:t>
      </w:r>
      <w:r w:rsidR="006D1D9F">
        <w:rPr>
          <w:rFonts w:ascii="Calibri" w:hAnsi="Calibri" w:cs="Calibri"/>
          <w:sz w:val="22"/>
          <w:szCs w:val="22"/>
        </w:rPr>
        <w:t xml:space="preserve">1:1 </w:t>
      </w:r>
      <w:r w:rsidRPr="00345847">
        <w:rPr>
          <w:rFonts w:ascii="Calibri" w:hAnsi="Calibri" w:cs="Calibri"/>
          <w:sz w:val="22"/>
          <w:szCs w:val="22"/>
        </w:rPr>
        <w:t>electrical conductivity</w:t>
      </w:r>
      <w:r w:rsidR="006D1D9F">
        <w:rPr>
          <w:rFonts w:ascii="Calibri" w:hAnsi="Calibri" w:cs="Calibri"/>
          <w:sz w:val="22"/>
          <w:szCs w:val="22"/>
        </w:rPr>
        <w:t xml:space="preserve"> (EC)</w:t>
      </w:r>
      <w:r w:rsidRPr="00345847">
        <w:rPr>
          <w:rFonts w:ascii="Calibri" w:hAnsi="Calibri" w:cs="Calibri"/>
          <w:sz w:val="22"/>
          <w:szCs w:val="22"/>
        </w:rPr>
        <w:t xml:space="preserve">, and </w:t>
      </w:r>
      <w:r w:rsidR="006D1D9F">
        <w:rPr>
          <w:rFonts w:ascii="Calibri" w:hAnsi="Calibri" w:cs="Calibri"/>
          <w:sz w:val="22"/>
          <w:szCs w:val="22"/>
        </w:rPr>
        <w:t>saturated paste extracts for EC</w:t>
      </w:r>
      <w:r w:rsidR="006D1D9F" w:rsidRPr="006D1D9F">
        <w:rPr>
          <w:rFonts w:ascii="Calibri" w:hAnsi="Calibri" w:cs="Calibri"/>
          <w:sz w:val="22"/>
          <w:szCs w:val="22"/>
          <w:vertAlign w:val="subscript"/>
        </w:rPr>
        <w:t>e</w:t>
      </w:r>
      <w:r w:rsidR="006D1D9F">
        <w:rPr>
          <w:rFonts w:ascii="Calibri" w:hAnsi="Calibri" w:cs="Calibri"/>
          <w:sz w:val="22"/>
          <w:szCs w:val="22"/>
        </w:rPr>
        <w:t xml:space="preserve">, Ca, Mg, Na, and sodium adsorption ratio (SAR).  Additionally, we analyzed for soil health indicators, including permanganate oxidizable carbon (POXC) and soil protein (an indicator of labile organic N contents). Non-disturbed soil cores were also collected at each point of the nine </w:t>
      </w:r>
      <w:r w:rsidR="006D1D9F">
        <w:rPr>
          <w:rFonts w:ascii="Calibri" w:hAnsi="Calibri" w:cs="Calibri"/>
          <w:sz w:val="22"/>
          <w:szCs w:val="22"/>
        </w:rPr>
        <w:lastRenderedPageBreak/>
        <w:t xml:space="preserve">transects and analyzed for large macroaggregates, macroaggregates, and microaggregate distributions. </w:t>
      </w:r>
      <w:r w:rsidRPr="00345847">
        <w:rPr>
          <w:rFonts w:ascii="Calibri" w:hAnsi="Calibri" w:cs="Calibri"/>
          <w:sz w:val="22"/>
          <w:szCs w:val="22"/>
        </w:rPr>
        <w:t xml:space="preserve">Intact soil cores </w:t>
      </w:r>
      <w:r w:rsidR="006D1D9F">
        <w:rPr>
          <w:rFonts w:ascii="Calibri" w:hAnsi="Calibri" w:cs="Calibri"/>
          <w:sz w:val="22"/>
          <w:szCs w:val="22"/>
        </w:rPr>
        <w:t>were</w:t>
      </w:r>
      <w:r w:rsidRPr="00345847">
        <w:rPr>
          <w:rFonts w:ascii="Calibri" w:hAnsi="Calibri" w:cs="Calibri"/>
          <w:sz w:val="22"/>
          <w:szCs w:val="22"/>
        </w:rPr>
        <w:t xml:space="preserve"> collected at </w:t>
      </w:r>
      <w:r w:rsidR="006D1D9F">
        <w:rPr>
          <w:rFonts w:ascii="Calibri" w:hAnsi="Calibri" w:cs="Calibri"/>
          <w:sz w:val="22"/>
          <w:szCs w:val="22"/>
        </w:rPr>
        <w:t xml:space="preserve">the ends of each </w:t>
      </w:r>
      <w:r w:rsidRPr="00345847">
        <w:rPr>
          <w:rFonts w:ascii="Calibri" w:hAnsi="Calibri" w:cs="Calibri"/>
          <w:sz w:val="22"/>
          <w:szCs w:val="22"/>
        </w:rPr>
        <w:t xml:space="preserve">transect using PCV collars. </w:t>
      </w:r>
    </w:p>
    <w:p w14:paraId="14012647" w14:textId="77777777" w:rsidR="00BD0A93" w:rsidRDefault="00BD0A93" w:rsidP="00BD0A93">
      <w:pPr>
        <w:jc w:val="center"/>
        <w:rPr>
          <w:rFonts w:ascii="Calibri" w:hAnsi="Calibri" w:cs="Calibri"/>
          <w:sz w:val="22"/>
          <w:szCs w:val="22"/>
        </w:rPr>
      </w:pPr>
    </w:p>
    <w:p w14:paraId="23775528" w14:textId="50E59E92" w:rsidR="00BD0A93" w:rsidRPr="00345847" w:rsidRDefault="00BD0A93" w:rsidP="00BD0A93">
      <w:pPr>
        <w:jc w:val="center"/>
        <w:rPr>
          <w:rFonts w:ascii="Calibri" w:hAnsi="Calibri" w:cs="Calibri"/>
          <w:b/>
          <w:sz w:val="22"/>
          <w:szCs w:val="22"/>
        </w:rPr>
      </w:pPr>
      <w:r w:rsidRPr="00345847">
        <w:rPr>
          <w:rFonts w:ascii="Calibri" w:hAnsi="Calibri" w:cs="Calibri"/>
          <w:b/>
          <w:noProof/>
          <w:sz w:val="22"/>
          <w:szCs w:val="22"/>
        </w:rPr>
        <w:drawing>
          <wp:inline distT="0" distB="0" distL="0" distR="0" wp14:anchorId="148E4736" wp14:editId="314EA8FA">
            <wp:extent cx="4572000" cy="313850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138509"/>
                    </a:xfrm>
                    <a:prstGeom prst="rect">
                      <a:avLst/>
                    </a:prstGeom>
                    <a:noFill/>
                  </pic:spPr>
                </pic:pic>
              </a:graphicData>
            </a:graphic>
          </wp:inline>
        </w:drawing>
      </w:r>
    </w:p>
    <w:p w14:paraId="340A91F6" w14:textId="77777777" w:rsidR="00BD0A93" w:rsidRPr="002D575C" w:rsidRDefault="00BD0A93" w:rsidP="00BD0A93">
      <w:pPr>
        <w:jc w:val="center"/>
        <w:rPr>
          <w:rFonts w:ascii="Calibri" w:hAnsi="Calibri" w:cs="Calibri"/>
          <w:b/>
          <w:i/>
          <w:sz w:val="22"/>
          <w:szCs w:val="22"/>
        </w:rPr>
      </w:pPr>
      <w:r w:rsidRPr="002D575C">
        <w:rPr>
          <w:rFonts w:ascii="Calibri" w:hAnsi="Calibri" w:cs="Calibri"/>
          <w:b/>
          <w:i/>
          <w:sz w:val="22"/>
          <w:szCs w:val="22"/>
        </w:rPr>
        <w:t xml:space="preserve">Figure 2. </w:t>
      </w:r>
      <w:r w:rsidRPr="002D575C">
        <w:rPr>
          <w:rFonts w:ascii="Calibri" w:hAnsi="Calibri" w:cs="Calibri"/>
          <w:i/>
          <w:sz w:val="22"/>
          <w:szCs w:val="22"/>
        </w:rPr>
        <w:t>Aerial photograph of soybean field taken in August 2018. Bold lines on the right indicate where the decommissioned research site is located. Light lines on the left indicate a ongoing federally funded project. Yellow circles indicate transects where soil samples were obtained for the current study.</w:t>
      </w:r>
    </w:p>
    <w:p w14:paraId="50AA42A9" w14:textId="77777777" w:rsidR="00BD0A93" w:rsidRDefault="00BD0A93" w:rsidP="00345847">
      <w:pPr>
        <w:jc w:val="both"/>
        <w:rPr>
          <w:rFonts w:ascii="Calibri" w:hAnsi="Calibri" w:cs="Calibri"/>
          <w:sz w:val="22"/>
          <w:szCs w:val="22"/>
        </w:rPr>
      </w:pPr>
    </w:p>
    <w:p w14:paraId="1A598AB1" w14:textId="0B26201A" w:rsidR="00345847" w:rsidRPr="00345847" w:rsidRDefault="00345847" w:rsidP="00345847">
      <w:pPr>
        <w:jc w:val="both"/>
        <w:rPr>
          <w:rFonts w:ascii="Calibri" w:hAnsi="Calibri" w:cs="Calibri"/>
          <w:sz w:val="22"/>
          <w:szCs w:val="22"/>
        </w:rPr>
      </w:pPr>
      <w:r w:rsidRPr="00345847">
        <w:rPr>
          <w:rFonts w:ascii="Calibri" w:hAnsi="Calibri" w:cs="Calibri"/>
          <w:sz w:val="22"/>
          <w:szCs w:val="22"/>
        </w:rPr>
        <w:t xml:space="preserve">These intact soil cores </w:t>
      </w:r>
      <w:r w:rsidR="006D1D9F">
        <w:rPr>
          <w:rFonts w:ascii="Calibri" w:hAnsi="Calibri" w:cs="Calibri"/>
          <w:sz w:val="22"/>
          <w:szCs w:val="22"/>
        </w:rPr>
        <w:t>were then</w:t>
      </w:r>
      <w:r w:rsidRPr="00345847">
        <w:rPr>
          <w:rFonts w:ascii="Calibri" w:hAnsi="Calibri" w:cs="Calibri"/>
          <w:sz w:val="22"/>
          <w:szCs w:val="22"/>
        </w:rPr>
        <w:t xml:space="preserve"> imaged on a GE v|tome|x s microfocus X-ray computed tomography (CT) system at the NDSU Electron Microscopy Center. These CT images provide a 3-dimentional view within the intact soil core to identify and assess macropores, soil structure, pore architecture, and particulate organic matter within the undisturbed soil. The 3-dimentional scans </w:t>
      </w:r>
      <w:r w:rsidR="006D1D9F">
        <w:rPr>
          <w:rFonts w:ascii="Calibri" w:hAnsi="Calibri" w:cs="Calibri"/>
          <w:sz w:val="22"/>
          <w:szCs w:val="22"/>
        </w:rPr>
        <w:t xml:space="preserve">were obtained and </w:t>
      </w:r>
      <w:r w:rsidRPr="00345847">
        <w:rPr>
          <w:rFonts w:ascii="Calibri" w:hAnsi="Calibri" w:cs="Calibri"/>
          <w:sz w:val="22"/>
          <w:szCs w:val="22"/>
        </w:rPr>
        <w:t xml:space="preserve">will be quantitatively analyzed using </w:t>
      </w:r>
      <w:r w:rsidR="006D1D9F">
        <w:rPr>
          <w:rFonts w:ascii="Calibri" w:hAnsi="Calibri" w:cs="Calibri"/>
          <w:sz w:val="22"/>
          <w:szCs w:val="22"/>
        </w:rPr>
        <w:t>a convo</w:t>
      </w:r>
      <w:r w:rsidR="00BD0A93">
        <w:rPr>
          <w:rFonts w:ascii="Calibri" w:hAnsi="Calibri" w:cs="Calibri"/>
          <w:sz w:val="22"/>
          <w:szCs w:val="22"/>
        </w:rPr>
        <w:t>lution neural network algorithm</w:t>
      </w:r>
      <w:r w:rsidR="006D1D9F">
        <w:rPr>
          <w:rFonts w:ascii="Calibri" w:hAnsi="Calibri" w:cs="Calibri"/>
          <w:sz w:val="22"/>
          <w:szCs w:val="22"/>
        </w:rPr>
        <w:t xml:space="preserve"> in the proceeding months after this report. </w:t>
      </w:r>
    </w:p>
    <w:p w14:paraId="782A618B" w14:textId="77777777" w:rsidR="00345847" w:rsidRPr="00345847" w:rsidRDefault="00345847" w:rsidP="00345847">
      <w:pPr>
        <w:jc w:val="both"/>
        <w:rPr>
          <w:rFonts w:ascii="Calibri" w:hAnsi="Calibri" w:cs="Calibri"/>
          <w:sz w:val="22"/>
          <w:szCs w:val="22"/>
        </w:rPr>
      </w:pPr>
    </w:p>
    <w:p w14:paraId="0CED0903" w14:textId="5492C46B" w:rsidR="00345847" w:rsidRPr="00345847" w:rsidRDefault="006D1D9F" w:rsidP="00345847">
      <w:pPr>
        <w:jc w:val="both"/>
        <w:rPr>
          <w:rFonts w:ascii="Calibri" w:hAnsi="Calibri" w:cs="Calibri"/>
          <w:sz w:val="22"/>
          <w:szCs w:val="22"/>
        </w:rPr>
      </w:pPr>
      <w:r>
        <w:rPr>
          <w:rFonts w:ascii="Calibri" w:hAnsi="Calibri" w:cs="Calibri"/>
          <w:sz w:val="22"/>
          <w:szCs w:val="22"/>
        </w:rPr>
        <w:t>Originally, we had planned to monitor s</w:t>
      </w:r>
      <w:r w:rsidR="00345847" w:rsidRPr="00345847">
        <w:rPr>
          <w:rFonts w:ascii="Calibri" w:hAnsi="Calibri" w:cs="Calibri"/>
          <w:sz w:val="22"/>
          <w:szCs w:val="22"/>
        </w:rPr>
        <w:t xml:space="preserve">oybean germination and seedling growth rate/survival </w:t>
      </w:r>
      <w:r>
        <w:rPr>
          <w:rFonts w:ascii="Calibri" w:hAnsi="Calibri" w:cs="Calibri"/>
          <w:sz w:val="22"/>
          <w:szCs w:val="22"/>
        </w:rPr>
        <w:t>i</w:t>
      </w:r>
      <w:r w:rsidR="00345847" w:rsidRPr="00345847">
        <w:rPr>
          <w:rFonts w:ascii="Calibri" w:hAnsi="Calibri" w:cs="Calibri"/>
          <w:sz w:val="22"/>
          <w:szCs w:val="22"/>
        </w:rPr>
        <w:t>n the spring of 2020. Soybean health monitor</w:t>
      </w:r>
      <w:r>
        <w:rPr>
          <w:rFonts w:ascii="Calibri" w:hAnsi="Calibri" w:cs="Calibri"/>
          <w:sz w:val="22"/>
          <w:szCs w:val="22"/>
        </w:rPr>
        <w:t xml:space="preserve">ing would have consisted of </w:t>
      </w:r>
      <w:r w:rsidR="00345847" w:rsidRPr="00345847">
        <w:rPr>
          <w:rFonts w:ascii="Calibri" w:hAnsi="Calibri" w:cs="Calibri"/>
          <w:sz w:val="22"/>
          <w:szCs w:val="22"/>
        </w:rPr>
        <w:t>weekly measuring plant leaf chlorophyll contents with a SPAD meter, measuring leaf area index with a LP-80 LAI Ceptometer, and measuring stomatal conductance with a SC-1 Leaf Porometer</w:t>
      </w:r>
      <w:r>
        <w:rPr>
          <w:rFonts w:ascii="Calibri" w:hAnsi="Calibri" w:cs="Calibri"/>
          <w:sz w:val="22"/>
          <w:szCs w:val="22"/>
        </w:rPr>
        <w:t>. However, the producer understandably did not want to plant soybeans into this salinized field and decided to plant corn in 2020. Wet field conditions also resulted in late germination of the planted corn crop that would have limited weekly monitoring to only a couple observation dates. Moreover, the pandemic of SARS-CoVD-2 virus (which causes the COVID-19 disease) slowed research efforts during this period. Therefore, the change in crop type and logistical constrained resulted in us forgoing plant monitoring in the spring of 2020.</w:t>
      </w:r>
    </w:p>
    <w:p w14:paraId="7C7F60C6" w14:textId="77777777" w:rsidR="00345847" w:rsidRPr="00345847" w:rsidRDefault="00345847" w:rsidP="00345847">
      <w:pPr>
        <w:jc w:val="both"/>
        <w:rPr>
          <w:rFonts w:ascii="Calibri" w:hAnsi="Calibri" w:cs="Calibri"/>
          <w:sz w:val="22"/>
          <w:szCs w:val="22"/>
        </w:rPr>
      </w:pPr>
    </w:p>
    <w:p w14:paraId="3DB07DF9" w14:textId="2D07BE22" w:rsidR="00345847" w:rsidRPr="00345847" w:rsidRDefault="006D1D9F" w:rsidP="00345847">
      <w:pPr>
        <w:jc w:val="both"/>
        <w:rPr>
          <w:rFonts w:ascii="Calibri" w:hAnsi="Calibri" w:cs="Calibri"/>
          <w:sz w:val="22"/>
          <w:szCs w:val="22"/>
        </w:rPr>
      </w:pPr>
      <w:r>
        <w:rPr>
          <w:rFonts w:ascii="Calibri" w:hAnsi="Calibri" w:cs="Calibri"/>
          <w:sz w:val="22"/>
          <w:szCs w:val="22"/>
        </w:rPr>
        <w:t>D</w:t>
      </w:r>
      <w:r w:rsidR="00345847" w:rsidRPr="00345847">
        <w:rPr>
          <w:rFonts w:ascii="Calibri" w:hAnsi="Calibri" w:cs="Calibri"/>
          <w:sz w:val="22"/>
          <w:szCs w:val="22"/>
        </w:rPr>
        <w:t xml:space="preserve">ata </w:t>
      </w:r>
      <w:r>
        <w:rPr>
          <w:rFonts w:ascii="Calibri" w:hAnsi="Calibri" w:cs="Calibri"/>
          <w:sz w:val="22"/>
          <w:szCs w:val="22"/>
        </w:rPr>
        <w:t xml:space="preserve">were </w:t>
      </w:r>
      <w:r w:rsidR="00345847" w:rsidRPr="00345847">
        <w:rPr>
          <w:rFonts w:ascii="Calibri" w:hAnsi="Calibri" w:cs="Calibri"/>
          <w:sz w:val="22"/>
          <w:szCs w:val="22"/>
        </w:rPr>
        <w:t xml:space="preserve">analyzed using </w:t>
      </w:r>
      <w:r>
        <w:rPr>
          <w:rFonts w:ascii="Calibri" w:hAnsi="Calibri" w:cs="Calibri"/>
          <w:sz w:val="22"/>
          <w:szCs w:val="22"/>
        </w:rPr>
        <w:t xml:space="preserve">two-tailed, paired t-tests without assuming equal variances and linear and non-linear regression techniques. For the t-test, areas with dead, damaged, or dying plants were compared to the areas with living plants. The four sample points of each transection corresponding to these areas were averaged to obtain a representative mean value prior to the t-test. T-tests were performed with several ways of pooling the data. First all nine transects pooled together (i.e., 8 degrees of freedom). Then, the </w:t>
      </w:r>
      <w:r>
        <w:rPr>
          <w:rFonts w:ascii="Calibri" w:hAnsi="Calibri" w:cs="Calibri"/>
          <w:sz w:val="22"/>
          <w:szCs w:val="22"/>
        </w:rPr>
        <w:lastRenderedPageBreak/>
        <w:t>three general transect types (i.e., western edge, northern edge, neighboring conventional area) were pooled and analyzed individually</w:t>
      </w:r>
      <w:r w:rsidR="00345847" w:rsidRPr="00345847">
        <w:rPr>
          <w:rFonts w:ascii="Calibri" w:hAnsi="Calibri" w:cs="Calibri"/>
          <w:sz w:val="22"/>
          <w:szCs w:val="22"/>
        </w:rPr>
        <w:t>.</w:t>
      </w:r>
      <w:r>
        <w:rPr>
          <w:rFonts w:ascii="Calibri" w:hAnsi="Calibri" w:cs="Calibri"/>
          <w:sz w:val="22"/>
          <w:szCs w:val="22"/>
        </w:rPr>
        <w:t xml:space="preserve">  For the regression analysis, linear regression was performed for all soil properties against the saturated paste extract EC.  One soil property (nitrate-N) showed a non-linear trend and regressed with a simple second-order polynomial.</w:t>
      </w:r>
    </w:p>
    <w:p w14:paraId="36DD7E9E" w14:textId="37188CDD" w:rsidR="00345847" w:rsidRDefault="00345847" w:rsidP="00345847">
      <w:pPr>
        <w:rPr>
          <w:rFonts w:ascii="Calibri" w:hAnsi="Calibri" w:cs="Calibri"/>
          <w:sz w:val="22"/>
          <w:szCs w:val="22"/>
        </w:rPr>
      </w:pPr>
    </w:p>
    <w:p w14:paraId="43E0BACC" w14:textId="50CCA484" w:rsidR="005A5193" w:rsidRPr="005A5193" w:rsidRDefault="005A5193" w:rsidP="00345847">
      <w:pPr>
        <w:rPr>
          <w:rFonts w:ascii="Calibri" w:hAnsi="Calibri" w:cs="Calibri"/>
          <w:sz w:val="28"/>
          <w:szCs w:val="22"/>
          <w:u w:val="single"/>
        </w:rPr>
      </w:pPr>
      <w:r>
        <w:rPr>
          <w:rFonts w:ascii="Calibri" w:hAnsi="Calibri" w:cs="Calibri"/>
          <w:sz w:val="28"/>
          <w:szCs w:val="22"/>
          <w:u w:val="single"/>
        </w:rPr>
        <w:t>Findings</w:t>
      </w:r>
    </w:p>
    <w:p w14:paraId="156E5380" w14:textId="2949A02A" w:rsidR="005A5193" w:rsidRDefault="002D575C" w:rsidP="005A5193">
      <w:pPr>
        <w:jc w:val="both"/>
        <w:rPr>
          <w:rFonts w:ascii="Calibri" w:hAnsi="Calibri" w:cs="Calibri"/>
          <w:sz w:val="22"/>
          <w:szCs w:val="22"/>
        </w:rPr>
      </w:pPr>
      <w:r>
        <w:rPr>
          <w:rFonts w:ascii="Calibri" w:hAnsi="Calibri" w:cs="Calibri"/>
          <w:sz w:val="22"/>
          <w:szCs w:val="22"/>
        </w:rPr>
        <w:t>The same outcome resulted when all the data were pooled together vs pooled individually by each of the three general locations. This implies that the areas with dead, damaged, or dying plants vs. areas with living plants has soil properties that were consistently affected by soil salinity regardless of prior management practices (i.e., no-till vs. conventional till; subsurface drainage vs. no drainage management). The results of all nine transects pooled together are presented below in Table 1.</w:t>
      </w:r>
    </w:p>
    <w:p w14:paraId="56183198" w14:textId="77777777" w:rsidR="00BD0A93" w:rsidRDefault="00BD0A93" w:rsidP="005A5193">
      <w:pPr>
        <w:jc w:val="both"/>
        <w:rPr>
          <w:rFonts w:ascii="Calibri" w:hAnsi="Calibri" w:cs="Calibri"/>
          <w:sz w:val="22"/>
          <w:szCs w:val="22"/>
        </w:rPr>
      </w:pPr>
    </w:p>
    <w:p w14:paraId="002F095A" w14:textId="7C4006A8" w:rsidR="00BD0A93" w:rsidRPr="002D575C" w:rsidRDefault="00BD0A93" w:rsidP="002D575C">
      <w:pPr>
        <w:jc w:val="center"/>
        <w:rPr>
          <w:rFonts w:ascii="Calibri" w:hAnsi="Calibri" w:cs="Calibri"/>
          <w:i/>
          <w:sz w:val="22"/>
          <w:szCs w:val="22"/>
        </w:rPr>
      </w:pPr>
      <w:r w:rsidRPr="002D575C">
        <w:rPr>
          <w:rFonts w:ascii="Calibri" w:hAnsi="Calibri" w:cs="Calibri"/>
          <w:b/>
          <w:i/>
          <w:sz w:val="22"/>
          <w:szCs w:val="22"/>
        </w:rPr>
        <w:t>Table 1.</w:t>
      </w:r>
      <w:r w:rsidRPr="002D575C">
        <w:rPr>
          <w:rFonts w:ascii="Calibri" w:hAnsi="Calibri" w:cs="Calibri"/>
          <w:i/>
          <w:sz w:val="22"/>
          <w:szCs w:val="22"/>
        </w:rPr>
        <w:t xml:space="preserve"> Summary of paired two-tailed t-test, without assuming equal variances, for soil chemical, physical, and biological properties among areas with 1) dead, damaged, or dying plants and 2) living plants (referred to as treatments). Means were generated from the 9 transects (df = 8) where the 4 transect samples points for each “treatment” area were first averaged to obtain a representative replicate.  Highlighted rows indicate soil properties with significant differences among treatment areas.</w:t>
      </w:r>
    </w:p>
    <w:tbl>
      <w:tblPr>
        <w:tblStyle w:val="TableGrid"/>
        <w:tblW w:w="95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7"/>
        <w:gridCol w:w="717"/>
        <w:gridCol w:w="1322"/>
        <w:gridCol w:w="763"/>
        <w:gridCol w:w="237"/>
        <w:gridCol w:w="1504"/>
        <w:gridCol w:w="720"/>
        <w:gridCol w:w="1350"/>
        <w:gridCol w:w="810"/>
      </w:tblGrid>
      <w:tr w:rsidR="00BD0A93" w:rsidRPr="00345847" w14:paraId="615A0A33" w14:textId="77777777" w:rsidTr="0024245D">
        <w:tc>
          <w:tcPr>
            <w:tcW w:w="2117" w:type="dxa"/>
            <w:vAlign w:val="bottom"/>
          </w:tcPr>
          <w:p w14:paraId="2786685C" w14:textId="77777777" w:rsidR="00BD0A93" w:rsidRPr="00345847" w:rsidRDefault="00BD0A93" w:rsidP="0024245D">
            <w:pPr>
              <w:rPr>
                <w:rFonts w:ascii="Calibri" w:hAnsi="Calibri" w:cs="Calibri"/>
                <w:sz w:val="22"/>
                <w:szCs w:val="22"/>
              </w:rPr>
            </w:pPr>
          </w:p>
        </w:tc>
        <w:tc>
          <w:tcPr>
            <w:tcW w:w="717" w:type="dxa"/>
            <w:vAlign w:val="bottom"/>
          </w:tcPr>
          <w:p w14:paraId="6A5E60C5" w14:textId="77777777" w:rsidR="00BD0A93" w:rsidRPr="00345847" w:rsidRDefault="00BD0A93" w:rsidP="0024245D">
            <w:pPr>
              <w:rPr>
                <w:rFonts w:ascii="Calibri" w:hAnsi="Calibri" w:cs="Calibri"/>
                <w:sz w:val="22"/>
                <w:szCs w:val="22"/>
              </w:rPr>
            </w:pPr>
          </w:p>
        </w:tc>
        <w:tc>
          <w:tcPr>
            <w:tcW w:w="2085" w:type="dxa"/>
            <w:gridSpan w:val="2"/>
            <w:tcBorders>
              <w:top w:val="single" w:sz="4" w:space="0" w:color="auto"/>
              <w:bottom w:val="single" w:sz="4" w:space="0" w:color="auto"/>
            </w:tcBorders>
            <w:vAlign w:val="bottom"/>
          </w:tcPr>
          <w:p w14:paraId="41B35B81"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Means</w:t>
            </w:r>
          </w:p>
        </w:tc>
        <w:tc>
          <w:tcPr>
            <w:tcW w:w="237" w:type="dxa"/>
            <w:vAlign w:val="bottom"/>
          </w:tcPr>
          <w:p w14:paraId="18CA39F5" w14:textId="77777777" w:rsidR="00BD0A93" w:rsidRPr="00345847" w:rsidRDefault="00BD0A93" w:rsidP="0024245D">
            <w:pPr>
              <w:rPr>
                <w:rFonts w:ascii="Calibri" w:hAnsi="Calibri" w:cs="Calibri"/>
                <w:sz w:val="22"/>
                <w:szCs w:val="22"/>
              </w:rPr>
            </w:pPr>
          </w:p>
        </w:tc>
        <w:tc>
          <w:tcPr>
            <w:tcW w:w="1504" w:type="dxa"/>
            <w:vAlign w:val="bottom"/>
          </w:tcPr>
          <w:p w14:paraId="211E3A88" w14:textId="77777777" w:rsidR="00BD0A93" w:rsidRPr="00345847" w:rsidRDefault="00BD0A93" w:rsidP="0024245D">
            <w:pPr>
              <w:rPr>
                <w:rFonts w:ascii="Calibri" w:hAnsi="Calibri" w:cs="Calibri"/>
                <w:sz w:val="22"/>
                <w:szCs w:val="22"/>
              </w:rPr>
            </w:pPr>
          </w:p>
        </w:tc>
        <w:tc>
          <w:tcPr>
            <w:tcW w:w="720" w:type="dxa"/>
            <w:vAlign w:val="bottom"/>
          </w:tcPr>
          <w:p w14:paraId="1FB834AC" w14:textId="77777777" w:rsidR="00BD0A93" w:rsidRPr="00345847" w:rsidRDefault="00BD0A93" w:rsidP="0024245D">
            <w:pPr>
              <w:rPr>
                <w:rFonts w:ascii="Calibri" w:hAnsi="Calibri" w:cs="Calibri"/>
                <w:sz w:val="22"/>
                <w:szCs w:val="22"/>
              </w:rPr>
            </w:pPr>
          </w:p>
        </w:tc>
        <w:tc>
          <w:tcPr>
            <w:tcW w:w="2160" w:type="dxa"/>
            <w:gridSpan w:val="2"/>
            <w:tcBorders>
              <w:top w:val="single" w:sz="4" w:space="0" w:color="auto"/>
              <w:bottom w:val="single" w:sz="4" w:space="0" w:color="auto"/>
            </w:tcBorders>
            <w:vAlign w:val="bottom"/>
          </w:tcPr>
          <w:p w14:paraId="78C965F9"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Means</w:t>
            </w:r>
          </w:p>
        </w:tc>
      </w:tr>
      <w:tr w:rsidR="00BD0A93" w:rsidRPr="00345847" w14:paraId="0C793D39" w14:textId="77777777" w:rsidTr="0024245D">
        <w:tc>
          <w:tcPr>
            <w:tcW w:w="2117" w:type="dxa"/>
            <w:tcBorders>
              <w:bottom w:val="single" w:sz="4" w:space="0" w:color="auto"/>
            </w:tcBorders>
            <w:vAlign w:val="bottom"/>
          </w:tcPr>
          <w:p w14:paraId="56463366"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Soil property</w:t>
            </w:r>
          </w:p>
        </w:tc>
        <w:tc>
          <w:tcPr>
            <w:tcW w:w="717" w:type="dxa"/>
            <w:tcBorders>
              <w:bottom w:val="single" w:sz="4" w:space="0" w:color="auto"/>
            </w:tcBorders>
            <w:vAlign w:val="bottom"/>
          </w:tcPr>
          <w:p w14:paraId="5E2EA6F8"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p-value</w:t>
            </w:r>
          </w:p>
        </w:tc>
        <w:tc>
          <w:tcPr>
            <w:tcW w:w="1322" w:type="dxa"/>
            <w:tcBorders>
              <w:top w:val="single" w:sz="4" w:space="0" w:color="auto"/>
              <w:bottom w:val="single" w:sz="4" w:space="0" w:color="auto"/>
            </w:tcBorders>
            <w:vAlign w:val="bottom"/>
          </w:tcPr>
          <w:p w14:paraId="3EC86CE8"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Dead, damaged, dying plants</w:t>
            </w:r>
          </w:p>
        </w:tc>
        <w:tc>
          <w:tcPr>
            <w:tcW w:w="763" w:type="dxa"/>
            <w:tcBorders>
              <w:top w:val="single" w:sz="4" w:space="0" w:color="auto"/>
              <w:bottom w:val="single" w:sz="4" w:space="0" w:color="auto"/>
            </w:tcBorders>
            <w:vAlign w:val="bottom"/>
          </w:tcPr>
          <w:p w14:paraId="2A06E0F1"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Living plants</w:t>
            </w:r>
          </w:p>
        </w:tc>
        <w:tc>
          <w:tcPr>
            <w:tcW w:w="237" w:type="dxa"/>
            <w:vAlign w:val="bottom"/>
          </w:tcPr>
          <w:p w14:paraId="64F03D2A" w14:textId="77777777" w:rsidR="00BD0A93" w:rsidRPr="00345847" w:rsidRDefault="00BD0A93" w:rsidP="0024245D">
            <w:pPr>
              <w:jc w:val="center"/>
              <w:rPr>
                <w:rFonts w:ascii="Calibri" w:hAnsi="Calibri" w:cs="Calibri"/>
                <w:sz w:val="22"/>
                <w:szCs w:val="22"/>
              </w:rPr>
            </w:pPr>
          </w:p>
        </w:tc>
        <w:tc>
          <w:tcPr>
            <w:tcW w:w="1504" w:type="dxa"/>
            <w:tcBorders>
              <w:bottom w:val="single" w:sz="4" w:space="0" w:color="auto"/>
            </w:tcBorders>
            <w:vAlign w:val="bottom"/>
          </w:tcPr>
          <w:p w14:paraId="6F675643"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Soil property</w:t>
            </w:r>
          </w:p>
        </w:tc>
        <w:tc>
          <w:tcPr>
            <w:tcW w:w="720" w:type="dxa"/>
            <w:tcBorders>
              <w:bottom w:val="single" w:sz="4" w:space="0" w:color="auto"/>
            </w:tcBorders>
            <w:vAlign w:val="bottom"/>
          </w:tcPr>
          <w:p w14:paraId="6A6538A8" w14:textId="77777777" w:rsidR="00BD0A93" w:rsidRPr="00345847" w:rsidRDefault="00BD0A93" w:rsidP="0024245D">
            <w:pPr>
              <w:rPr>
                <w:rFonts w:ascii="Calibri" w:hAnsi="Calibri" w:cs="Calibri"/>
                <w:sz w:val="22"/>
                <w:szCs w:val="22"/>
              </w:rPr>
            </w:pPr>
            <w:r w:rsidRPr="00345847">
              <w:rPr>
                <w:rFonts w:ascii="Calibri" w:hAnsi="Calibri" w:cs="Calibri"/>
                <w:sz w:val="22"/>
                <w:szCs w:val="22"/>
              </w:rPr>
              <w:t>p-value</w:t>
            </w:r>
          </w:p>
        </w:tc>
        <w:tc>
          <w:tcPr>
            <w:tcW w:w="1350" w:type="dxa"/>
            <w:tcBorders>
              <w:top w:val="single" w:sz="4" w:space="0" w:color="auto"/>
              <w:bottom w:val="single" w:sz="4" w:space="0" w:color="auto"/>
            </w:tcBorders>
            <w:vAlign w:val="bottom"/>
          </w:tcPr>
          <w:p w14:paraId="483B69A9"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Dead, damaged, dying plants</w:t>
            </w:r>
          </w:p>
        </w:tc>
        <w:tc>
          <w:tcPr>
            <w:tcW w:w="810" w:type="dxa"/>
            <w:tcBorders>
              <w:top w:val="single" w:sz="4" w:space="0" w:color="auto"/>
              <w:bottom w:val="single" w:sz="4" w:space="0" w:color="auto"/>
            </w:tcBorders>
            <w:vAlign w:val="bottom"/>
          </w:tcPr>
          <w:p w14:paraId="2A515010"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Living plants</w:t>
            </w:r>
          </w:p>
        </w:tc>
      </w:tr>
      <w:tr w:rsidR="00BD0A93" w:rsidRPr="00345847" w14:paraId="251D4407" w14:textId="77777777" w:rsidTr="0024245D">
        <w:tc>
          <w:tcPr>
            <w:tcW w:w="2117" w:type="dxa"/>
            <w:tcBorders>
              <w:top w:val="single" w:sz="4" w:space="0" w:color="auto"/>
            </w:tcBorders>
          </w:tcPr>
          <w:p w14:paraId="222E6B28"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1:1 pH</w:t>
            </w:r>
          </w:p>
        </w:tc>
        <w:tc>
          <w:tcPr>
            <w:tcW w:w="717" w:type="dxa"/>
            <w:tcBorders>
              <w:top w:val="single" w:sz="4" w:space="0" w:color="auto"/>
            </w:tcBorders>
          </w:tcPr>
          <w:p w14:paraId="69D1A0E4"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0.18</w:t>
            </w:r>
          </w:p>
        </w:tc>
        <w:tc>
          <w:tcPr>
            <w:tcW w:w="1322" w:type="dxa"/>
            <w:tcBorders>
              <w:top w:val="single" w:sz="4" w:space="0" w:color="auto"/>
            </w:tcBorders>
          </w:tcPr>
          <w:p w14:paraId="2A162FFC"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8.1</w:t>
            </w:r>
          </w:p>
        </w:tc>
        <w:tc>
          <w:tcPr>
            <w:tcW w:w="763" w:type="dxa"/>
            <w:tcBorders>
              <w:top w:val="single" w:sz="4" w:space="0" w:color="auto"/>
            </w:tcBorders>
          </w:tcPr>
          <w:p w14:paraId="303B9244"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8.1</w:t>
            </w:r>
          </w:p>
        </w:tc>
        <w:tc>
          <w:tcPr>
            <w:tcW w:w="237" w:type="dxa"/>
          </w:tcPr>
          <w:p w14:paraId="78670B9F" w14:textId="77777777" w:rsidR="00BD0A93" w:rsidRPr="00345847" w:rsidRDefault="00BD0A93" w:rsidP="0024245D">
            <w:pPr>
              <w:jc w:val="both"/>
              <w:rPr>
                <w:rFonts w:ascii="Calibri" w:hAnsi="Calibri" w:cs="Calibri"/>
                <w:sz w:val="22"/>
                <w:szCs w:val="22"/>
              </w:rPr>
            </w:pPr>
          </w:p>
        </w:tc>
        <w:tc>
          <w:tcPr>
            <w:tcW w:w="1504" w:type="dxa"/>
            <w:tcBorders>
              <w:top w:val="single" w:sz="4" w:space="0" w:color="auto"/>
            </w:tcBorders>
            <w:shd w:val="clear" w:color="auto" w:fill="C2D69B" w:themeFill="accent3" w:themeFillTint="99"/>
          </w:tcPr>
          <w:p w14:paraId="2435D98F"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AM fungi (%)</w:t>
            </w:r>
          </w:p>
        </w:tc>
        <w:tc>
          <w:tcPr>
            <w:tcW w:w="720" w:type="dxa"/>
            <w:tcBorders>
              <w:top w:val="single" w:sz="4" w:space="0" w:color="auto"/>
            </w:tcBorders>
            <w:shd w:val="clear" w:color="auto" w:fill="C2D69B" w:themeFill="accent3" w:themeFillTint="99"/>
          </w:tcPr>
          <w:p w14:paraId="40E81419"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0.01</w:t>
            </w:r>
          </w:p>
        </w:tc>
        <w:tc>
          <w:tcPr>
            <w:tcW w:w="1350" w:type="dxa"/>
            <w:tcBorders>
              <w:top w:val="single" w:sz="4" w:space="0" w:color="auto"/>
            </w:tcBorders>
            <w:shd w:val="clear" w:color="auto" w:fill="C2D69B" w:themeFill="accent3" w:themeFillTint="99"/>
          </w:tcPr>
          <w:p w14:paraId="2257D20F"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4.8a</w:t>
            </w:r>
          </w:p>
        </w:tc>
        <w:tc>
          <w:tcPr>
            <w:tcW w:w="810" w:type="dxa"/>
            <w:tcBorders>
              <w:top w:val="single" w:sz="4" w:space="0" w:color="auto"/>
            </w:tcBorders>
            <w:shd w:val="clear" w:color="auto" w:fill="C2D69B" w:themeFill="accent3" w:themeFillTint="99"/>
          </w:tcPr>
          <w:p w14:paraId="1E224E29"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5.7b</w:t>
            </w:r>
          </w:p>
        </w:tc>
      </w:tr>
      <w:tr w:rsidR="00BD0A93" w:rsidRPr="00345847" w14:paraId="0C331195" w14:textId="77777777" w:rsidTr="0024245D">
        <w:tc>
          <w:tcPr>
            <w:tcW w:w="2117" w:type="dxa"/>
            <w:shd w:val="clear" w:color="auto" w:fill="C2D69B" w:themeFill="accent3" w:themeFillTint="99"/>
          </w:tcPr>
          <w:p w14:paraId="6EC77ECE"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EC</w:t>
            </w:r>
            <w:r w:rsidRPr="00345847">
              <w:rPr>
                <w:rFonts w:ascii="Calibri" w:hAnsi="Calibri" w:cs="Calibri"/>
                <w:sz w:val="22"/>
                <w:szCs w:val="22"/>
                <w:vertAlign w:val="subscript"/>
              </w:rPr>
              <w:t>e</w:t>
            </w:r>
            <w:r w:rsidRPr="00345847">
              <w:rPr>
                <w:rFonts w:ascii="Calibri" w:hAnsi="Calibri" w:cs="Calibri"/>
                <w:sz w:val="22"/>
                <w:szCs w:val="22"/>
              </w:rPr>
              <w:t xml:space="preserve"> (dS/m)</w:t>
            </w:r>
          </w:p>
        </w:tc>
        <w:tc>
          <w:tcPr>
            <w:tcW w:w="717" w:type="dxa"/>
            <w:shd w:val="clear" w:color="auto" w:fill="C2D69B" w:themeFill="accent3" w:themeFillTint="99"/>
          </w:tcPr>
          <w:p w14:paraId="7658A2DD"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0.02</w:t>
            </w:r>
          </w:p>
        </w:tc>
        <w:tc>
          <w:tcPr>
            <w:tcW w:w="1322" w:type="dxa"/>
            <w:shd w:val="clear" w:color="auto" w:fill="C2D69B" w:themeFill="accent3" w:themeFillTint="99"/>
          </w:tcPr>
          <w:p w14:paraId="416CE63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3.8a</w:t>
            </w:r>
          </w:p>
        </w:tc>
        <w:tc>
          <w:tcPr>
            <w:tcW w:w="763" w:type="dxa"/>
            <w:shd w:val="clear" w:color="auto" w:fill="C2D69B" w:themeFill="accent3" w:themeFillTint="99"/>
          </w:tcPr>
          <w:p w14:paraId="09C844B7"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1.7b</w:t>
            </w:r>
          </w:p>
        </w:tc>
        <w:tc>
          <w:tcPr>
            <w:tcW w:w="237" w:type="dxa"/>
          </w:tcPr>
          <w:p w14:paraId="6300E291" w14:textId="77777777" w:rsidR="00BD0A93" w:rsidRPr="00345847" w:rsidRDefault="00BD0A93" w:rsidP="0024245D">
            <w:pPr>
              <w:jc w:val="both"/>
              <w:rPr>
                <w:rFonts w:ascii="Calibri" w:hAnsi="Calibri" w:cs="Calibri"/>
                <w:sz w:val="22"/>
                <w:szCs w:val="22"/>
              </w:rPr>
            </w:pPr>
          </w:p>
        </w:tc>
        <w:tc>
          <w:tcPr>
            <w:tcW w:w="1504" w:type="dxa"/>
          </w:tcPr>
          <w:p w14:paraId="3400B675"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Fungi (%)</w:t>
            </w:r>
          </w:p>
        </w:tc>
        <w:tc>
          <w:tcPr>
            <w:tcW w:w="720" w:type="dxa"/>
          </w:tcPr>
          <w:p w14:paraId="1A6481EB"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0.80</w:t>
            </w:r>
          </w:p>
        </w:tc>
        <w:tc>
          <w:tcPr>
            <w:tcW w:w="1350" w:type="dxa"/>
          </w:tcPr>
          <w:p w14:paraId="1CD8DEED"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2.0</w:t>
            </w:r>
          </w:p>
        </w:tc>
        <w:tc>
          <w:tcPr>
            <w:tcW w:w="810" w:type="dxa"/>
          </w:tcPr>
          <w:p w14:paraId="46ECF9AC"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2.1</w:t>
            </w:r>
          </w:p>
        </w:tc>
      </w:tr>
      <w:tr w:rsidR="00BD0A93" w:rsidRPr="00345847" w14:paraId="31157093" w14:textId="77777777" w:rsidTr="0024245D">
        <w:tc>
          <w:tcPr>
            <w:tcW w:w="2117" w:type="dxa"/>
          </w:tcPr>
          <w:p w14:paraId="1E36294B"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NO</w:t>
            </w:r>
            <w:r w:rsidRPr="00345847">
              <w:rPr>
                <w:rFonts w:ascii="Calibri" w:hAnsi="Calibri" w:cs="Calibri"/>
                <w:sz w:val="22"/>
                <w:szCs w:val="22"/>
                <w:vertAlign w:val="subscript"/>
              </w:rPr>
              <w:t>3</w:t>
            </w:r>
            <w:r w:rsidRPr="00345847">
              <w:rPr>
                <w:rFonts w:ascii="Calibri" w:hAnsi="Calibri" w:cs="Calibri"/>
                <w:sz w:val="22"/>
                <w:szCs w:val="22"/>
              </w:rPr>
              <w:t>-N (ppm)</w:t>
            </w:r>
          </w:p>
        </w:tc>
        <w:tc>
          <w:tcPr>
            <w:tcW w:w="717" w:type="dxa"/>
          </w:tcPr>
          <w:p w14:paraId="1EDAE383"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0.10</w:t>
            </w:r>
          </w:p>
        </w:tc>
        <w:tc>
          <w:tcPr>
            <w:tcW w:w="1322" w:type="dxa"/>
          </w:tcPr>
          <w:p w14:paraId="4E56D41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14.3</w:t>
            </w:r>
          </w:p>
        </w:tc>
        <w:tc>
          <w:tcPr>
            <w:tcW w:w="763" w:type="dxa"/>
          </w:tcPr>
          <w:p w14:paraId="74130C02"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6.2</w:t>
            </w:r>
          </w:p>
        </w:tc>
        <w:tc>
          <w:tcPr>
            <w:tcW w:w="237" w:type="dxa"/>
          </w:tcPr>
          <w:p w14:paraId="19C09586" w14:textId="77777777" w:rsidR="00BD0A93" w:rsidRPr="00345847" w:rsidRDefault="00BD0A93" w:rsidP="0024245D">
            <w:pPr>
              <w:jc w:val="both"/>
              <w:rPr>
                <w:rFonts w:ascii="Calibri" w:hAnsi="Calibri" w:cs="Calibri"/>
                <w:sz w:val="22"/>
                <w:szCs w:val="22"/>
              </w:rPr>
            </w:pPr>
          </w:p>
        </w:tc>
        <w:tc>
          <w:tcPr>
            <w:tcW w:w="1504" w:type="dxa"/>
            <w:shd w:val="clear" w:color="auto" w:fill="C2D69B" w:themeFill="accent3" w:themeFillTint="99"/>
          </w:tcPr>
          <w:p w14:paraId="0C3505A2"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G- bact. (%)</w:t>
            </w:r>
          </w:p>
        </w:tc>
        <w:tc>
          <w:tcPr>
            <w:tcW w:w="720" w:type="dxa"/>
            <w:shd w:val="clear" w:color="auto" w:fill="C2D69B" w:themeFill="accent3" w:themeFillTint="99"/>
          </w:tcPr>
          <w:p w14:paraId="6925C40F"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&lt;0.01</w:t>
            </w:r>
          </w:p>
        </w:tc>
        <w:tc>
          <w:tcPr>
            <w:tcW w:w="1350" w:type="dxa"/>
            <w:shd w:val="clear" w:color="auto" w:fill="C2D69B" w:themeFill="accent3" w:themeFillTint="99"/>
          </w:tcPr>
          <w:p w14:paraId="68DF53BB"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39.6a</w:t>
            </w:r>
          </w:p>
        </w:tc>
        <w:tc>
          <w:tcPr>
            <w:tcW w:w="810" w:type="dxa"/>
            <w:shd w:val="clear" w:color="auto" w:fill="C2D69B" w:themeFill="accent3" w:themeFillTint="99"/>
          </w:tcPr>
          <w:p w14:paraId="5A9C166E"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37.0b</w:t>
            </w:r>
          </w:p>
        </w:tc>
      </w:tr>
      <w:tr w:rsidR="00BD0A93" w:rsidRPr="00345847" w14:paraId="56ABC347" w14:textId="77777777" w:rsidTr="0024245D">
        <w:tc>
          <w:tcPr>
            <w:tcW w:w="2117" w:type="dxa"/>
            <w:shd w:val="clear" w:color="auto" w:fill="C2D69B" w:themeFill="accent3" w:themeFillTint="99"/>
          </w:tcPr>
          <w:p w14:paraId="1E8C7F7C"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Olsen-P (ppm)</w:t>
            </w:r>
          </w:p>
        </w:tc>
        <w:tc>
          <w:tcPr>
            <w:tcW w:w="717" w:type="dxa"/>
            <w:shd w:val="clear" w:color="auto" w:fill="C2D69B" w:themeFill="accent3" w:themeFillTint="99"/>
          </w:tcPr>
          <w:p w14:paraId="0F0387D9"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0.01</w:t>
            </w:r>
          </w:p>
        </w:tc>
        <w:tc>
          <w:tcPr>
            <w:tcW w:w="1322" w:type="dxa"/>
            <w:shd w:val="clear" w:color="auto" w:fill="C2D69B" w:themeFill="accent3" w:themeFillTint="99"/>
          </w:tcPr>
          <w:p w14:paraId="157F5478"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13.8a</w:t>
            </w:r>
          </w:p>
        </w:tc>
        <w:tc>
          <w:tcPr>
            <w:tcW w:w="763" w:type="dxa"/>
            <w:shd w:val="clear" w:color="auto" w:fill="C2D69B" w:themeFill="accent3" w:themeFillTint="99"/>
          </w:tcPr>
          <w:p w14:paraId="50D841C1"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7.4b</w:t>
            </w:r>
          </w:p>
        </w:tc>
        <w:tc>
          <w:tcPr>
            <w:tcW w:w="237" w:type="dxa"/>
          </w:tcPr>
          <w:p w14:paraId="135F71DE" w14:textId="77777777" w:rsidR="00BD0A93" w:rsidRPr="00345847" w:rsidRDefault="00BD0A93" w:rsidP="0024245D">
            <w:pPr>
              <w:jc w:val="both"/>
              <w:rPr>
                <w:rFonts w:ascii="Calibri" w:hAnsi="Calibri" w:cs="Calibri"/>
                <w:sz w:val="22"/>
                <w:szCs w:val="22"/>
              </w:rPr>
            </w:pPr>
          </w:p>
        </w:tc>
        <w:tc>
          <w:tcPr>
            <w:tcW w:w="1504" w:type="dxa"/>
          </w:tcPr>
          <w:p w14:paraId="4FA00293"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G+ bact. (%)</w:t>
            </w:r>
          </w:p>
        </w:tc>
        <w:tc>
          <w:tcPr>
            <w:tcW w:w="720" w:type="dxa"/>
          </w:tcPr>
          <w:p w14:paraId="488FB2B2"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0.31</w:t>
            </w:r>
          </w:p>
        </w:tc>
        <w:tc>
          <w:tcPr>
            <w:tcW w:w="1350" w:type="dxa"/>
          </w:tcPr>
          <w:p w14:paraId="4BC722B7"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35.7</w:t>
            </w:r>
          </w:p>
        </w:tc>
        <w:tc>
          <w:tcPr>
            <w:tcW w:w="810" w:type="dxa"/>
          </w:tcPr>
          <w:p w14:paraId="318BAE5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36.5</w:t>
            </w:r>
          </w:p>
        </w:tc>
      </w:tr>
      <w:tr w:rsidR="00BD0A93" w:rsidRPr="00345847" w14:paraId="18BA8603" w14:textId="77777777" w:rsidTr="0024245D">
        <w:tc>
          <w:tcPr>
            <w:tcW w:w="2117" w:type="dxa"/>
          </w:tcPr>
          <w:p w14:paraId="166F50D0"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K (ppm)</w:t>
            </w:r>
          </w:p>
        </w:tc>
        <w:tc>
          <w:tcPr>
            <w:tcW w:w="717" w:type="dxa"/>
          </w:tcPr>
          <w:p w14:paraId="477C031E"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0.07</w:t>
            </w:r>
          </w:p>
        </w:tc>
        <w:tc>
          <w:tcPr>
            <w:tcW w:w="1322" w:type="dxa"/>
          </w:tcPr>
          <w:p w14:paraId="7B9081A4"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250</w:t>
            </w:r>
          </w:p>
        </w:tc>
        <w:tc>
          <w:tcPr>
            <w:tcW w:w="763" w:type="dxa"/>
          </w:tcPr>
          <w:p w14:paraId="71CA786C"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278</w:t>
            </w:r>
          </w:p>
        </w:tc>
        <w:tc>
          <w:tcPr>
            <w:tcW w:w="237" w:type="dxa"/>
          </w:tcPr>
          <w:p w14:paraId="7F7AAD35" w14:textId="77777777" w:rsidR="00BD0A93" w:rsidRPr="00345847" w:rsidRDefault="00BD0A93" w:rsidP="0024245D">
            <w:pPr>
              <w:jc w:val="both"/>
              <w:rPr>
                <w:rFonts w:ascii="Calibri" w:hAnsi="Calibri" w:cs="Calibri"/>
                <w:sz w:val="22"/>
                <w:szCs w:val="22"/>
              </w:rPr>
            </w:pPr>
          </w:p>
        </w:tc>
        <w:tc>
          <w:tcPr>
            <w:tcW w:w="1504" w:type="dxa"/>
          </w:tcPr>
          <w:p w14:paraId="2053D2B3"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Eukaryote (%)</w:t>
            </w:r>
          </w:p>
        </w:tc>
        <w:tc>
          <w:tcPr>
            <w:tcW w:w="720" w:type="dxa"/>
          </w:tcPr>
          <w:p w14:paraId="4AC6EE06"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0.32</w:t>
            </w:r>
          </w:p>
        </w:tc>
        <w:tc>
          <w:tcPr>
            <w:tcW w:w="1350" w:type="dxa"/>
          </w:tcPr>
          <w:p w14:paraId="4CA6439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1.7</w:t>
            </w:r>
          </w:p>
        </w:tc>
        <w:tc>
          <w:tcPr>
            <w:tcW w:w="810" w:type="dxa"/>
          </w:tcPr>
          <w:p w14:paraId="217B781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1.5</w:t>
            </w:r>
          </w:p>
        </w:tc>
      </w:tr>
      <w:tr w:rsidR="00BD0A93" w:rsidRPr="00345847" w14:paraId="238B10EE" w14:textId="77777777" w:rsidTr="0024245D">
        <w:tc>
          <w:tcPr>
            <w:tcW w:w="2117" w:type="dxa"/>
            <w:shd w:val="clear" w:color="auto" w:fill="C2D69B" w:themeFill="accent3" w:themeFillTint="99"/>
          </w:tcPr>
          <w:p w14:paraId="46B3E666"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Ca (meq/L)</w:t>
            </w:r>
          </w:p>
        </w:tc>
        <w:tc>
          <w:tcPr>
            <w:tcW w:w="717" w:type="dxa"/>
            <w:shd w:val="clear" w:color="auto" w:fill="C2D69B" w:themeFill="accent3" w:themeFillTint="99"/>
          </w:tcPr>
          <w:p w14:paraId="7E9AB191"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0.01</w:t>
            </w:r>
          </w:p>
        </w:tc>
        <w:tc>
          <w:tcPr>
            <w:tcW w:w="1322" w:type="dxa"/>
            <w:shd w:val="clear" w:color="auto" w:fill="C2D69B" w:themeFill="accent3" w:themeFillTint="99"/>
          </w:tcPr>
          <w:p w14:paraId="0F9AF1B4"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21a</w:t>
            </w:r>
          </w:p>
        </w:tc>
        <w:tc>
          <w:tcPr>
            <w:tcW w:w="763" w:type="dxa"/>
            <w:shd w:val="clear" w:color="auto" w:fill="C2D69B" w:themeFill="accent3" w:themeFillTint="99"/>
          </w:tcPr>
          <w:p w14:paraId="46373AC4"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11b</w:t>
            </w:r>
          </w:p>
        </w:tc>
        <w:tc>
          <w:tcPr>
            <w:tcW w:w="237" w:type="dxa"/>
          </w:tcPr>
          <w:p w14:paraId="4FD649C5" w14:textId="77777777" w:rsidR="00BD0A93" w:rsidRPr="00345847" w:rsidRDefault="00BD0A93" w:rsidP="0024245D">
            <w:pPr>
              <w:jc w:val="both"/>
              <w:rPr>
                <w:rFonts w:ascii="Calibri" w:hAnsi="Calibri" w:cs="Calibri"/>
                <w:sz w:val="22"/>
                <w:szCs w:val="22"/>
              </w:rPr>
            </w:pPr>
          </w:p>
        </w:tc>
        <w:tc>
          <w:tcPr>
            <w:tcW w:w="1504" w:type="dxa"/>
          </w:tcPr>
          <w:p w14:paraId="6AD8D8DD"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Actino. (%)</w:t>
            </w:r>
          </w:p>
        </w:tc>
        <w:tc>
          <w:tcPr>
            <w:tcW w:w="720" w:type="dxa"/>
          </w:tcPr>
          <w:p w14:paraId="1C048F5F"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0.51</w:t>
            </w:r>
          </w:p>
        </w:tc>
        <w:tc>
          <w:tcPr>
            <w:tcW w:w="1350" w:type="dxa"/>
          </w:tcPr>
          <w:p w14:paraId="75FCF75D"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16.3</w:t>
            </w:r>
          </w:p>
        </w:tc>
        <w:tc>
          <w:tcPr>
            <w:tcW w:w="810" w:type="dxa"/>
          </w:tcPr>
          <w:p w14:paraId="04AAB269"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17.1</w:t>
            </w:r>
          </w:p>
        </w:tc>
      </w:tr>
      <w:tr w:rsidR="00BD0A93" w:rsidRPr="00345847" w14:paraId="16294536" w14:textId="77777777" w:rsidTr="0024245D">
        <w:tc>
          <w:tcPr>
            <w:tcW w:w="2117" w:type="dxa"/>
            <w:shd w:val="clear" w:color="auto" w:fill="C2D69B" w:themeFill="accent3" w:themeFillTint="99"/>
          </w:tcPr>
          <w:p w14:paraId="29154970"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Mg (meq/L)</w:t>
            </w:r>
          </w:p>
        </w:tc>
        <w:tc>
          <w:tcPr>
            <w:tcW w:w="717" w:type="dxa"/>
            <w:shd w:val="clear" w:color="auto" w:fill="C2D69B" w:themeFill="accent3" w:themeFillTint="99"/>
          </w:tcPr>
          <w:p w14:paraId="30AF1266"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0.04</w:t>
            </w:r>
          </w:p>
        </w:tc>
        <w:tc>
          <w:tcPr>
            <w:tcW w:w="1322" w:type="dxa"/>
            <w:shd w:val="clear" w:color="auto" w:fill="C2D69B" w:themeFill="accent3" w:themeFillTint="99"/>
          </w:tcPr>
          <w:p w14:paraId="47619C2F"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20a</w:t>
            </w:r>
          </w:p>
        </w:tc>
        <w:tc>
          <w:tcPr>
            <w:tcW w:w="763" w:type="dxa"/>
            <w:shd w:val="clear" w:color="auto" w:fill="C2D69B" w:themeFill="accent3" w:themeFillTint="99"/>
          </w:tcPr>
          <w:p w14:paraId="06B19BB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8b</w:t>
            </w:r>
          </w:p>
        </w:tc>
        <w:tc>
          <w:tcPr>
            <w:tcW w:w="237" w:type="dxa"/>
          </w:tcPr>
          <w:p w14:paraId="66AF200E" w14:textId="77777777" w:rsidR="00BD0A93" w:rsidRPr="00345847" w:rsidRDefault="00BD0A93" w:rsidP="0024245D">
            <w:pPr>
              <w:jc w:val="both"/>
              <w:rPr>
                <w:rFonts w:ascii="Calibri" w:hAnsi="Calibri" w:cs="Calibri"/>
                <w:sz w:val="22"/>
                <w:szCs w:val="22"/>
              </w:rPr>
            </w:pPr>
          </w:p>
        </w:tc>
        <w:tc>
          <w:tcPr>
            <w:tcW w:w="1504" w:type="dxa"/>
            <w:shd w:val="clear" w:color="auto" w:fill="C2D69B" w:themeFill="accent3" w:themeFillTint="99"/>
          </w:tcPr>
          <w:p w14:paraId="676DA6DB"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F:B ratio</w:t>
            </w:r>
          </w:p>
        </w:tc>
        <w:tc>
          <w:tcPr>
            <w:tcW w:w="720" w:type="dxa"/>
            <w:shd w:val="clear" w:color="auto" w:fill="C2D69B" w:themeFill="accent3" w:themeFillTint="99"/>
          </w:tcPr>
          <w:p w14:paraId="74A6FD5E"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0.03</w:t>
            </w:r>
          </w:p>
        </w:tc>
        <w:tc>
          <w:tcPr>
            <w:tcW w:w="1350" w:type="dxa"/>
            <w:shd w:val="clear" w:color="auto" w:fill="C2D69B" w:themeFill="accent3" w:themeFillTint="99"/>
          </w:tcPr>
          <w:p w14:paraId="4552E8DF"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0.09a</w:t>
            </w:r>
          </w:p>
        </w:tc>
        <w:tc>
          <w:tcPr>
            <w:tcW w:w="810" w:type="dxa"/>
            <w:shd w:val="clear" w:color="auto" w:fill="C2D69B" w:themeFill="accent3" w:themeFillTint="99"/>
          </w:tcPr>
          <w:p w14:paraId="18BC983E"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0.11b</w:t>
            </w:r>
          </w:p>
        </w:tc>
      </w:tr>
      <w:tr w:rsidR="00BD0A93" w:rsidRPr="00345847" w14:paraId="25CA6EFA" w14:textId="77777777" w:rsidTr="0024245D">
        <w:tc>
          <w:tcPr>
            <w:tcW w:w="2117" w:type="dxa"/>
            <w:shd w:val="clear" w:color="auto" w:fill="C2D69B" w:themeFill="accent3" w:themeFillTint="99"/>
          </w:tcPr>
          <w:p w14:paraId="4850F56B"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Na (meq/L)</w:t>
            </w:r>
          </w:p>
        </w:tc>
        <w:tc>
          <w:tcPr>
            <w:tcW w:w="717" w:type="dxa"/>
            <w:shd w:val="clear" w:color="auto" w:fill="C2D69B" w:themeFill="accent3" w:themeFillTint="99"/>
          </w:tcPr>
          <w:p w14:paraId="64E3EAAD"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0.03</w:t>
            </w:r>
          </w:p>
        </w:tc>
        <w:tc>
          <w:tcPr>
            <w:tcW w:w="1322" w:type="dxa"/>
            <w:shd w:val="clear" w:color="auto" w:fill="C2D69B" w:themeFill="accent3" w:themeFillTint="99"/>
          </w:tcPr>
          <w:p w14:paraId="16AEE2C4"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13a</w:t>
            </w:r>
          </w:p>
        </w:tc>
        <w:tc>
          <w:tcPr>
            <w:tcW w:w="763" w:type="dxa"/>
            <w:shd w:val="clear" w:color="auto" w:fill="C2D69B" w:themeFill="accent3" w:themeFillTint="99"/>
          </w:tcPr>
          <w:p w14:paraId="4E3E2C9A"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4b</w:t>
            </w:r>
          </w:p>
        </w:tc>
        <w:tc>
          <w:tcPr>
            <w:tcW w:w="237" w:type="dxa"/>
          </w:tcPr>
          <w:p w14:paraId="42420103" w14:textId="77777777" w:rsidR="00BD0A93" w:rsidRPr="00345847" w:rsidRDefault="00BD0A93" w:rsidP="0024245D">
            <w:pPr>
              <w:jc w:val="both"/>
              <w:rPr>
                <w:rFonts w:ascii="Calibri" w:hAnsi="Calibri" w:cs="Calibri"/>
                <w:sz w:val="22"/>
                <w:szCs w:val="22"/>
              </w:rPr>
            </w:pPr>
          </w:p>
        </w:tc>
        <w:tc>
          <w:tcPr>
            <w:tcW w:w="1504" w:type="dxa"/>
          </w:tcPr>
          <w:p w14:paraId="792DAD99"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Pred:Prey</w:t>
            </w:r>
          </w:p>
        </w:tc>
        <w:tc>
          <w:tcPr>
            <w:tcW w:w="720" w:type="dxa"/>
          </w:tcPr>
          <w:p w14:paraId="6869BACB"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0.52</w:t>
            </w:r>
          </w:p>
        </w:tc>
        <w:tc>
          <w:tcPr>
            <w:tcW w:w="1350" w:type="dxa"/>
          </w:tcPr>
          <w:p w14:paraId="3B2FF376"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0.03</w:t>
            </w:r>
          </w:p>
        </w:tc>
        <w:tc>
          <w:tcPr>
            <w:tcW w:w="810" w:type="dxa"/>
          </w:tcPr>
          <w:p w14:paraId="399BB70E"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0.02</w:t>
            </w:r>
          </w:p>
        </w:tc>
      </w:tr>
      <w:tr w:rsidR="00BD0A93" w:rsidRPr="00345847" w14:paraId="578C1600" w14:textId="77777777" w:rsidTr="0024245D">
        <w:tc>
          <w:tcPr>
            <w:tcW w:w="2117" w:type="dxa"/>
            <w:shd w:val="clear" w:color="auto" w:fill="C2D69B" w:themeFill="accent3" w:themeFillTint="99"/>
          </w:tcPr>
          <w:p w14:paraId="62102CF5"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SAR</w:t>
            </w:r>
          </w:p>
        </w:tc>
        <w:tc>
          <w:tcPr>
            <w:tcW w:w="717" w:type="dxa"/>
            <w:shd w:val="clear" w:color="auto" w:fill="C2D69B" w:themeFill="accent3" w:themeFillTint="99"/>
          </w:tcPr>
          <w:p w14:paraId="21999F6D"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0.01</w:t>
            </w:r>
          </w:p>
        </w:tc>
        <w:tc>
          <w:tcPr>
            <w:tcW w:w="1322" w:type="dxa"/>
            <w:shd w:val="clear" w:color="auto" w:fill="C2D69B" w:themeFill="accent3" w:themeFillTint="99"/>
          </w:tcPr>
          <w:p w14:paraId="1D85EC12"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2.5a</w:t>
            </w:r>
          </w:p>
        </w:tc>
        <w:tc>
          <w:tcPr>
            <w:tcW w:w="763" w:type="dxa"/>
            <w:shd w:val="clear" w:color="auto" w:fill="C2D69B" w:themeFill="accent3" w:themeFillTint="99"/>
          </w:tcPr>
          <w:p w14:paraId="35BE2F5A"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1.2b</w:t>
            </w:r>
          </w:p>
        </w:tc>
        <w:tc>
          <w:tcPr>
            <w:tcW w:w="237" w:type="dxa"/>
          </w:tcPr>
          <w:p w14:paraId="5C2B6E1B" w14:textId="77777777" w:rsidR="00BD0A93" w:rsidRPr="00345847" w:rsidRDefault="00BD0A93" w:rsidP="0024245D">
            <w:pPr>
              <w:jc w:val="both"/>
              <w:rPr>
                <w:rFonts w:ascii="Calibri" w:hAnsi="Calibri" w:cs="Calibri"/>
                <w:sz w:val="22"/>
                <w:szCs w:val="22"/>
              </w:rPr>
            </w:pPr>
          </w:p>
        </w:tc>
        <w:tc>
          <w:tcPr>
            <w:tcW w:w="1504" w:type="dxa"/>
            <w:shd w:val="clear" w:color="auto" w:fill="C2D69B" w:themeFill="accent3" w:themeFillTint="99"/>
          </w:tcPr>
          <w:p w14:paraId="092BD68E"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G+:G-</w:t>
            </w:r>
          </w:p>
        </w:tc>
        <w:tc>
          <w:tcPr>
            <w:tcW w:w="720" w:type="dxa"/>
            <w:shd w:val="clear" w:color="auto" w:fill="C2D69B" w:themeFill="accent3" w:themeFillTint="99"/>
          </w:tcPr>
          <w:p w14:paraId="71D2C9C5"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0.01</w:t>
            </w:r>
          </w:p>
        </w:tc>
        <w:tc>
          <w:tcPr>
            <w:tcW w:w="1350" w:type="dxa"/>
            <w:shd w:val="clear" w:color="auto" w:fill="C2D69B" w:themeFill="accent3" w:themeFillTint="99"/>
          </w:tcPr>
          <w:p w14:paraId="3E936FA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1.1a</w:t>
            </w:r>
          </w:p>
        </w:tc>
        <w:tc>
          <w:tcPr>
            <w:tcW w:w="810" w:type="dxa"/>
            <w:shd w:val="clear" w:color="auto" w:fill="C2D69B" w:themeFill="accent3" w:themeFillTint="99"/>
          </w:tcPr>
          <w:p w14:paraId="392EE821"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1.2b</w:t>
            </w:r>
          </w:p>
        </w:tc>
      </w:tr>
      <w:tr w:rsidR="00BD0A93" w:rsidRPr="00345847" w14:paraId="053B9557" w14:textId="77777777" w:rsidTr="0024245D">
        <w:tc>
          <w:tcPr>
            <w:tcW w:w="2117" w:type="dxa"/>
            <w:shd w:val="clear" w:color="auto" w:fill="C2D69B" w:themeFill="accent3" w:themeFillTint="99"/>
          </w:tcPr>
          <w:p w14:paraId="3434D9F0"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POXC (ppm)</w:t>
            </w:r>
          </w:p>
        </w:tc>
        <w:tc>
          <w:tcPr>
            <w:tcW w:w="717" w:type="dxa"/>
            <w:shd w:val="clear" w:color="auto" w:fill="C2D69B" w:themeFill="accent3" w:themeFillTint="99"/>
          </w:tcPr>
          <w:p w14:paraId="6A99A127"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0.03</w:t>
            </w:r>
          </w:p>
        </w:tc>
        <w:tc>
          <w:tcPr>
            <w:tcW w:w="1322" w:type="dxa"/>
            <w:shd w:val="clear" w:color="auto" w:fill="C2D69B" w:themeFill="accent3" w:themeFillTint="99"/>
          </w:tcPr>
          <w:p w14:paraId="22C854A0"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633a</w:t>
            </w:r>
          </w:p>
        </w:tc>
        <w:tc>
          <w:tcPr>
            <w:tcW w:w="763" w:type="dxa"/>
            <w:shd w:val="clear" w:color="auto" w:fill="C2D69B" w:themeFill="accent3" w:themeFillTint="99"/>
          </w:tcPr>
          <w:p w14:paraId="7A633079"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675b</w:t>
            </w:r>
          </w:p>
        </w:tc>
        <w:tc>
          <w:tcPr>
            <w:tcW w:w="237" w:type="dxa"/>
          </w:tcPr>
          <w:p w14:paraId="4A47948F" w14:textId="77777777" w:rsidR="00BD0A93" w:rsidRPr="00345847" w:rsidRDefault="00BD0A93" w:rsidP="0024245D">
            <w:pPr>
              <w:jc w:val="both"/>
              <w:rPr>
                <w:rFonts w:ascii="Calibri" w:hAnsi="Calibri" w:cs="Calibri"/>
                <w:sz w:val="22"/>
                <w:szCs w:val="22"/>
              </w:rPr>
            </w:pPr>
          </w:p>
        </w:tc>
        <w:tc>
          <w:tcPr>
            <w:tcW w:w="1504" w:type="dxa"/>
          </w:tcPr>
          <w:p w14:paraId="371AFC81"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Sat:Unsat</w:t>
            </w:r>
          </w:p>
        </w:tc>
        <w:tc>
          <w:tcPr>
            <w:tcW w:w="720" w:type="dxa"/>
          </w:tcPr>
          <w:p w14:paraId="2155B070"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0.12</w:t>
            </w:r>
          </w:p>
        </w:tc>
        <w:tc>
          <w:tcPr>
            <w:tcW w:w="1350" w:type="dxa"/>
          </w:tcPr>
          <w:p w14:paraId="6F5E8EC7"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0.85</w:t>
            </w:r>
          </w:p>
        </w:tc>
        <w:tc>
          <w:tcPr>
            <w:tcW w:w="810" w:type="dxa"/>
          </w:tcPr>
          <w:p w14:paraId="19985D2F"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0.79</w:t>
            </w:r>
          </w:p>
        </w:tc>
      </w:tr>
      <w:tr w:rsidR="00BD0A93" w:rsidRPr="00345847" w14:paraId="775B93AB" w14:textId="77777777" w:rsidTr="0024245D">
        <w:tc>
          <w:tcPr>
            <w:tcW w:w="2117" w:type="dxa"/>
            <w:shd w:val="clear" w:color="auto" w:fill="C2D69B" w:themeFill="accent3" w:themeFillTint="99"/>
          </w:tcPr>
          <w:p w14:paraId="59DCE619"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Protein (mg/g)</w:t>
            </w:r>
          </w:p>
        </w:tc>
        <w:tc>
          <w:tcPr>
            <w:tcW w:w="717" w:type="dxa"/>
            <w:shd w:val="clear" w:color="auto" w:fill="C2D69B" w:themeFill="accent3" w:themeFillTint="99"/>
          </w:tcPr>
          <w:p w14:paraId="0A742F77"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0.02</w:t>
            </w:r>
          </w:p>
        </w:tc>
        <w:tc>
          <w:tcPr>
            <w:tcW w:w="1322" w:type="dxa"/>
            <w:shd w:val="clear" w:color="auto" w:fill="C2D69B" w:themeFill="accent3" w:themeFillTint="99"/>
          </w:tcPr>
          <w:p w14:paraId="264DAEAA"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3.2a</w:t>
            </w:r>
          </w:p>
        </w:tc>
        <w:tc>
          <w:tcPr>
            <w:tcW w:w="763" w:type="dxa"/>
            <w:shd w:val="clear" w:color="auto" w:fill="C2D69B" w:themeFill="accent3" w:themeFillTint="99"/>
          </w:tcPr>
          <w:p w14:paraId="0D327FB6"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4.1b</w:t>
            </w:r>
          </w:p>
        </w:tc>
        <w:tc>
          <w:tcPr>
            <w:tcW w:w="237" w:type="dxa"/>
          </w:tcPr>
          <w:p w14:paraId="655A1553" w14:textId="77777777" w:rsidR="00BD0A93" w:rsidRPr="00345847" w:rsidRDefault="00BD0A93" w:rsidP="0024245D">
            <w:pPr>
              <w:jc w:val="both"/>
              <w:rPr>
                <w:rFonts w:ascii="Calibri" w:hAnsi="Calibri" w:cs="Calibri"/>
                <w:sz w:val="22"/>
                <w:szCs w:val="22"/>
              </w:rPr>
            </w:pPr>
          </w:p>
        </w:tc>
        <w:tc>
          <w:tcPr>
            <w:tcW w:w="1504" w:type="dxa"/>
          </w:tcPr>
          <w:p w14:paraId="4BF0F16F"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Mono:Poly</w:t>
            </w:r>
          </w:p>
        </w:tc>
        <w:tc>
          <w:tcPr>
            <w:tcW w:w="720" w:type="dxa"/>
          </w:tcPr>
          <w:p w14:paraId="756B18D2"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0.91</w:t>
            </w:r>
          </w:p>
        </w:tc>
        <w:tc>
          <w:tcPr>
            <w:tcW w:w="1350" w:type="dxa"/>
          </w:tcPr>
          <w:p w14:paraId="28A426E7"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14.4</w:t>
            </w:r>
          </w:p>
        </w:tc>
        <w:tc>
          <w:tcPr>
            <w:tcW w:w="810" w:type="dxa"/>
          </w:tcPr>
          <w:p w14:paraId="3C753413"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14.2</w:t>
            </w:r>
          </w:p>
        </w:tc>
      </w:tr>
      <w:tr w:rsidR="00BD0A93" w:rsidRPr="00345847" w14:paraId="6540FD2E" w14:textId="77777777" w:rsidTr="0024245D">
        <w:tc>
          <w:tcPr>
            <w:tcW w:w="2117" w:type="dxa"/>
          </w:tcPr>
          <w:p w14:paraId="0F3CEE00"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Macroaggregates (%)</w:t>
            </w:r>
          </w:p>
        </w:tc>
        <w:tc>
          <w:tcPr>
            <w:tcW w:w="717" w:type="dxa"/>
          </w:tcPr>
          <w:p w14:paraId="2F83389D"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0.42</w:t>
            </w:r>
          </w:p>
        </w:tc>
        <w:tc>
          <w:tcPr>
            <w:tcW w:w="1322" w:type="dxa"/>
          </w:tcPr>
          <w:p w14:paraId="581FA4DE"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11.8</w:t>
            </w:r>
          </w:p>
        </w:tc>
        <w:tc>
          <w:tcPr>
            <w:tcW w:w="763" w:type="dxa"/>
          </w:tcPr>
          <w:p w14:paraId="5104BD93"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13.6</w:t>
            </w:r>
          </w:p>
        </w:tc>
        <w:tc>
          <w:tcPr>
            <w:tcW w:w="237" w:type="dxa"/>
          </w:tcPr>
          <w:p w14:paraId="3DE9A3F1" w14:textId="77777777" w:rsidR="00BD0A93" w:rsidRPr="00345847" w:rsidRDefault="00BD0A93" w:rsidP="0024245D">
            <w:pPr>
              <w:jc w:val="both"/>
              <w:rPr>
                <w:rFonts w:ascii="Calibri" w:hAnsi="Calibri" w:cs="Calibri"/>
                <w:sz w:val="22"/>
                <w:szCs w:val="22"/>
              </w:rPr>
            </w:pPr>
          </w:p>
        </w:tc>
        <w:tc>
          <w:tcPr>
            <w:tcW w:w="1504" w:type="dxa"/>
          </w:tcPr>
          <w:p w14:paraId="474331D6"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G- stress</w:t>
            </w:r>
          </w:p>
        </w:tc>
        <w:tc>
          <w:tcPr>
            <w:tcW w:w="720" w:type="dxa"/>
          </w:tcPr>
          <w:p w14:paraId="77DBBE0C"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0.67</w:t>
            </w:r>
          </w:p>
        </w:tc>
        <w:tc>
          <w:tcPr>
            <w:tcW w:w="1350" w:type="dxa"/>
          </w:tcPr>
          <w:p w14:paraId="4416D45C"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2.7</w:t>
            </w:r>
          </w:p>
        </w:tc>
        <w:tc>
          <w:tcPr>
            <w:tcW w:w="810" w:type="dxa"/>
          </w:tcPr>
          <w:p w14:paraId="3ADDACF5"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2.6</w:t>
            </w:r>
          </w:p>
        </w:tc>
      </w:tr>
      <w:tr w:rsidR="00BD0A93" w:rsidRPr="00345847" w14:paraId="2ADCACE4" w14:textId="77777777" w:rsidTr="0024245D">
        <w:tc>
          <w:tcPr>
            <w:tcW w:w="2117" w:type="dxa"/>
          </w:tcPr>
          <w:p w14:paraId="093DC72C"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Microaggregates (%)</w:t>
            </w:r>
          </w:p>
        </w:tc>
        <w:tc>
          <w:tcPr>
            <w:tcW w:w="717" w:type="dxa"/>
          </w:tcPr>
          <w:p w14:paraId="220EA752" w14:textId="77777777" w:rsidR="00BD0A93" w:rsidRPr="00345847" w:rsidRDefault="00BD0A93" w:rsidP="0024245D">
            <w:pPr>
              <w:jc w:val="both"/>
              <w:rPr>
                <w:rFonts w:ascii="Calibri" w:hAnsi="Calibri" w:cs="Calibri"/>
                <w:sz w:val="22"/>
                <w:szCs w:val="22"/>
              </w:rPr>
            </w:pPr>
            <w:r w:rsidRPr="00345847">
              <w:rPr>
                <w:rFonts w:ascii="Calibri" w:hAnsi="Calibri" w:cs="Calibri"/>
                <w:sz w:val="22"/>
                <w:szCs w:val="22"/>
              </w:rPr>
              <w:t>0.52</w:t>
            </w:r>
          </w:p>
        </w:tc>
        <w:tc>
          <w:tcPr>
            <w:tcW w:w="1322" w:type="dxa"/>
          </w:tcPr>
          <w:p w14:paraId="2735C171"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32.7</w:t>
            </w:r>
          </w:p>
        </w:tc>
        <w:tc>
          <w:tcPr>
            <w:tcW w:w="763" w:type="dxa"/>
          </w:tcPr>
          <w:p w14:paraId="544ADEEC" w14:textId="77777777" w:rsidR="00BD0A93" w:rsidRPr="00345847" w:rsidRDefault="00BD0A93" w:rsidP="0024245D">
            <w:pPr>
              <w:jc w:val="center"/>
              <w:rPr>
                <w:rFonts w:ascii="Calibri" w:hAnsi="Calibri" w:cs="Calibri"/>
                <w:sz w:val="22"/>
                <w:szCs w:val="22"/>
              </w:rPr>
            </w:pPr>
            <w:r w:rsidRPr="00345847">
              <w:rPr>
                <w:rFonts w:ascii="Calibri" w:hAnsi="Calibri" w:cs="Calibri"/>
                <w:sz w:val="22"/>
                <w:szCs w:val="22"/>
              </w:rPr>
              <w:t>34.2</w:t>
            </w:r>
          </w:p>
        </w:tc>
        <w:tc>
          <w:tcPr>
            <w:tcW w:w="237" w:type="dxa"/>
          </w:tcPr>
          <w:p w14:paraId="5756D987" w14:textId="77777777" w:rsidR="00BD0A93" w:rsidRPr="00345847" w:rsidRDefault="00BD0A93" w:rsidP="0024245D">
            <w:pPr>
              <w:jc w:val="both"/>
              <w:rPr>
                <w:rFonts w:ascii="Calibri" w:hAnsi="Calibri" w:cs="Calibri"/>
                <w:sz w:val="22"/>
                <w:szCs w:val="22"/>
              </w:rPr>
            </w:pPr>
          </w:p>
        </w:tc>
        <w:tc>
          <w:tcPr>
            <w:tcW w:w="1504" w:type="dxa"/>
          </w:tcPr>
          <w:p w14:paraId="39E3E90F" w14:textId="77777777" w:rsidR="00BD0A93" w:rsidRPr="00345847" w:rsidRDefault="00BD0A93" w:rsidP="0024245D">
            <w:pPr>
              <w:jc w:val="both"/>
              <w:rPr>
                <w:rFonts w:ascii="Calibri" w:hAnsi="Calibri" w:cs="Calibri"/>
                <w:sz w:val="22"/>
                <w:szCs w:val="22"/>
              </w:rPr>
            </w:pPr>
          </w:p>
        </w:tc>
        <w:tc>
          <w:tcPr>
            <w:tcW w:w="720" w:type="dxa"/>
          </w:tcPr>
          <w:p w14:paraId="7770B631" w14:textId="77777777" w:rsidR="00BD0A93" w:rsidRPr="00345847" w:rsidRDefault="00BD0A93" w:rsidP="0024245D">
            <w:pPr>
              <w:jc w:val="both"/>
              <w:rPr>
                <w:rFonts w:ascii="Calibri" w:hAnsi="Calibri" w:cs="Calibri"/>
                <w:sz w:val="22"/>
                <w:szCs w:val="22"/>
              </w:rPr>
            </w:pPr>
          </w:p>
        </w:tc>
        <w:tc>
          <w:tcPr>
            <w:tcW w:w="1350" w:type="dxa"/>
          </w:tcPr>
          <w:p w14:paraId="3A0A7C86" w14:textId="77777777" w:rsidR="00BD0A93" w:rsidRPr="00345847" w:rsidRDefault="00BD0A93" w:rsidP="0024245D">
            <w:pPr>
              <w:jc w:val="center"/>
              <w:rPr>
                <w:rFonts w:ascii="Calibri" w:hAnsi="Calibri" w:cs="Calibri"/>
                <w:sz w:val="22"/>
                <w:szCs w:val="22"/>
              </w:rPr>
            </w:pPr>
          </w:p>
        </w:tc>
        <w:tc>
          <w:tcPr>
            <w:tcW w:w="810" w:type="dxa"/>
          </w:tcPr>
          <w:p w14:paraId="3F57EAEF" w14:textId="77777777" w:rsidR="00BD0A93" w:rsidRPr="00345847" w:rsidRDefault="00BD0A93" w:rsidP="0024245D">
            <w:pPr>
              <w:jc w:val="center"/>
              <w:rPr>
                <w:rFonts w:ascii="Calibri" w:hAnsi="Calibri" w:cs="Calibri"/>
                <w:sz w:val="22"/>
                <w:szCs w:val="22"/>
              </w:rPr>
            </w:pPr>
          </w:p>
        </w:tc>
      </w:tr>
    </w:tbl>
    <w:p w14:paraId="6EE1670A" w14:textId="77777777" w:rsidR="00BD0A93" w:rsidRPr="00345847" w:rsidRDefault="00BD0A93" w:rsidP="00BD0A93">
      <w:pPr>
        <w:jc w:val="both"/>
        <w:rPr>
          <w:rFonts w:ascii="Calibri" w:hAnsi="Calibri" w:cs="Calibri"/>
          <w:b/>
          <w:sz w:val="22"/>
          <w:szCs w:val="22"/>
        </w:rPr>
      </w:pPr>
    </w:p>
    <w:p w14:paraId="2FD4578A" w14:textId="572650D2" w:rsidR="00BD0A93" w:rsidRPr="00345847" w:rsidRDefault="002D575C" w:rsidP="005A5193">
      <w:pPr>
        <w:jc w:val="both"/>
        <w:rPr>
          <w:rFonts w:ascii="Calibri" w:hAnsi="Calibri" w:cs="Calibri"/>
          <w:sz w:val="22"/>
          <w:szCs w:val="22"/>
        </w:rPr>
      </w:pPr>
      <w:r>
        <w:rPr>
          <w:rFonts w:ascii="Calibri" w:hAnsi="Calibri" w:cs="Calibri"/>
          <w:sz w:val="22"/>
          <w:szCs w:val="22"/>
        </w:rPr>
        <w:t xml:space="preserve">Among the soil properties evaluated, soil chemical properties tended to be more affected than the biological community structures. The highlighted rows in Table 1 indicate soil properties with significant differences among the areas with dead, damaged, or dying plants as compared to areas with </w:t>
      </w:r>
      <w:r w:rsidR="00DF1913">
        <w:rPr>
          <w:rFonts w:ascii="Calibri" w:hAnsi="Calibri" w:cs="Calibri"/>
          <w:sz w:val="22"/>
          <w:szCs w:val="22"/>
        </w:rPr>
        <w:t>living</w:t>
      </w:r>
      <w:r>
        <w:rPr>
          <w:rFonts w:ascii="Calibri" w:hAnsi="Calibri" w:cs="Calibri"/>
          <w:sz w:val="22"/>
          <w:szCs w:val="22"/>
        </w:rPr>
        <w:t xml:space="preserve"> plants. In regards to chemical properties, the values and trends suggest that the soil chemical state of the soil preceded the plant response. That is, the plants likely reacted to the soil salinity as expected. In Table 1 and Figure 3 (regression analysis), we can infer a notable trend of less nitrate-N and Olsen P having been taking up by plants as soil salinity (i.e., saturated paste extract EC) increases. As for the biological community structures, some significant differences were observed, but the scale of influence was minimal to have much </w:t>
      </w:r>
      <w:r w:rsidR="00DF1913">
        <w:rPr>
          <w:rFonts w:ascii="Calibri" w:hAnsi="Calibri" w:cs="Calibri"/>
          <w:sz w:val="22"/>
          <w:szCs w:val="22"/>
        </w:rPr>
        <w:t xml:space="preserve">of </w:t>
      </w:r>
      <w:r>
        <w:rPr>
          <w:rFonts w:ascii="Calibri" w:hAnsi="Calibri" w:cs="Calibri"/>
          <w:sz w:val="22"/>
          <w:szCs w:val="22"/>
        </w:rPr>
        <w:t xml:space="preserve">a practical importance. The physical aspect of soil aggregates and their size distribution did not differ among the areas with dead, damaged, or dying plants as compared to areas with living plants. Overall, we observed fewer instances and scale of impacts among the areas than we expected and did not observed evidence that soil properties associated with differences in soil tillage likely had much </w:t>
      </w:r>
      <w:r>
        <w:rPr>
          <w:rFonts w:ascii="Calibri" w:hAnsi="Calibri" w:cs="Calibri"/>
          <w:sz w:val="22"/>
          <w:szCs w:val="22"/>
        </w:rPr>
        <w:lastRenderedPageBreak/>
        <w:t>of a role in this field’s behavior. However, this should not be confused with processes (e.g., evaporation rates due to residue cover and subsequence rise of saline waters) that tillage would have been expected to influence. Instead, these results indicate that standard soil properties, by themselves, may not provide adequate insight into physical processes of saline water management.</w:t>
      </w:r>
    </w:p>
    <w:p w14:paraId="340FC15C" w14:textId="77777777" w:rsidR="002D575C" w:rsidRDefault="002D575C" w:rsidP="00BD0A93">
      <w:pPr>
        <w:jc w:val="both"/>
        <w:rPr>
          <w:rFonts w:ascii="Calibri" w:hAnsi="Calibri" w:cs="Calibri"/>
          <w:sz w:val="22"/>
          <w:szCs w:val="22"/>
        </w:rPr>
      </w:pPr>
    </w:p>
    <w:p w14:paraId="48B16E3B" w14:textId="44E98D77" w:rsidR="00E94FC3" w:rsidRDefault="00E94FC3" w:rsidP="0020527C">
      <w:pPr>
        <w:jc w:val="center"/>
        <w:rPr>
          <w:rFonts w:ascii="Calibri" w:hAnsi="Calibri" w:cs="Calibri"/>
          <w:b/>
          <w:sz w:val="22"/>
          <w:szCs w:val="22"/>
        </w:rPr>
      </w:pPr>
      <w:r w:rsidRPr="00E94FC3">
        <w:rPr>
          <w:rFonts w:ascii="Calibri" w:hAnsi="Calibri" w:cs="Calibri"/>
          <w:b/>
          <w:noProof/>
          <w:sz w:val="22"/>
          <w:szCs w:val="22"/>
        </w:rPr>
        <w:drawing>
          <wp:inline distT="0" distB="0" distL="0" distR="0" wp14:anchorId="4BE5671F" wp14:editId="1B73F598">
            <wp:extent cx="5943600" cy="5770245"/>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5943600" cy="5770245"/>
                    </a:xfrm>
                    <a:prstGeom prst="rect">
                      <a:avLst/>
                    </a:prstGeom>
                  </pic:spPr>
                </pic:pic>
              </a:graphicData>
            </a:graphic>
          </wp:inline>
        </w:drawing>
      </w:r>
    </w:p>
    <w:p w14:paraId="30ABABC6" w14:textId="24CE9DE4" w:rsidR="00E94FC3" w:rsidRPr="002D575C" w:rsidRDefault="00E94FC3" w:rsidP="0020527C">
      <w:pPr>
        <w:jc w:val="center"/>
        <w:rPr>
          <w:rFonts w:ascii="Calibri" w:hAnsi="Calibri" w:cs="Calibri"/>
          <w:i/>
          <w:sz w:val="22"/>
          <w:szCs w:val="22"/>
        </w:rPr>
      </w:pPr>
      <w:r w:rsidRPr="002D575C">
        <w:rPr>
          <w:rFonts w:ascii="Calibri" w:hAnsi="Calibri" w:cs="Calibri"/>
          <w:b/>
          <w:i/>
          <w:sz w:val="22"/>
          <w:szCs w:val="22"/>
        </w:rPr>
        <w:t>Figure 3.</w:t>
      </w:r>
      <w:r w:rsidR="000D3181" w:rsidRPr="002D575C">
        <w:rPr>
          <w:rFonts w:ascii="Calibri" w:hAnsi="Calibri" w:cs="Calibri"/>
          <w:i/>
          <w:sz w:val="22"/>
          <w:szCs w:val="22"/>
        </w:rPr>
        <w:t xml:space="preserve"> Soil nitrate-N, Olsen P, arbuscular mycorrhizal (AM) fungi, soil permanganate oxidizable carbon (POXC), and soil protein relationships to saturated pasted soil electrical conductivity (EC) for treatment areas with dead, damaged, or dying plants vs. living plants.</w:t>
      </w:r>
    </w:p>
    <w:p w14:paraId="47224104" w14:textId="0B853C78" w:rsidR="00E94FC3" w:rsidRDefault="00E94FC3" w:rsidP="000D604D">
      <w:pPr>
        <w:jc w:val="both"/>
        <w:rPr>
          <w:rFonts w:ascii="Calibri" w:hAnsi="Calibri" w:cs="Calibri"/>
          <w:b/>
          <w:sz w:val="22"/>
          <w:szCs w:val="22"/>
        </w:rPr>
      </w:pPr>
    </w:p>
    <w:p w14:paraId="70EA5885" w14:textId="6D57D5D9" w:rsidR="0031527D" w:rsidRDefault="0031527D" w:rsidP="002D575C">
      <w:pPr>
        <w:jc w:val="both"/>
        <w:rPr>
          <w:rFonts w:ascii="Calibri" w:hAnsi="Calibri" w:cs="Calibri"/>
          <w:sz w:val="22"/>
          <w:szCs w:val="22"/>
        </w:rPr>
      </w:pPr>
      <w:r>
        <w:rPr>
          <w:rFonts w:ascii="Calibri" w:hAnsi="Calibri" w:cs="Calibri"/>
          <w:sz w:val="22"/>
          <w:szCs w:val="22"/>
        </w:rPr>
        <w:t xml:space="preserve">The regression analysis showed few soil properties that were strongly associated with soil salinity and mostly corresponded to some of the significant effects also found in the t-test analysis (Figure 3). </w:t>
      </w:r>
    </w:p>
    <w:p w14:paraId="28549CD4" w14:textId="77777777" w:rsidR="0031527D" w:rsidRDefault="0031527D" w:rsidP="002D575C">
      <w:pPr>
        <w:jc w:val="both"/>
        <w:rPr>
          <w:rFonts w:ascii="Calibri" w:hAnsi="Calibri" w:cs="Calibri"/>
          <w:sz w:val="22"/>
          <w:szCs w:val="22"/>
        </w:rPr>
      </w:pPr>
    </w:p>
    <w:p w14:paraId="116D7381" w14:textId="7C739ECF" w:rsidR="002D575C" w:rsidRDefault="002D575C" w:rsidP="000D604D">
      <w:pPr>
        <w:jc w:val="both"/>
        <w:rPr>
          <w:rFonts w:ascii="Calibri" w:hAnsi="Calibri" w:cs="Calibri"/>
          <w:sz w:val="22"/>
          <w:szCs w:val="22"/>
        </w:rPr>
      </w:pPr>
      <w:r w:rsidRPr="00345847">
        <w:rPr>
          <w:rFonts w:ascii="Calibri" w:hAnsi="Calibri" w:cs="Calibri"/>
          <w:sz w:val="22"/>
          <w:szCs w:val="22"/>
        </w:rPr>
        <w:t xml:space="preserve">The project design and goals were presented in conjunction with other current and previous North Dakota Soybean Council funded projects at the international ASA-CSSA-SSSA conference in San Antonio in </w:t>
      </w:r>
      <w:r w:rsidRPr="00345847">
        <w:rPr>
          <w:rFonts w:ascii="Calibri" w:hAnsi="Calibri" w:cs="Calibri"/>
          <w:sz w:val="22"/>
          <w:szCs w:val="22"/>
        </w:rPr>
        <w:lastRenderedPageBreak/>
        <w:t>November 2019.</w:t>
      </w:r>
      <w:r>
        <w:rPr>
          <w:rFonts w:ascii="Calibri" w:hAnsi="Calibri" w:cs="Calibri"/>
          <w:sz w:val="22"/>
          <w:szCs w:val="22"/>
        </w:rPr>
        <w:t xml:space="preserve"> </w:t>
      </w:r>
      <w:r w:rsidR="0053679F">
        <w:rPr>
          <w:rFonts w:ascii="Calibri" w:hAnsi="Calibri" w:cs="Calibri"/>
          <w:sz w:val="22"/>
          <w:szCs w:val="22"/>
        </w:rPr>
        <w:t>This research was also presented at several talks at the Dakota Innovation Research Technology (DIRT) Workshop hosted by the NDSU Extension and the Conservation Tillage Conference hosted by the UMN Extens</w:t>
      </w:r>
      <w:bookmarkStart w:id="0" w:name="_GoBack"/>
      <w:bookmarkEnd w:id="0"/>
      <w:r w:rsidR="0053679F">
        <w:rPr>
          <w:rFonts w:ascii="Calibri" w:hAnsi="Calibri" w:cs="Calibri"/>
          <w:sz w:val="22"/>
          <w:szCs w:val="22"/>
        </w:rPr>
        <w:t xml:space="preserve">ion Service. </w:t>
      </w:r>
      <w:r>
        <w:rPr>
          <w:rFonts w:ascii="Calibri" w:hAnsi="Calibri" w:cs="Calibri"/>
          <w:sz w:val="22"/>
          <w:szCs w:val="22"/>
        </w:rPr>
        <w:t>After the end of the grant period, we will continue to disseminate our findings</w:t>
      </w:r>
      <w:r w:rsidRPr="00345847">
        <w:rPr>
          <w:rFonts w:ascii="Calibri" w:hAnsi="Calibri" w:cs="Calibri"/>
          <w:sz w:val="22"/>
          <w:szCs w:val="22"/>
        </w:rPr>
        <w:t xml:space="preserve"> at extension workshops and various spring programs in 2020</w:t>
      </w:r>
      <w:r>
        <w:rPr>
          <w:rFonts w:ascii="Calibri" w:hAnsi="Calibri" w:cs="Calibri"/>
          <w:sz w:val="22"/>
          <w:szCs w:val="22"/>
        </w:rPr>
        <w:t xml:space="preserve"> and subsequent years</w:t>
      </w:r>
      <w:r w:rsidRPr="00345847">
        <w:rPr>
          <w:rFonts w:ascii="Calibri" w:hAnsi="Calibri" w:cs="Calibri"/>
          <w:sz w:val="22"/>
          <w:szCs w:val="22"/>
        </w:rPr>
        <w:t xml:space="preserve">. </w:t>
      </w:r>
      <w:r>
        <w:rPr>
          <w:rFonts w:ascii="Calibri" w:hAnsi="Calibri" w:cs="Calibri"/>
          <w:sz w:val="22"/>
          <w:szCs w:val="22"/>
        </w:rPr>
        <w:t>We will continue to monitor crop response at this site in conjunction with a neighboring research site that is supported with federal funds</w:t>
      </w:r>
      <w:r w:rsidRPr="00345847">
        <w:rPr>
          <w:rFonts w:ascii="Calibri" w:hAnsi="Calibri" w:cs="Calibri"/>
          <w:sz w:val="22"/>
          <w:szCs w:val="22"/>
        </w:rPr>
        <w:t>.</w:t>
      </w:r>
      <w:r>
        <w:rPr>
          <w:rFonts w:ascii="Calibri" w:hAnsi="Calibri" w:cs="Calibri"/>
          <w:sz w:val="22"/>
          <w:szCs w:val="22"/>
        </w:rPr>
        <w:t xml:space="preserve"> We will also complete image analysis using a convolution neural network algorithm and make those data publically available in an update report and presentations at stakeholder and extension sponsored events. </w:t>
      </w:r>
      <w:r w:rsidR="0031527D">
        <w:rPr>
          <w:rFonts w:ascii="Calibri" w:hAnsi="Calibri" w:cs="Calibri"/>
          <w:sz w:val="22"/>
          <w:szCs w:val="22"/>
        </w:rPr>
        <w:t>These data will be combined with the ongoing neighboring field project for future</w:t>
      </w:r>
      <w:r>
        <w:rPr>
          <w:rFonts w:ascii="Calibri" w:hAnsi="Calibri" w:cs="Calibri"/>
          <w:sz w:val="22"/>
          <w:szCs w:val="22"/>
        </w:rPr>
        <w:t xml:space="preserve"> manuscript </w:t>
      </w:r>
      <w:r w:rsidR="0031527D">
        <w:rPr>
          <w:rFonts w:ascii="Calibri" w:hAnsi="Calibri" w:cs="Calibri"/>
          <w:sz w:val="22"/>
          <w:szCs w:val="22"/>
        </w:rPr>
        <w:t>preparations and</w:t>
      </w:r>
      <w:r>
        <w:rPr>
          <w:rFonts w:ascii="Calibri" w:hAnsi="Calibri" w:cs="Calibri"/>
          <w:sz w:val="22"/>
          <w:szCs w:val="22"/>
        </w:rPr>
        <w:t xml:space="preserve"> submission to a scientific peer-reviewed journal.</w:t>
      </w:r>
    </w:p>
    <w:p w14:paraId="74DB18DF" w14:textId="14561462" w:rsidR="00D72231" w:rsidRDefault="00D72231" w:rsidP="000D604D">
      <w:pPr>
        <w:jc w:val="both"/>
        <w:rPr>
          <w:rFonts w:ascii="Calibri" w:hAnsi="Calibri" w:cs="Calibri"/>
          <w:sz w:val="22"/>
          <w:szCs w:val="22"/>
        </w:rPr>
      </w:pPr>
    </w:p>
    <w:p w14:paraId="4558A055" w14:textId="2D71832A" w:rsidR="00D72231" w:rsidRPr="002D575C" w:rsidRDefault="00D72231" w:rsidP="000D604D">
      <w:pPr>
        <w:jc w:val="both"/>
        <w:rPr>
          <w:rFonts w:ascii="Calibri" w:hAnsi="Calibri" w:cs="Calibri"/>
          <w:sz w:val="22"/>
          <w:szCs w:val="22"/>
        </w:rPr>
      </w:pPr>
      <w:r>
        <w:rPr>
          <w:rFonts w:ascii="Calibri" w:hAnsi="Calibri" w:cs="Calibri"/>
          <w:sz w:val="22"/>
          <w:szCs w:val="22"/>
        </w:rPr>
        <w:t>In conclusion, none of the soil properties measured in this study appears to provide adequate information to infer if a soil may be prone to future salinization. The outcomes of soil salinization was clearly observed at this site and exhibited distinct boundaries (i.e., within mere inches) between areas with dead, damaged, or dying plants as compared to areas with living and thriving plants. Visually, soil management zones provided stark evidence that tillage and drainage practices (and a prior history of cover crops) can and do make a difference in crop survival in saline-prone fields. However, pairs of areas with the same or contrasting management histories display the same trends in soil properties. Therefore, producers are recommended to focus on how their management practices many change soil processes, such as residue cover effects on soil evaporation rates and subsurface drainage effects on maintaining lower water tables, as opposed to some select suite of soil properties.  The most noteworthy take away from this case study is that the combination of reduced tillage with subsurface drainage can and do provide crop protection from salinization due to shallow saline water tables.</w:t>
      </w:r>
    </w:p>
    <w:sectPr w:rsidR="00D72231" w:rsidRPr="002D575C" w:rsidSect="002069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21867" w14:textId="77777777" w:rsidR="003647B8" w:rsidRDefault="003647B8" w:rsidP="00FA1BCB">
      <w:r>
        <w:separator/>
      </w:r>
    </w:p>
  </w:endnote>
  <w:endnote w:type="continuationSeparator" w:id="0">
    <w:p w14:paraId="207B00F3" w14:textId="77777777" w:rsidR="003647B8" w:rsidRDefault="003647B8" w:rsidP="00FA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9F086" w14:textId="77777777" w:rsidR="003647B8" w:rsidRDefault="003647B8" w:rsidP="00FA1BCB">
      <w:r>
        <w:separator/>
      </w:r>
    </w:p>
  </w:footnote>
  <w:footnote w:type="continuationSeparator" w:id="0">
    <w:p w14:paraId="26DC3A0D" w14:textId="77777777" w:rsidR="003647B8" w:rsidRDefault="003647B8" w:rsidP="00FA1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FE8"/>
    <w:multiLevelType w:val="hybridMultilevel"/>
    <w:tmpl w:val="374497CA"/>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0E424E2"/>
    <w:multiLevelType w:val="multilevel"/>
    <w:tmpl w:val="73C269E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A35C47"/>
    <w:multiLevelType w:val="hybridMultilevel"/>
    <w:tmpl w:val="D5BA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C2E03"/>
    <w:multiLevelType w:val="hybridMultilevel"/>
    <w:tmpl w:val="C876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53784"/>
    <w:multiLevelType w:val="hybridMultilevel"/>
    <w:tmpl w:val="8C40FBDE"/>
    <w:lvl w:ilvl="0" w:tplc="6AC81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94E8B"/>
    <w:multiLevelType w:val="hybridMultilevel"/>
    <w:tmpl w:val="C3C88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500B42"/>
    <w:multiLevelType w:val="hybridMultilevel"/>
    <w:tmpl w:val="D70E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43A16"/>
    <w:multiLevelType w:val="hybridMultilevel"/>
    <w:tmpl w:val="53BE3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ED8185B"/>
    <w:multiLevelType w:val="hybridMultilevel"/>
    <w:tmpl w:val="0728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85868"/>
    <w:multiLevelType w:val="hybridMultilevel"/>
    <w:tmpl w:val="CDA265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3FF1FA8"/>
    <w:multiLevelType w:val="hybridMultilevel"/>
    <w:tmpl w:val="58F0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4E2348"/>
    <w:multiLevelType w:val="hybridMultilevel"/>
    <w:tmpl w:val="999808AC"/>
    <w:lvl w:ilvl="0" w:tplc="27483F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7"/>
  </w:num>
  <w:num w:numId="5">
    <w:abstractNumId w:val="2"/>
  </w:num>
  <w:num w:numId="6">
    <w:abstractNumId w:val="6"/>
  </w:num>
  <w:num w:numId="7">
    <w:abstractNumId w:val="3"/>
  </w:num>
  <w:num w:numId="8">
    <w:abstractNumId w:val="5"/>
  </w:num>
  <w:num w:numId="9">
    <w:abstractNumId w:val="8"/>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15"/>
    <w:rsid w:val="00000149"/>
    <w:rsid w:val="000018CB"/>
    <w:rsid w:val="00010E6A"/>
    <w:rsid w:val="000128FD"/>
    <w:rsid w:val="0002769F"/>
    <w:rsid w:val="00046A3C"/>
    <w:rsid w:val="0005095F"/>
    <w:rsid w:val="00061EE7"/>
    <w:rsid w:val="00095968"/>
    <w:rsid w:val="000A0D9F"/>
    <w:rsid w:val="000A5BA0"/>
    <w:rsid w:val="000A7FFD"/>
    <w:rsid w:val="000B29C5"/>
    <w:rsid w:val="000B5E23"/>
    <w:rsid w:val="000B6141"/>
    <w:rsid w:val="000D3181"/>
    <w:rsid w:val="000D604D"/>
    <w:rsid w:val="000E0F7E"/>
    <w:rsid w:val="000E36D7"/>
    <w:rsid w:val="00101568"/>
    <w:rsid w:val="00140B4B"/>
    <w:rsid w:val="001516E6"/>
    <w:rsid w:val="0015391F"/>
    <w:rsid w:val="00172E2D"/>
    <w:rsid w:val="0018159C"/>
    <w:rsid w:val="00196A33"/>
    <w:rsid w:val="001A1F0E"/>
    <w:rsid w:val="001A624D"/>
    <w:rsid w:val="001B58B9"/>
    <w:rsid w:val="001B5FC0"/>
    <w:rsid w:val="001C0EDA"/>
    <w:rsid w:val="001C1CBB"/>
    <w:rsid w:val="001D114F"/>
    <w:rsid w:val="001D22A5"/>
    <w:rsid w:val="001E5630"/>
    <w:rsid w:val="001E7C71"/>
    <w:rsid w:val="001F1992"/>
    <w:rsid w:val="001F33E9"/>
    <w:rsid w:val="002031FE"/>
    <w:rsid w:val="0020527C"/>
    <w:rsid w:val="00206968"/>
    <w:rsid w:val="002130C0"/>
    <w:rsid w:val="0023269E"/>
    <w:rsid w:val="00235D36"/>
    <w:rsid w:val="002361EF"/>
    <w:rsid w:val="00251FFF"/>
    <w:rsid w:val="00265560"/>
    <w:rsid w:val="00270CC5"/>
    <w:rsid w:val="002840FC"/>
    <w:rsid w:val="00284121"/>
    <w:rsid w:val="00293560"/>
    <w:rsid w:val="002A4759"/>
    <w:rsid w:val="002C1956"/>
    <w:rsid w:val="002C619A"/>
    <w:rsid w:val="002D3833"/>
    <w:rsid w:val="002D3B5C"/>
    <w:rsid w:val="002D3CFB"/>
    <w:rsid w:val="002D575C"/>
    <w:rsid w:val="002D75C0"/>
    <w:rsid w:val="002E1685"/>
    <w:rsid w:val="002E3B4A"/>
    <w:rsid w:val="002F42F3"/>
    <w:rsid w:val="002F5376"/>
    <w:rsid w:val="002F5F5B"/>
    <w:rsid w:val="003004DE"/>
    <w:rsid w:val="00300A81"/>
    <w:rsid w:val="0030114C"/>
    <w:rsid w:val="0031065B"/>
    <w:rsid w:val="0031527D"/>
    <w:rsid w:val="0032644B"/>
    <w:rsid w:val="00345847"/>
    <w:rsid w:val="00345E74"/>
    <w:rsid w:val="00346240"/>
    <w:rsid w:val="003647B8"/>
    <w:rsid w:val="00367272"/>
    <w:rsid w:val="003733D6"/>
    <w:rsid w:val="0037418D"/>
    <w:rsid w:val="003754E6"/>
    <w:rsid w:val="00376E75"/>
    <w:rsid w:val="00384D7D"/>
    <w:rsid w:val="003A4BD6"/>
    <w:rsid w:val="003A4D65"/>
    <w:rsid w:val="003B5B72"/>
    <w:rsid w:val="003C1B7E"/>
    <w:rsid w:val="003E18DB"/>
    <w:rsid w:val="003F2225"/>
    <w:rsid w:val="004005A9"/>
    <w:rsid w:val="0041272A"/>
    <w:rsid w:val="0042181E"/>
    <w:rsid w:val="004220A2"/>
    <w:rsid w:val="0043229E"/>
    <w:rsid w:val="00435A91"/>
    <w:rsid w:val="00452EB4"/>
    <w:rsid w:val="00455465"/>
    <w:rsid w:val="00456E1D"/>
    <w:rsid w:val="004639F0"/>
    <w:rsid w:val="004669AC"/>
    <w:rsid w:val="0047424C"/>
    <w:rsid w:val="00480167"/>
    <w:rsid w:val="0048511A"/>
    <w:rsid w:val="00485BF8"/>
    <w:rsid w:val="00486CF0"/>
    <w:rsid w:val="00486F51"/>
    <w:rsid w:val="004A191B"/>
    <w:rsid w:val="004B4646"/>
    <w:rsid w:val="004B5A8A"/>
    <w:rsid w:val="004C6086"/>
    <w:rsid w:val="004D05C8"/>
    <w:rsid w:val="004D15FD"/>
    <w:rsid w:val="004E0116"/>
    <w:rsid w:val="004E1AEA"/>
    <w:rsid w:val="004E694F"/>
    <w:rsid w:val="004F064A"/>
    <w:rsid w:val="004F405C"/>
    <w:rsid w:val="0050541E"/>
    <w:rsid w:val="00525241"/>
    <w:rsid w:val="00530B1C"/>
    <w:rsid w:val="0053679F"/>
    <w:rsid w:val="0054565F"/>
    <w:rsid w:val="0054681C"/>
    <w:rsid w:val="00552DFC"/>
    <w:rsid w:val="005559CF"/>
    <w:rsid w:val="005833C7"/>
    <w:rsid w:val="00590DA0"/>
    <w:rsid w:val="005A5193"/>
    <w:rsid w:val="005A5DA9"/>
    <w:rsid w:val="005A6D9A"/>
    <w:rsid w:val="005B1326"/>
    <w:rsid w:val="005C26DC"/>
    <w:rsid w:val="005F2073"/>
    <w:rsid w:val="005F4790"/>
    <w:rsid w:val="006057DD"/>
    <w:rsid w:val="00626D11"/>
    <w:rsid w:val="006354B6"/>
    <w:rsid w:val="00636B24"/>
    <w:rsid w:val="00637A64"/>
    <w:rsid w:val="00642A4A"/>
    <w:rsid w:val="00647CE1"/>
    <w:rsid w:val="00651472"/>
    <w:rsid w:val="006663F6"/>
    <w:rsid w:val="006775B6"/>
    <w:rsid w:val="00680FAC"/>
    <w:rsid w:val="0068666F"/>
    <w:rsid w:val="006901C6"/>
    <w:rsid w:val="006A0889"/>
    <w:rsid w:val="006C02AF"/>
    <w:rsid w:val="006C2A5E"/>
    <w:rsid w:val="006C6858"/>
    <w:rsid w:val="006D1D9F"/>
    <w:rsid w:val="006D5B39"/>
    <w:rsid w:val="006D6504"/>
    <w:rsid w:val="006E0C87"/>
    <w:rsid w:val="006E2F5E"/>
    <w:rsid w:val="006E66A3"/>
    <w:rsid w:val="006E73F3"/>
    <w:rsid w:val="006E7B00"/>
    <w:rsid w:val="006F3C33"/>
    <w:rsid w:val="00702069"/>
    <w:rsid w:val="0070680F"/>
    <w:rsid w:val="00713485"/>
    <w:rsid w:val="0072614B"/>
    <w:rsid w:val="00726C17"/>
    <w:rsid w:val="007425EE"/>
    <w:rsid w:val="007444A4"/>
    <w:rsid w:val="00755331"/>
    <w:rsid w:val="00771B4B"/>
    <w:rsid w:val="00772520"/>
    <w:rsid w:val="007812C0"/>
    <w:rsid w:val="007820D1"/>
    <w:rsid w:val="00782397"/>
    <w:rsid w:val="00785577"/>
    <w:rsid w:val="007874B1"/>
    <w:rsid w:val="007937D6"/>
    <w:rsid w:val="007A33E0"/>
    <w:rsid w:val="007C0302"/>
    <w:rsid w:val="007C5802"/>
    <w:rsid w:val="007E0015"/>
    <w:rsid w:val="007F212A"/>
    <w:rsid w:val="007F4B8B"/>
    <w:rsid w:val="0080305F"/>
    <w:rsid w:val="00805804"/>
    <w:rsid w:val="00815702"/>
    <w:rsid w:val="008316FD"/>
    <w:rsid w:val="0085107E"/>
    <w:rsid w:val="00852FBC"/>
    <w:rsid w:val="0086709A"/>
    <w:rsid w:val="00881E02"/>
    <w:rsid w:val="0088332E"/>
    <w:rsid w:val="00887379"/>
    <w:rsid w:val="00890244"/>
    <w:rsid w:val="00891C6E"/>
    <w:rsid w:val="00892850"/>
    <w:rsid w:val="008C0FC1"/>
    <w:rsid w:val="008C690B"/>
    <w:rsid w:val="008D118E"/>
    <w:rsid w:val="008D52E3"/>
    <w:rsid w:val="008E0813"/>
    <w:rsid w:val="008E7CA3"/>
    <w:rsid w:val="008F278B"/>
    <w:rsid w:val="008F302D"/>
    <w:rsid w:val="008F34E5"/>
    <w:rsid w:val="009034A8"/>
    <w:rsid w:val="0091083F"/>
    <w:rsid w:val="00927637"/>
    <w:rsid w:val="009436D8"/>
    <w:rsid w:val="009541CD"/>
    <w:rsid w:val="009639E0"/>
    <w:rsid w:val="00970294"/>
    <w:rsid w:val="009737AA"/>
    <w:rsid w:val="00982CDF"/>
    <w:rsid w:val="00987CD6"/>
    <w:rsid w:val="009938F6"/>
    <w:rsid w:val="009A604F"/>
    <w:rsid w:val="009B3D5A"/>
    <w:rsid w:val="009C7F9B"/>
    <w:rsid w:val="009E7DCD"/>
    <w:rsid w:val="009F552E"/>
    <w:rsid w:val="00A00394"/>
    <w:rsid w:val="00A22163"/>
    <w:rsid w:val="00A22CB2"/>
    <w:rsid w:val="00A248AC"/>
    <w:rsid w:val="00A252A6"/>
    <w:rsid w:val="00A33C8D"/>
    <w:rsid w:val="00A340DE"/>
    <w:rsid w:val="00A45AB1"/>
    <w:rsid w:val="00A534FF"/>
    <w:rsid w:val="00A76702"/>
    <w:rsid w:val="00A8258A"/>
    <w:rsid w:val="00A82D66"/>
    <w:rsid w:val="00A94102"/>
    <w:rsid w:val="00AA3601"/>
    <w:rsid w:val="00AA7303"/>
    <w:rsid w:val="00AA7D61"/>
    <w:rsid w:val="00AB2C2A"/>
    <w:rsid w:val="00AC4242"/>
    <w:rsid w:val="00AD3DB8"/>
    <w:rsid w:val="00AD6407"/>
    <w:rsid w:val="00AE14E7"/>
    <w:rsid w:val="00AE624F"/>
    <w:rsid w:val="00AF4161"/>
    <w:rsid w:val="00AF4978"/>
    <w:rsid w:val="00B01417"/>
    <w:rsid w:val="00B0149F"/>
    <w:rsid w:val="00B16B92"/>
    <w:rsid w:val="00B22965"/>
    <w:rsid w:val="00B26A45"/>
    <w:rsid w:val="00B27525"/>
    <w:rsid w:val="00B33F9F"/>
    <w:rsid w:val="00B3463E"/>
    <w:rsid w:val="00B37E5B"/>
    <w:rsid w:val="00B47265"/>
    <w:rsid w:val="00B6322C"/>
    <w:rsid w:val="00B633D7"/>
    <w:rsid w:val="00B8381E"/>
    <w:rsid w:val="00B844FA"/>
    <w:rsid w:val="00B85CD0"/>
    <w:rsid w:val="00B876AB"/>
    <w:rsid w:val="00BA003C"/>
    <w:rsid w:val="00BB5524"/>
    <w:rsid w:val="00BD0A93"/>
    <w:rsid w:val="00BD66FE"/>
    <w:rsid w:val="00BE48DE"/>
    <w:rsid w:val="00C037F9"/>
    <w:rsid w:val="00C17988"/>
    <w:rsid w:val="00C22FFF"/>
    <w:rsid w:val="00C33C22"/>
    <w:rsid w:val="00C35889"/>
    <w:rsid w:val="00C37E87"/>
    <w:rsid w:val="00C4512B"/>
    <w:rsid w:val="00C628BE"/>
    <w:rsid w:val="00C7029C"/>
    <w:rsid w:val="00C702B3"/>
    <w:rsid w:val="00C775B2"/>
    <w:rsid w:val="00C82D94"/>
    <w:rsid w:val="00C8500F"/>
    <w:rsid w:val="00C91263"/>
    <w:rsid w:val="00CA172C"/>
    <w:rsid w:val="00CA5F93"/>
    <w:rsid w:val="00CB0A17"/>
    <w:rsid w:val="00CC112A"/>
    <w:rsid w:val="00CC3322"/>
    <w:rsid w:val="00CC56CB"/>
    <w:rsid w:val="00CC59DA"/>
    <w:rsid w:val="00CE155D"/>
    <w:rsid w:val="00D03AF9"/>
    <w:rsid w:val="00D210E6"/>
    <w:rsid w:val="00D214CD"/>
    <w:rsid w:val="00D43231"/>
    <w:rsid w:val="00D4774C"/>
    <w:rsid w:val="00D529B4"/>
    <w:rsid w:val="00D57A9A"/>
    <w:rsid w:val="00D6101C"/>
    <w:rsid w:val="00D72231"/>
    <w:rsid w:val="00D9220B"/>
    <w:rsid w:val="00D9677C"/>
    <w:rsid w:val="00D96BF1"/>
    <w:rsid w:val="00DB14E0"/>
    <w:rsid w:val="00DC2227"/>
    <w:rsid w:val="00DC3842"/>
    <w:rsid w:val="00DC64BA"/>
    <w:rsid w:val="00DD0010"/>
    <w:rsid w:val="00DD26EE"/>
    <w:rsid w:val="00DD7C36"/>
    <w:rsid w:val="00DE6185"/>
    <w:rsid w:val="00DF1913"/>
    <w:rsid w:val="00E04400"/>
    <w:rsid w:val="00E060D5"/>
    <w:rsid w:val="00E1210F"/>
    <w:rsid w:val="00E16835"/>
    <w:rsid w:val="00E379FC"/>
    <w:rsid w:val="00E67A02"/>
    <w:rsid w:val="00E71AEA"/>
    <w:rsid w:val="00E876A7"/>
    <w:rsid w:val="00E94FC3"/>
    <w:rsid w:val="00EA208F"/>
    <w:rsid w:val="00EA2650"/>
    <w:rsid w:val="00EC079C"/>
    <w:rsid w:val="00ED0EF2"/>
    <w:rsid w:val="00ED201C"/>
    <w:rsid w:val="00EE0626"/>
    <w:rsid w:val="00EF3B66"/>
    <w:rsid w:val="00F056BA"/>
    <w:rsid w:val="00F1375E"/>
    <w:rsid w:val="00F166D9"/>
    <w:rsid w:val="00F442F3"/>
    <w:rsid w:val="00F54F1A"/>
    <w:rsid w:val="00F721C5"/>
    <w:rsid w:val="00F74F68"/>
    <w:rsid w:val="00F75B7C"/>
    <w:rsid w:val="00F8008A"/>
    <w:rsid w:val="00F8300B"/>
    <w:rsid w:val="00F841F0"/>
    <w:rsid w:val="00F849AE"/>
    <w:rsid w:val="00F921C3"/>
    <w:rsid w:val="00F960DF"/>
    <w:rsid w:val="00FA1BCB"/>
    <w:rsid w:val="00FA514E"/>
    <w:rsid w:val="00FA631D"/>
    <w:rsid w:val="00FB1303"/>
    <w:rsid w:val="00FC491D"/>
    <w:rsid w:val="00FD06F9"/>
    <w:rsid w:val="00FD0AD3"/>
    <w:rsid w:val="00FD11E8"/>
    <w:rsid w:val="00FF0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C2E4A"/>
  <w15:docId w15:val="{02B063D8-E73D-4A3F-AC67-B60EA677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BA0"/>
    <w:pPr>
      <w:ind w:left="720"/>
      <w:contextualSpacing/>
    </w:pPr>
  </w:style>
  <w:style w:type="character" w:styleId="CommentReference">
    <w:name w:val="annotation reference"/>
    <w:basedOn w:val="DefaultParagraphFont"/>
    <w:uiPriority w:val="99"/>
    <w:semiHidden/>
    <w:unhideWhenUsed/>
    <w:rsid w:val="001A1F0E"/>
    <w:rPr>
      <w:sz w:val="18"/>
      <w:szCs w:val="18"/>
    </w:rPr>
  </w:style>
  <w:style w:type="paragraph" w:styleId="CommentText">
    <w:name w:val="annotation text"/>
    <w:basedOn w:val="Normal"/>
    <w:link w:val="CommentTextChar"/>
    <w:uiPriority w:val="99"/>
    <w:semiHidden/>
    <w:unhideWhenUsed/>
    <w:rsid w:val="001A1F0E"/>
  </w:style>
  <w:style w:type="character" w:customStyle="1" w:styleId="CommentTextChar">
    <w:name w:val="Comment Text Char"/>
    <w:basedOn w:val="DefaultParagraphFont"/>
    <w:link w:val="CommentText"/>
    <w:uiPriority w:val="99"/>
    <w:semiHidden/>
    <w:rsid w:val="001A1F0E"/>
  </w:style>
  <w:style w:type="paragraph" w:styleId="CommentSubject">
    <w:name w:val="annotation subject"/>
    <w:basedOn w:val="CommentText"/>
    <w:next w:val="CommentText"/>
    <w:link w:val="CommentSubjectChar"/>
    <w:uiPriority w:val="99"/>
    <w:semiHidden/>
    <w:unhideWhenUsed/>
    <w:rsid w:val="001A1F0E"/>
    <w:rPr>
      <w:b/>
      <w:bCs/>
      <w:sz w:val="20"/>
      <w:szCs w:val="20"/>
    </w:rPr>
  </w:style>
  <w:style w:type="character" w:customStyle="1" w:styleId="CommentSubjectChar">
    <w:name w:val="Comment Subject Char"/>
    <w:basedOn w:val="CommentTextChar"/>
    <w:link w:val="CommentSubject"/>
    <w:uiPriority w:val="99"/>
    <w:semiHidden/>
    <w:rsid w:val="001A1F0E"/>
    <w:rPr>
      <w:b/>
      <w:bCs/>
      <w:sz w:val="20"/>
      <w:szCs w:val="20"/>
    </w:rPr>
  </w:style>
  <w:style w:type="paragraph" w:styleId="BalloonText">
    <w:name w:val="Balloon Text"/>
    <w:basedOn w:val="Normal"/>
    <w:link w:val="BalloonTextChar"/>
    <w:uiPriority w:val="99"/>
    <w:semiHidden/>
    <w:unhideWhenUsed/>
    <w:rsid w:val="001A1F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0E"/>
    <w:rPr>
      <w:rFonts w:ascii="Lucida Grande" w:hAnsi="Lucida Grande" w:cs="Lucida Grande"/>
      <w:sz w:val="18"/>
      <w:szCs w:val="18"/>
    </w:rPr>
  </w:style>
  <w:style w:type="paragraph" w:styleId="Date">
    <w:name w:val="Date"/>
    <w:basedOn w:val="Normal"/>
    <w:next w:val="Normal"/>
    <w:link w:val="DateChar"/>
    <w:uiPriority w:val="99"/>
    <w:unhideWhenUsed/>
    <w:rsid w:val="008F278B"/>
    <w:pPr>
      <w:ind w:left="4320"/>
    </w:pPr>
  </w:style>
  <w:style w:type="character" w:customStyle="1" w:styleId="DateChar">
    <w:name w:val="Date Char"/>
    <w:basedOn w:val="DefaultParagraphFont"/>
    <w:link w:val="Date"/>
    <w:uiPriority w:val="99"/>
    <w:rsid w:val="008F278B"/>
  </w:style>
  <w:style w:type="paragraph" w:customStyle="1" w:styleId="InsideAddressName">
    <w:name w:val="Inside Address Name"/>
    <w:basedOn w:val="Normal"/>
    <w:rsid w:val="008F278B"/>
  </w:style>
  <w:style w:type="paragraph" w:customStyle="1" w:styleId="InsideAddress">
    <w:name w:val="Inside Address"/>
    <w:basedOn w:val="Normal"/>
    <w:rsid w:val="008F278B"/>
  </w:style>
  <w:style w:type="paragraph" w:styleId="Salutation">
    <w:name w:val="Salutation"/>
    <w:basedOn w:val="Normal"/>
    <w:next w:val="Normal"/>
    <w:link w:val="SalutationChar"/>
    <w:uiPriority w:val="99"/>
    <w:unhideWhenUsed/>
    <w:rsid w:val="008F278B"/>
  </w:style>
  <w:style w:type="character" w:customStyle="1" w:styleId="SalutationChar">
    <w:name w:val="Salutation Char"/>
    <w:basedOn w:val="DefaultParagraphFont"/>
    <w:link w:val="Salutation"/>
    <w:uiPriority w:val="99"/>
    <w:rsid w:val="008F278B"/>
  </w:style>
  <w:style w:type="paragraph" w:styleId="BodyText">
    <w:name w:val="Body Text"/>
    <w:basedOn w:val="Normal"/>
    <w:link w:val="BodyTextChar"/>
    <w:uiPriority w:val="99"/>
    <w:unhideWhenUsed/>
    <w:rsid w:val="008F278B"/>
    <w:pPr>
      <w:spacing w:after="120"/>
    </w:pPr>
  </w:style>
  <w:style w:type="character" w:customStyle="1" w:styleId="BodyTextChar">
    <w:name w:val="Body Text Char"/>
    <w:basedOn w:val="DefaultParagraphFont"/>
    <w:link w:val="BodyText"/>
    <w:uiPriority w:val="99"/>
    <w:rsid w:val="008F278B"/>
  </w:style>
  <w:style w:type="paragraph" w:styleId="Closing">
    <w:name w:val="Closing"/>
    <w:basedOn w:val="Normal"/>
    <w:link w:val="ClosingChar"/>
    <w:uiPriority w:val="99"/>
    <w:unhideWhenUsed/>
    <w:rsid w:val="008F278B"/>
    <w:pPr>
      <w:ind w:left="4320"/>
    </w:pPr>
  </w:style>
  <w:style w:type="character" w:customStyle="1" w:styleId="ClosingChar">
    <w:name w:val="Closing Char"/>
    <w:basedOn w:val="DefaultParagraphFont"/>
    <w:link w:val="Closing"/>
    <w:uiPriority w:val="99"/>
    <w:rsid w:val="008F278B"/>
  </w:style>
  <w:style w:type="paragraph" w:styleId="Signature">
    <w:name w:val="Signature"/>
    <w:basedOn w:val="Normal"/>
    <w:link w:val="SignatureChar"/>
    <w:uiPriority w:val="99"/>
    <w:unhideWhenUsed/>
    <w:rsid w:val="008F278B"/>
    <w:pPr>
      <w:ind w:left="4320"/>
    </w:pPr>
  </w:style>
  <w:style w:type="character" w:customStyle="1" w:styleId="SignatureChar">
    <w:name w:val="Signature Char"/>
    <w:basedOn w:val="DefaultParagraphFont"/>
    <w:link w:val="Signature"/>
    <w:uiPriority w:val="99"/>
    <w:rsid w:val="008F278B"/>
  </w:style>
  <w:style w:type="character" w:styleId="Hyperlink">
    <w:name w:val="Hyperlink"/>
    <w:basedOn w:val="DefaultParagraphFont"/>
    <w:uiPriority w:val="99"/>
    <w:unhideWhenUsed/>
    <w:rsid w:val="00376E75"/>
    <w:rPr>
      <w:color w:val="0000FF" w:themeColor="hyperlink"/>
      <w:u w:val="single"/>
    </w:rPr>
  </w:style>
  <w:style w:type="paragraph" w:styleId="Revision">
    <w:name w:val="Revision"/>
    <w:hidden/>
    <w:uiPriority w:val="99"/>
    <w:semiHidden/>
    <w:rsid w:val="0086709A"/>
  </w:style>
  <w:style w:type="paragraph" w:styleId="FootnoteText">
    <w:name w:val="footnote text"/>
    <w:basedOn w:val="Normal"/>
    <w:link w:val="FootnoteTextChar"/>
    <w:uiPriority w:val="99"/>
    <w:semiHidden/>
    <w:unhideWhenUsed/>
    <w:rsid w:val="00FA1BCB"/>
    <w:rPr>
      <w:sz w:val="20"/>
      <w:szCs w:val="20"/>
    </w:rPr>
  </w:style>
  <w:style w:type="character" w:customStyle="1" w:styleId="FootnoteTextChar">
    <w:name w:val="Footnote Text Char"/>
    <w:basedOn w:val="DefaultParagraphFont"/>
    <w:link w:val="FootnoteText"/>
    <w:uiPriority w:val="99"/>
    <w:semiHidden/>
    <w:rsid w:val="00FA1BCB"/>
    <w:rPr>
      <w:sz w:val="20"/>
      <w:szCs w:val="20"/>
    </w:rPr>
  </w:style>
  <w:style w:type="character" w:styleId="FootnoteReference">
    <w:name w:val="footnote reference"/>
    <w:basedOn w:val="DefaultParagraphFont"/>
    <w:uiPriority w:val="99"/>
    <w:semiHidden/>
    <w:unhideWhenUsed/>
    <w:rsid w:val="00FA1BCB"/>
    <w:rPr>
      <w:vertAlign w:val="superscript"/>
    </w:rPr>
  </w:style>
  <w:style w:type="character" w:styleId="FollowedHyperlink">
    <w:name w:val="FollowedHyperlink"/>
    <w:basedOn w:val="DefaultParagraphFont"/>
    <w:uiPriority w:val="99"/>
    <w:semiHidden/>
    <w:unhideWhenUsed/>
    <w:rsid w:val="00A33C8D"/>
    <w:rPr>
      <w:color w:val="800080" w:themeColor="followedHyperlink"/>
      <w:u w:val="single"/>
    </w:rPr>
  </w:style>
  <w:style w:type="table" w:styleId="TableGrid">
    <w:name w:val="Table Grid"/>
    <w:basedOn w:val="TableNormal"/>
    <w:uiPriority w:val="59"/>
    <w:rsid w:val="00206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775B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7053">
      <w:bodyDiv w:val="1"/>
      <w:marLeft w:val="0"/>
      <w:marRight w:val="0"/>
      <w:marTop w:val="0"/>
      <w:marBottom w:val="0"/>
      <w:divBdr>
        <w:top w:val="none" w:sz="0" w:space="0" w:color="auto"/>
        <w:left w:val="none" w:sz="0" w:space="0" w:color="auto"/>
        <w:bottom w:val="none" w:sz="0" w:space="0" w:color="auto"/>
        <w:right w:val="none" w:sz="0" w:space="0" w:color="auto"/>
      </w:divBdr>
    </w:div>
    <w:div w:id="159663875">
      <w:bodyDiv w:val="1"/>
      <w:marLeft w:val="0"/>
      <w:marRight w:val="0"/>
      <w:marTop w:val="0"/>
      <w:marBottom w:val="0"/>
      <w:divBdr>
        <w:top w:val="none" w:sz="0" w:space="0" w:color="auto"/>
        <w:left w:val="none" w:sz="0" w:space="0" w:color="auto"/>
        <w:bottom w:val="none" w:sz="0" w:space="0" w:color="auto"/>
        <w:right w:val="none" w:sz="0" w:space="0" w:color="auto"/>
      </w:divBdr>
    </w:div>
    <w:div w:id="205217035">
      <w:bodyDiv w:val="1"/>
      <w:marLeft w:val="0"/>
      <w:marRight w:val="0"/>
      <w:marTop w:val="0"/>
      <w:marBottom w:val="0"/>
      <w:divBdr>
        <w:top w:val="none" w:sz="0" w:space="0" w:color="auto"/>
        <w:left w:val="none" w:sz="0" w:space="0" w:color="auto"/>
        <w:bottom w:val="none" w:sz="0" w:space="0" w:color="auto"/>
        <w:right w:val="none" w:sz="0" w:space="0" w:color="auto"/>
      </w:divBdr>
    </w:div>
    <w:div w:id="388116730">
      <w:bodyDiv w:val="1"/>
      <w:marLeft w:val="0"/>
      <w:marRight w:val="0"/>
      <w:marTop w:val="0"/>
      <w:marBottom w:val="0"/>
      <w:divBdr>
        <w:top w:val="none" w:sz="0" w:space="0" w:color="auto"/>
        <w:left w:val="none" w:sz="0" w:space="0" w:color="auto"/>
        <w:bottom w:val="none" w:sz="0" w:space="0" w:color="auto"/>
        <w:right w:val="none" w:sz="0" w:space="0" w:color="auto"/>
      </w:divBdr>
      <w:divsChild>
        <w:div w:id="1744177573">
          <w:marLeft w:val="0"/>
          <w:marRight w:val="0"/>
          <w:marTop w:val="0"/>
          <w:marBottom w:val="0"/>
          <w:divBdr>
            <w:top w:val="none" w:sz="0" w:space="0" w:color="auto"/>
            <w:left w:val="none" w:sz="0" w:space="0" w:color="auto"/>
            <w:bottom w:val="none" w:sz="0" w:space="0" w:color="auto"/>
            <w:right w:val="none" w:sz="0" w:space="0" w:color="auto"/>
          </w:divBdr>
          <w:divsChild>
            <w:div w:id="381949296">
              <w:marLeft w:val="0"/>
              <w:marRight w:val="0"/>
              <w:marTop w:val="0"/>
              <w:marBottom w:val="0"/>
              <w:divBdr>
                <w:top w:val="none" w:sz="0" w:space="0" w:color="auto"/>
                <w:left w:val="none" w:sz="0" w:space="0" w:color="auto"/>
                <w:bottom w:val="none" w:sz="0" w:space="0" w:color="auto"/>
                <w:right w:val="none" w:sz="0" w:space="0" w:color="auto"/>
              </w:divBdr>
              <w:divsChild>
                <w:div w:id="1458405362">
                  <w:marLeft w:val="0"/>
                  <w:marRight w:val="0"/>
                  <w:marTop w:val="0"/>
                  <w:marBottom w:val="0"/>
                  <w:divBdr>
                    <w:top w:val="none" w:sz="0" w:space="0" w:color="auto"/>
                    <w:left w:val="none" w:sz="0" w:space="0" w:color="auto"/>
                    <w:bottom w:val="none" w:sz="0" w:space="0" w:color="auto"/>
                    <w:right w:val="none" w:sz="0" w:space="0" w:color="auto"/>
                  </w:divBdr>
                  <w:divsChild>
                    <w:div w:id="1082338066">
                      <w:marLeft w:val="0"/>
                      <w:marRight w:val="0"/>
                      <w:marTop w:val="0"/>
                      <w:marBottom w:val="0"/>
                      <w:divBdr>
                        <w:top w:val="none" w:sz="0" w:space="0" w:color="auto"/>
                        <w:left w:val="none" w:sz="0" w:space="0" w:color="auto"/>
                        <w:bottom w:val="none" w:sz="0" w:space="0" w:color="auto"/>
                        <w:right w:val="none" w:sz="0" w:space="0" w:color="auto"/>
                      </w:divBdr>
                      <w:divsChild>
                        <w:div w:id="243610909">
                          <w:marLeft w:val="0"/>
                          <w:marRight w:val="0"/>
                          <w:marTop w:val="0"/>
                          <w:marBottom w:val="0"/>
                          <w:divBdr>
                            <w:top w:val="none" w:sz="0" w:space="0" w:color="auto"/>
                            <w:left w:val="none" w:sz="0" w:space="0" w:color="auto"/>
                            <w:bottom w:val="none" w:sz="0" w:space="0" w:color="auto"/>
                            <w:right w:val="none" w:sz="0" w:space="0" w:color="auto"/>
                          </w:divBdr>
                          <w:divsChild>
                            <w:div w:id="1335180172">
                              <w:marLeft w:val="0"/>
                              <w:marRight w:val="0"/>
                              <w:marTop w:val="0"/>
                              <w:marBottom w:val="0"/>
                              <w:divBdr>
                                <w:top w:val="none" w:sz="0" w:space="0" w:color="auto"/>
                                <w:left w:val="none" w:sz="0" w:space="0" w:color="auto"/>
                                <w:bottom w:val="none" w:sz="0" w:space="0" w:color="auto"/>
                                <w:right w:val="none" w:sz="0" w:space="0" w:color="auto"/>
                              </w:divBdr>
                              <w:divsChild>
                                <w:div w:id="797141188">
                                  <w:marLeft w:val="0"/>
                                  <w:marRight w:val="0"/>
                                  <w:marTop w:val="0"/>
                                  <w:marBottom w:val="0"/>
                                  <w:divBdr>
                                    <w:top w:val="none" w:sz="0" w:space="0" w:color="auto"/>
                                    <w:left w:val="none" w:sz="0" w:space="0" w:color="auto"/>
                                    <w:bottom w:val="none" w:sz="0" w:space="0" w:color="auto"/>
                                    <w:right w:val="none" w:sz="0" w:space="0" w:color="auto"/>
                                  </w:divBdr>
                                  <w:divsChild>
                                    <w:div w:id="2091807259">
                                      <w:marLeft w:val="0"/>
                                      <w:marRight w:val="0"/>
                                      <w:marTop w:val="0"/>
                                      <w:marBottom w:val="0"/>
                                      <w:divBdr>
                                        <w:top w:val="none" w:sz="0" w:space="0" w:color="auto"/>
                                        <w:left w:val="none" w:sz="0" w:space="0" w:color="auto"/>
                                        <w:bottom w:val="none" w:sz="0" w:space="0" w:color="auto"/>
                                        <w:right w:val="none" w:sz="0" w:space="0" w:color="auto"/>
                                      </w:divBdr>
                                      <w:divsChild>
                                        <w:div w:id="149686623">
                                          <w:marLeft w:val="0"/>
                                          <w:marRight w:val="0"/>
                                          <w:marTop w:val="0"/>
                                          <w:marBottom w:val="0"/>
                                          <w:divBdr>
                                            <w:top w:val="none" w:sz="0" w:space="0" w:color="auto"/>
                                            <w:left w:val="none" w:sz="0" w:space="0" w:color="auto"/>
                                            <w:bottom w:val="none" w:sz="0" w:space="0" w:color="auto"/>
                                            <w:right w:val="none" w:sz="0" w:space="0" w:color="auto"/>
                                          </w:divBdr>
                                          <w:divsChild>
                                            <w:div w:id="1595044755">
                                              <w:marLeft w:val="0"/>
                                              <w:marRight w:val="0"/>
                                              <w:marTop w:val="0"/>
                                              <w:marBottom w:val="0"/>
                                              <w:divBdr>
                                                <w:top w:val="none" w:sz="0" w:space="0" w:color="auto"/>
                                                <w:left w:val="none" w:sz="0" w:space="0" w:color="auto"/>
                                                <w:bottom w:val="none" w:sz="0" w:space="0" w:color="auto"/>
                                                <w:right w:val="none" w:sz="0" w:space="0" w:color="auto"/>
                                              </w:divBdr>
                                              <w:divsChild>
                                                <w:div w:id="1794789421">
                                                  <w:marLeft w:val="0"/>
                                                  <w:marRight w:val="0"/>
                                                  <w:marTop w:val="0"/>
                                                  <w:marBottom w:val="0"/>
                                                  <w:divBdr>
                                                    <w:top w:val="none" w:sz="0" w:space="0" w:color="auto"/>
                                                    <w:left w:val="none" w:sz="0" w:space="0" w:color="auto"/>
                                                    <w:bottom w:val="none" w:sz="0" w:space="0" w:color="auto"/>
                                                    <w:right w:val="none" w:sz="0" w:space="0" w:color="auto"/>
                                                  </w:divBdr>
                                                  <w:divsChild>
                                                    <w:div w:id="1216501065">
                                                      <w:marLeft w:val="0"/>
                                                      <w:marRight w:val="0"/>
                                                      <w:marTop w:val="0"/>
                                                      <w:marBottom w:val="0"/>
                                                      <w:divBdr>
                                                        <w:top w:val="none" w:sz="0" w:space="0" w:color="auto"/>
                                                        <w:left w:val="none" w:sz="0" w:space="0" w:color="auto"/>
                                                        <w:bottom w:val="none" w:sz="0" w:space="0" w:color="auto"/>
                                                        <w:right w:val="none" w:sz="0" w:space="0" w:color="auto"/>
                                                      </w:divBdr>
                                                      <w:divsChild>
                                                        <w:div w:id="237445084">
                                                          <w:marLeft w:val="480"/>
                                                          <w:marRight w:val="0"/>
                                                          <w:marTop w:val="0"/>
                                                          <w:marBottom w:val="0"/>
                                                          <w:divBdr>
                                                            <w:top w:val="none" w:sz="0" w:space="0" w:color="auto"/>
                                                            <w:left w:val="none" w:sz="0" w:space="0" w:color="auto"/>
                                                            <w:bottom w:val="none" w:sz="0" w:space="0" w:color="auto"/>
                                                            <w:right w:val="none" w:sz="0" w:space="0" w:color="auto"/>
                                                          </w:divBdr>
                                                          <w:divsChild>
                                                            <w:div w:id="769737716">
                                                              <w:marLeft w:val="0"/>
                                                              <w:marRight w:val="0"/>
                                                              <w:marTop w:val="0"/>
                                                              <w:marBottom w:val="0"/>
                                                              <w:divBdr>
                                                                <w:top w:val="none" w:sz="0" w:space="0" w:color="auto"/>
                                                                <w:left w:val="none" w:sz="0" w:space="0" w:color="auto"/>
                                                                <w:bottom w:val="none" w:sz="0" w:space="0" w:color="auto"/>
                                                                <w:right w:val="none" w:sz="0" w:space="0" w:color="auto"/>
                                                              </w:divBdr>
                                                              <w:divsChild>
                                                                <w:div w:id="754519899">
                                                                  <w:marLeft w:val="0"/>
                                                                  <w:marRight w:val="0"/>
                                                                  <w:marTop w:val="0"/>
                                                                  <w:marBottom w:val="0"/>
                                                                  <w:divBdr>
                                                                    <w:top w:val="none" w:sz="0" w:space="0" w:color="auto"/>
                                                                    <w:left w:val="none" w:sz="0" w:space="0" w:color="auto"/>
                                                                    <w:bottom w:val="none" w:sz="0" w:space="0" w:color="auto"/>
                                                                    <w:right w:val="none" w:sz="0" w:space="0" w:color="auto"/>
                                                                  </w:divBdr>
                                                                  <w:divsChild>
                                                                    <w:div w:id="1160584025">
                                                                      <w:marLeft w:val="0"/>
                                                                      <w:marRight w:val="0"/>
                                                                      <w:marTop w:val="0"/>
                                                                      <w:marBottom w:val="0"/>
                                                                      <w:divBdr>
                                                                        <w:top w:val="none" w:sz="0" w:space="0" w:color="auto"/>
                                                                        <w:left w:val="none" w:sz="0" w:space="0" w:color="auto"/>
                                                                        <w:bottom w:val="none" w:sz="0" w:space="0" w:color="auto"/>
                                                                        <w:right w:val="none" w:sz="0" w:space="0" w:color="auto"/>
                                                                      </w:divBdr>
                                                                      <w:divsChild>
                                                                        <w:div w:id="883059147">
                                                                          <w:marLeft w:val="0"/>
                                                                          <w:marRight w:val="0"/>
                                                                          <w:marTop w:val="0"/>
                                                                          <w:marBottom w:val="0"/>
                                                                          <w:divBdr>
                                                                            <w:top w:val="none" w:sz="0" w:space="0" w:color="auto"/>
                                                                            <w:left w:val="none" w:sz="0" w:space="0" w:color="auto"/>
                                                                            <w:bottom w:val="none" w:sz="0" w:space="0" w:color="auto"/>
                                                                            <w:right w:val="none" w:sz="0" w:space="0" w:color="auto"/>
                                                                          </w:divBdr>
                                                                          <w:divsChild>
                                                                            <w:div w:id="537162778">
                                                                              <w:marLeft w:val="0"/>
                                                                              <w:marRight w:val="0"/>
                                                                              <w:marTop w:val="0"/>
                                                                              <w:marBottom w:val="0"/>
                                                                              <w:divBdr>
                                                                                <w:top w:val="none" w:sz="0" w:space="0" w:color="auto"/>
                                                                                <w:left w:val="none" w:sz="0" w:space="0" w:color="auto"/>
                                                                                <w:bottom w:val="none" w:sz="0" w:space="0" w:color="auto"/>
                                                                                <w:right w:val="none" w:sz="0" w:space="0" w:color="auto"/>
                                                                              </w:divBdr>
                                                                              <w:divsChild>
                                                                                <w:div w:id="2082560090">
                                                                                  <w:marLeft w:val="0"/>
                                                                                  <w:marRight w:val="0"/>
                                                                                  <w:marTop w:val="0"/>
                                                                                  <w:marBottom w:val="0"/>
                                                                                  <w:divBdr>
                                                                                    <w:top w:val="none" w:sz="0" w:space="0" w:color="auto"/>
                                                                                    <w:left w:val="none" w:sz="0" w:space="0" w:color="auto"/>
                                                                                    <w:bottom w:val="single" w:sz="6" w:space="23" w:color="auto"/>
                                                                                    <w:right w:val="none" w:sz="0" w:space="0" w:color="auto"/>
                                                                                  </w:divBdr>
                                                                                  <w:divsChild>
                                                                                    <w:div w:id="613362584">
                                                                                      <w:marLeft w:val="0"/>
                                                                                      <w:marRight w:val="0"/>
                                                                                      <w:marTop w:val="0"/>
                                                                                      <w:marBottom w:val="0"/>
                                                                                      <w:divBdr>
                                                                                        <w:top w:val="none" w:sz="0" w:space="0" w:color="auto"/>
                                                                                        <w:left w:val="none" w:sz="0" w:space="0" w:color="auto"/>
                                                                                        <w:bottom w:val="none" w:sz="0" w:space="0" w:color="auto"/>
                                                                                        <w:right w:val="none" w:sz="0" w:space="0" w:color="auto"/>
                                                                                      </w:divBdr>
                                                                                      <w:divsChild>
                                                                                        <w:div w:id="2057317353">
                                                                                          <w:marLeft w:val="0"/>
                                                                                          <w:marRight w:val="0"/>
                                                                                          <w:marTop w:val="0"/>
                                                                                          <w:marBottom w:val="0"/>
                                                                                          <w:divBdr>
                                                                                            <w:top w:val="none" w:sz="0" w:space="0" w:color="auto"/>
                                                                                            <w:left w:val="none" w:sz="0" w:space="0" w:color="auto"/>
                                                                                            <w:bottom w:val="none" w:sz="0" w:space="0" w:color="auto"/>
                                                                                            <w:right w:val="none" w:sz="0" w:space="0" w:color="auto"/>
                                                                                          </w:divBdr>
                                                                                          <w:divsChild>
                                                                                            <w:div w:id="541022327">
                                                                                              <w:marLeft w:val="0"/>
                                                                                              <w:marRight w:val="150"/>
                                                                                              <w:marTop w:val="60"/>
                                                                                              <w:marBottom w:val="0"/>
                                                                                              <w:divBdr>
                                                                                                <w:top w:val="none" w:sz="0" w:space="0" w:color="auto"/>
                                                                                                <w:left w:val="none" w:sz="0" w:space="0" w:color="auto"/>
                                                                                                <w:bottom w:val="none" w:sz="0" w:space="0" w:color="auto"/>
                                                                                                <w:right w:val="none" w:sz="0" w:space="0" w:color="auto"/>
                                                                                              </w:divBdr>
                                                                                              <w:divsChild>
                                                                                                <w:div w:id="1765805651">
                                                                                                  <w:marLeft w:val="0"/>
                                                                                                  <w:marRight w:val="0"/>
                                                                                                  <w:marTop w:val="0"/>
                                                                                                  <w:marBottom w:val="0"/>
                                                                                                  <w:divBdr>
                                                                                                    <w:top w:val="none" w:sz="0" w:space="0" w:color="auto"/>
                                                                                                    <w:left w:val="none" w:sz="0" w:space="0" w:color="auto"/>
                                                                                                    <w:bottom w:val="none" w:sz="0" w:space="0" w:color="auto"/>
                                                                                                    <w:right w:val="none" w:sz="0" w:space="0" w:color="auto"/>
                                                                                                  </w:divBdr>
                                                                                                  <w:divsChild>
                                                                                                    <w:div w:id="222059342">
                                                                                                      <w:marLeft w:val="0"/>
                                                                                                      <w:marRight w:val="0"/>
                                                                                                      <w:marTop w:val="0"/>
                                                                                                      <w:marBottom w:val="0"/>
                                                                                                      <w:divBdr>
                                                                                                        <w:top w:val="none" w:sz="0" w:space="0" w:color="auto"/>
                                                                                                        <w:left w:val="none" w:sz="0" w:space="0" w:color="auto"/>
                                                                                                        <w:bottom w:val="none" w:sz="0" w:space="0" w:color="auto"/>
                                                                                                        <w:right w:val="none" w:sz="0" w:space="0" w:color="auto"/>
                                                                                                      </w:divBdr>
                                                                                                      <w:divsChild>
                                                                                                        <w:div w:id="232199780">
                                                                                                          <w:marLeft w:val="0"/>
                                                                                                          <w:marRight w:val="0"/>
                                                                                                          <w:marTop w:val="0"/>
                                                                                                          <w:marBottom w:val="0"/>
                                                                                                          <w:divBdr>
                                                                                                            <w:top w:val="none" w:sz="0" w:space="0" w:color="auto"/>
                                                                                                            <w:left w:val="none" w:sz="0" w:space="0" w:color="auto"/>
                                                                                                            <w:bottom w:val="none" w:sz="0" w:space="0" w:color="auto"/>
                                                                                                            <w:right w:val="none" w:sz="0" w:space="0" w:color="auto"/>
                                                                                                          </w:divBdr>
                                                                                                          <w:divsChild>
                                                                                                            <w:div w:id="10255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9390">
      <w:bodyDiv w:val="1"/>
      <w:marLeft w:val="0"/>
      <w:marRight w:val="0"/>
      <w:marTop w:val="0"/>
      <w:marBottom w:val="0"/>
      <w:divBdr>
        <w:top w:val="none" w:sz="0" w:space="0" w:color="auto"/>
        <w:left w:val="none" w:sz="0" w:space="0" w:color="auto"/>
        <w:bottom w:val="none" w:sz="0" w:space="0" w:color="auto"/>
        <w:right w:val="none" w:sz="0" w:space="0" w:color="auto"/>
      </w:divBdr>
    </w:div>
    <w:div w:id="834732567">
      <w:bodyDiv w:val="1"/>
      <w:marLeft w:val="0"/>
      <w:marRight w:val="0"/>
      <w:marTop w:val="0"/>
      <w:marBottom w:val="0"/>
      <w:divBdr>
        <w:top w:val="none" w:sz="0" w:space="0" w:color="auto"/>
        <w:left w:val="none" w:sz="0" w:space="0" w:color="auto"/>
        <w:bottom w:val="none" w:sz="0" w:space="0" w:color="auto"/>
        <w:right w:val="none" w:sz="0" w:space="0" w:color="auto"/>
      </w:divBdr>
    </w:div>
    <w:div w:id="1218591828">
      <w:bodyDiv w:val="1"/>
      <w:marLeft w:val="0"/>
      <w:marRight w:val="0"/>
      <w:marTop w:val="0"/>
      <w:marBottom w:val="0"/>
      <w:divBdr>
        <w:top w:val="none" w:sz="0" w:space="0" w:color="auto"/>
        <w:left w:val="none" w:sz="0" w:space="0" w:color="auto"/>
        <w:bottom w:val="none" w:sz="0" w:space="0" w:color="auto"/>
        <w:right w:val="none" w:sz="0" w:space="0" w:color="auto"/>
      </w:divBdr>
    </w:div>
    <w:div w:id="1222863153">
      <w:bodyDiv w:val="1"/>
      <w:marLeft w:val="0"/>
      <w:marRight w:val="0"/>
      <w:marTop w:val="0"/>
      <w:marBottom w:val="0"/>
      <w:divBdr>
        <w:top w:val="none" w:sz="0" w:space="0" w:color="auto"/>
        <w:left w:val="none" w:sz="0" w:space="0" w:color="auto"/>
        <w:bottom w:val="none" w:sz="0" w:space="0" w:color="auto"/>
        <w:right w:val="none" w:sz="0" w:space="0" w:color="auto"/>
      </w:divBdr>
    </w:div>
    <w:div w:id="1705475275">
      <w:bodyDiv w:val="1"/>
      <w:marLeft w:val="0"/>
      <w:marRight w:val="0"/>
      <w:marTop w:val="0"/>
      <w:marBottom w:val="0"/>
      <w:divBdr>
        <w:top w:val="none" w:sz="0" w:space="0" w:color="auto"/>
        <w:left w:val="none" w:sz="0" w:space="0" w:color="auto"/>
        <w:bottom w:val="none" w:sz="0" w:space="0" w:color="auto"/>
        <w:right w:val="none" w:sz="0" w:space="0" w:color="auto"/>
      </w:divBdr>
      <w:divsChild>
        <w:div w:id="763916499">
          <w:marLeft w:val="0"/>
          <w:marRight w:val="0"/>
          <w:marTop w:val="0"/>
          <w:marBottom w:val="0"/>
          <w:divBdr>
            <w:top w:val="none" w:sz="0" w:space="0" w:color="auto"/>
            <w:left w:val="none" w:sz="0" w:space="0" w:color="auto"/>
            <w:bottom w:val="none" w:sz="0" w:space="0" w:color="auto"/>
            <w:right w:val="none" w:sz="0" w:space="0" w:color="auto"/>
          </w:divBdr>
          <w:divsChild>
            <w:div w:id="1361316689">
              <w:marLeft w:val="0"/>
              <w:marRight w:val="0"/>
              <w:marTop w:val="0"/>
              <w:marBottom w:val="0"/>
              <w:divBdr>
                <w:top w:val="none" w:sz="0" w:space="0" w:color="auto"/>
                <w:left w:val="none" w:sz="0" w:space="0" w:color="auto"/>
                <w:bottom w:val="none" w:sz="0" w:space="0" w:color="auto"/>
                <w:right w:val="none" w:sz="0" w:space="0" w:color="auto"/>
              </w:divBdr>
              <w:divsChild>
                <w:div w:id="1454785516">
                  <w:marLeft w:val="0"/>
                  <w:marRight w:val="0"/>
                  <w:marTop w:val="0"/>
                  <w:marBottom w:val="0"/>
                  <w:divBdr>
                    <w:top w:val="none" w:sz="0" w:space="0" w:color="auto"/>
                    <w:left w:val="none" w:sz="0" w:space="0" w:color="auto"/>
                    <w:bottom w:val="none" w:sz="0" w:space="0" w:color="auto"/>
                    <w:right w:val="none" w:sz="0" w:space="0" w:color="auto"/>
                  </w:divBdr>
                  <w:divsChild>
                    <w:div w:id="416830906">
                      <w:marLeft w:val="0"/>
                      <w:marRight w:val="0"/>
                      <w:marTop w:val="0"/>
                      <w:marBottom w:val="0"/>
                      <w:divBdr>
                        <w:top w:val="none" w:sz="0" w:space="0" w:color="auto"/>
                        <w:left w:val="none" w:sz="0" w:space="0" w:color="auto"/>
                        <w:bottom w:val="none" w:sz="0" w:space="0" w:color="auto"/>
                        <w:right w:val="none" w:sz="0" w:space="0" w:color="auto"/>
                      </w:divBdr>
                      <w:divsChild>
                        <w:div w:id="1835686856">
                          <w:marLeft w:val="0"/>
                          <w:marRight w:val="0"/>
                          <w:marTop w:val="0"/>
                          <w:marBottom w:val="0"/>
                          <w:divBdr>
                            <w:top w:val="none" w:sz="0" w:space="0" w:color="auto"/>
                            <w:left w:val="none" w:sz="0" w:space="0" w:color="auto"/>
                            <w:bottom w:val="none" w:sz="0" w:space="0" w:color="auto"/>
                            <w:right w:val="none" w:sz="0" w:space="0" w:color="auto"/>
                          </w:divBdr>
                          <w:divsChild>
                            <w:div w:id="139884685">
                              <w:marLeft w:val="0"/>
                              <w:marRight w:val="0"/>
                              <w:marTop w:val="0"/>
                              <w:marBottom w:val="0"/>
                              <w:divBdr>
                                <w:top w:val="none" w:sz="0" w:space="0" w:color="auto"/>
                                <w:left w:val="none" w:sz="0" w:space="0" w:color="auto"/>
                                <w:bottom w:val="none" w:sz="0" w:space="0" w:color="auto"/>
                                <w:right w:val="none" w:sz="0" w:space="0" w:color="auto"/>
                              </w:divBdr>
                              <w:divsChild>
                                <w:div w:id="119810098">
                                  <w:marLeft w:val="0"/>
                                  <w:marRight w:val="0"/>
                                  <w:marTop w:val="0"/>
                                  <w:marBottom w:val="0"/>
                                  <w:divBdr>
                                    <w:top w:val="none" w:sz="0" w:space="0" w:color="auto"/>
                                    <w:left w:val="none" w:sz="0" w:space="0" w:color="auto"/>
                                    <w:bottom w:val="none" w:sz="0" w:space="0" w:color="auto"/>
                                    <w:right w:val="none" w:sz="0" w:space="0" w:color="auto"/>
                                  </w:divBdr>
                                  <w:divsChild>
                                    <w:div w:id="2095978281">
                                      <w:marLeft w:val="0"/>
                                      <w:marRight w:val="0"/>
                                      <w:marTop w:val="0"/>
                                      <w:marBottom w:val="0"/>
                                      <w:divBdr>
                                        <w:top w:val="none" w:sz="0" w:space="0" w:color="auto"/>
                                        <w:left w:val="none" w:sz="0" w:space="0" w:color="auto"/>
                                        <w:bottom w:val="none" w:sz="0" w:space="0" w:color="auto"/>
                                        <w:right w:val="none" w:sz="0" w:space="0" w:color="auto"/>
                                      </w:divBdr>
                                      <w:divsChild>
                                        <w:div w:id="5207595">
                                          <w:marLeft w:val="0"/>
                                          <w:marRight w:val="0"/>
                                          <w:marTop w:val="0"/>
                                          <w:marBottom w:val="0"/>
                                          <w:divBdr>
                                            <w:top w:val="none" w:sz="0" w:space="0" w:color="auto"/>
                                            <w:left w:val="none" w:sz="0" w:space="0" w:color="auto"/>
                                            <w:bottom w:val="none" w:sz="0" w:space="0" w:color="auto"/>
                                            <w:right w:val="none" w:sz="0" w:space="0" w:color="auto"/>
                                          </w:divBdr>
                                          <w:divsChild>
                                            <w:div w:id="1894078960">
                                              <w:marLeft w:val="0"/>
                                              <w:marRight w:val="0"/>
                                              <w:marTop w:val="0"/>
                                              <w:marBottom w:val="0"/>
                                              <w:divBdr>
                                                <w:top w:val="none" w:sz="0" w:space="0" w:color="auto"/>
                                                <w:left w:val="none" w:sz="0" w:space="0" w:color="auto"/>
                                                <w:bottom w:val="none" w:sz="0" w:space="0" w:color="auto"/>
                                                <w:right w:val="none" w:sz="0" w:space="0" w:color="auto"/>
                                              </w:divBdr>
                                              <w:divsChild>
                                                <w:div w:id="2048555176">
                                                  <w:marLeft w:val="0"/>
                                                  <w:marRight w:val="0"/>
                                                  <w:marTop w:val="0"/>
                                                  <w:marBottom w:val="0"/>
                                                  <w:divBdr>
                                                    <w:top w:val="none" w:sz="0" w:space="0" w:color="auto"/>
                                                    <w:left w:val="none" w:sz="0" w:space="0" w:color="auto"/>
                                                    <w:bottom w:val="none" w:sz="0" w:space="0" w:color="auto"/>
                                                    <w:right w:val="none" w:sz="0" w:space="0" w:color="auto"/>
                                                  </w:divBdr>
                                                  <w:divsChild>
                                                    <w:div w:id="1072658440">
                                                      <w:marLeft w:val="0"/>
                                                      <w:marRight w:val="0"/>
                                                      <w:marTop w:val="0"/>
                                                      <w:marBottom w:val="0"/>
                                                      <w:divBdr>
                                                        <w:top w:val="none" w:sz="0" w:space="0" w:color="auto"/>
                                                        <w:left w:val="none" w:sz="0" w:space="0" w:color="auto"/>
                                                        <w:bottom w:val="none" w:sz="0" w:space="0" w:color="auto"/>
                                                        <w:right w:val="none" w:sz="0" w:space="0" w:color="auto"/>
                                                      </w:divBdr>
                                                      <w:divsChild>
                                                        <w:div w:id="450824521">
                                                          <w:marLeft w:val="0"/>
                                                          <w:marRight w:val="0"/>
                                                          <w:marTop w:val="0"/>
                                                          <w:marBottom w:val="0"/>
                                                          <w:divBdr>
                                                            <w:top w:val="none" w:sz="0" w:space="0" w:color="auto"/>
                                                            <w:left w:val="none" w:sz="0" w:space="0" w:color="auto"/>
                                                            <w:bottom w:val="none" w:sz="0" w:space="0" w:color="auto"/>
                                                            <w:right w:val="none" w:sz="0" w:space="0" w:color="auto"/>
                                                          </w:divBdr>
                                                          <w:divsChild>
                                                            <w:div w:id="1922833104">
                                                              <w:marLeft w:val="0"/>
                                                              <w:marRight w:val="0"/>
                                                              <w:marTop w:val="0"/>
                                                              <w:marBottom w:val="0"/>
                                                              <w:divBdr>
                                                                <w:top w:val="none" w:sz="0" w:space="0" w:color="auto"/>
                                                                <w:left w:val="none" w:sz="0" w:space="0" w:color="auto"/>
                                                                <w:bottom w:val="none" w:sz="0" w:space="0" w:color="auto"/>
                                                                <w:right w:val="none" w:sz="0" w:space="0" w:color="auto"/>
                                                              </w:divBdr>
                                                              <w:divsChild>
                                                                <w:div w:id="1623270606">
                                                                  <w:marLeft w:val="480"/>
                                                                  <w:marRight w:val="0"/>
                                                                  <w:marTop w:val="0"/>
                                                                  <w:marBottom w:val="0"/>
                                                                  <w:divBdr>
                                                                    <w:top w:val="none" w:sz="0" w:space="0" w:color="auto"/>
                                                                    <w:left w:val="none" w:sz="0" w:space="0" w:color="auto"/>
                                                                    <w:bottom w:val="none" w:sz="0" w:space="0" w:color="auto"/>
                                                                    <w:right w:val="none" w:sz="0" w:space="0" w:color="auto"/>
                                                                  </w:divBdr>
                                                                  <w:divsChild>
                                                                    <w:div w:id="1458180900">
                                                                      <w:marLeft w:val="0"/>
                                                                      <w:marRight w:val="0"/>
                                                                      <w:marTop w:val="0"/>
                                                                      <w:marBottom w:val="0"/>
                                                                      <w:divBdr>
                                                                        <w:top w:val="none" w:sz="0" w:space="0" w:color="auto"/>
                                                                        <w:left w:val="none" w:sz="0" w:space="0" w:color="auto"/>
                                                                        <w:bottom w:val="none" w:sz="0" w:space="0" w:color="auto"/>
                                                                        <w:right w:val="none" w:sz="0" w:space="0" w:color="auto"/>
                                                                      </w:divBdr>
                                                                      <w:divsChild>
                                                                        <w:div w:id="1486781995">
                                                                          <w:marLeft w:val="0"/>
                                                                          <w:marRight w:val="0"/>
                                                                          <w:marTop w:val="0"/>
                                                                          <w:marBottom w:val="0"/>
                                                                          <w:divBdr>
                                                                            <w:top w:val="none" w:sz="0" w:space="0" w:color="auto"/>
                                                                            <w:left w:val="none" w:sz="0" w:space="0" w:color="auto"/>
                                                                            <w:bottom w:val="none" w:sz="0" w:space="0" w:color="auto"/>
                                                                            <w:right w:val="none" w:sz="0" w:space="0" w:color="auto"/>
                                                                          </w:divBdr>
                                                                          <w:divsChild>
                                                                            <w:div w:id="1871454856">
                                                                              <w:marLeft w:val="0"/>
                                                                              <w:marRight w:val="0"/>
                                                                              <w:marTop w:val="0"/>
                                                                              <w:marBottom w:val="0"/>
                                                                              <w:divBdr>
                                                                                <w:top w:val="none" w:sz="0" w:space="0" w:color="auto"/>
                                                                                <w:left w:val="none" w:sz="0" w:space="0" w:color="auto"/>
                                                                                <w:bottom w:val="none" w:sz="0" w:space="0" w:color="auto"/>
                                                                                <w:right w:val="none" w:sz="0" w:space="0" w:color="auto"/>
                                                                              </w:divBdr>
                                                                              <w:divsChild>
                                                                                <w:div w:id="329256103">
                                                                                  <w:marLeft w:val="0"/>
                                                                                  <w:marRight w:val="0"/>
                                                                                  <w:marTop w:val="0"/>
                                                                                  <w:marBottom w:val="0"/>
                                                                                  <w:divBdr>
                                                                                    <w:top w:val="none" w:sz="0" w:space="0" w:color="auto"/>
                                                                                    <w:left w:val="none" w:sz="0" w:space="0" w:color="auto"/>
                                                                                    <w:bottom w:val="none" w:sz="0" w:space="0" w:color="auto"/>
                                                                                    <w:right w:val="none" w:sz="0" w:space="0" w:color="auto"/>
                                                                                  </w:divBdr>
                                                                                  <w:divsChild>
                                                                                    <w:div w:id="948121383">
                                                                                      <w:marLeft w:val="0"/>
                                                                                      <w:marRight w:val="0"/>
                                                                                      <w:marTop w:val="0"/>
                                                                                      <w:marBottom w:val="0"/>
                                                                                      <w:divBdr>
                                                                                        <w:top w:val="none" w:sz="0" w:space="0" w:color="auto"/>
                                                                                        <w:left w:val="none" w:sz="0" w:space="0" w:color="auto"/>
                                                                                        <w:bottom w:val="none" w:sz="0" w:space="0" w:color="auto"/>
                                                                                        <w:right w:val="none" w:sz="0" w:space="0" w:color="auto"/>
                                                                                      </w:divBdr>
                                                                                      <w:divsChild>
                                                                                        <w:div w:id="907768748">
                                                                                          <w:marLeft w:val="0"/>
                                                                                          <w:marRight w:val="0"/>
                                                                                          <w:marTop w:val="30"/>
                                                                                          <w:marBottom w:val="0"/>
                                                                                          <w:divBdr>
                                                                                            <w:top w:val="none" w:sz="0" w:space="0" w:color="auto"/>
                                                                                            <w:left w:val="none" w:sz="0" w:space="0" w:color="auto"/>
                                                                                            <w:bottom w:val="single" w:sz="6" w:space="23" w:color="auto"/>
                                                                                            <w:right w:val="none" w:sz="0" w:space="0" w:color="auto"/>
                                                                                          </w:divBdr>
                                                                                          <w:divsChild>
                                                                                            <w:div w:id="1098796372">
                                                                                              <w:marLeft w:val="0"/>
                                                                                              <w:marRight w:val="0"/>
                                                                                              <w:marTop w:val="0"/>
                                                                                              <w:marBottom w:val="0"/>
                                                                                              <w:divBdr>
                                                                                                <w:top w:val="none" w:sz="0" w:space="0" w:color="auto"/>
                                                                                                <w:left w:val="none" w:sz="0" w:space="0" w:color="auto"/>
                                                                                                <w:bottom w:val="none" w:sz="0" w:space="0" w:color="auto"/>
                                                                                                <w:right w:val="none" w:sz="0" w:space="0" w:color="auto"/>
                                                                                              </w:divBdr>
                                                                                              <w:divsChild>
                                                                                                <w:div w:id="1279068095">
                                                                                                  <w:marLeft w:val="0"/>
                                                                                                  <w:marRight w:val="0"/>
                                                                                                  <w:marTop w:val="0"/>
                                                                                                  <w:marBottom w:val="0"/>
                                                                                                  <w:divBdr>
                                                                                                    <w:top w:val="none" w:sz="0" w:space="0" w:color="auto"/>
                                                                                                    <w:left w:val="none" w:sz="0" w:space="0" w:color="auto"/>
                                                                                                    <w:bottom w:val="none" w:sz="0" w:space="0" w:color="auto"/>
                                                                                                    <w:right w:val="none" w:sz="0" w:space="0" w:color="auto"/>
                                                                                                  </w:divBdr>
                                                                                                  <w:divsChild>
                                                                                                    <w:div w:id="966088875">
                                                                                                      <w:marLeft w:val="0"/>
                                                                                                      <w:marRight w:val="0"/>
                                                                                                      <w:marTop w:val="0"/>
                                                                                                      <w:marBottom w:val="0"/>
                                                                                                      <w:divBdr>
                                                                                                        <w:top w:val="none" w:sz="0" w:space="0" w:color="auto"/>
                                                                                                        <w:left w:val="none" w:sz="0" w:space="0" w:color="auto"/>
                                                                                                        <w:bottom w:val="none" w:sz="0" w:space="0" w:color="auto"/>
                                                                                                        <w:right w:val="none" w:sz="0" w:space="0" w:color="auto"/>
                                                                                                      </w:divBdr>
                                                                                                      <w:divsChild>
                                                                                                        <w:div w:id="1967545155">
                                                                                                          <w:marLeft w:val="0"/>
                                                                                                          <w:marRight w:val="0"/>
                                                                                                          <w:marTop w:val="0"/>
                                                                                                          <w:marBottom w:val="0"/>
                                                                                                          <w:divBdr>
                                                                                                            <w:top w:val="none" w:sz="0" w:space="0" w:color="auto"/>
                                                                                                            <w:left w:val="none" w:sz="0" w:space="0" w:color="auto"/>
                                                                                                            <w:bottom w:val="none" w:sz="0" w:space="0" w:color="auto"/>
                                                                                                            <w:right w:val="none" w:sz="0" w:space="0" w:color="auto"/>
                                                                                                          </w:divBdr>
                                                                                                          <w:divsChild>
                                                                                                            <w:div w:id="785780923">
                                                                                                              <w:marLeft w:val="0"/>
                                                                                                              <w:marRight w:val="0"/>
                                                                                                              <w:marTop w:val="75"/>
                                                                                                              <w:marBottom w:val="0"/>
                                                                                                              <w:divBdr>
                                                                                                                <w:top w:val="none" w:sz="0" w:space="0" w:color="auto"/>
                                                                                                                <w:left w:val="none" w:sz="0" w:space="0" w:color="auto"/>
                                                                                                                <w:bottom w:val="none" w:sz="0" w:space="0" w:color="auto"/>
                                                                                                                <w:right w:val="none" w:sz="0" w:space="0" w:color="auto"/>
                                                                                                              </w:divBdr>
                                                                                                              <w:divsChild>
                                                                                                                <w:div w:id="1782919092">
                                                                                                                  <w:marLeft w:val="0"/>
                                                                                                                  <w:marRight w:val="0"/>
                                                                                                                  <w:marTop w:val="0"/>
                                                                                                                  <w:marBottom w:val="0"/>
                                                                                                                  <w:divBdr>
                                                                                                                    <w:top w:val="none" w:sz="0" w:space="0" w:color="auto"/>
                                                                                                                    <w:left w:val="none" w:sz="0" w:space="0" w:color="auto"/>
                                                                                                                    <w:bottom w:val="none" w:sz="0" w:space="0" w:color="auto"/>
                                                                                                                    <w:right w:val="none" w:sz="0" w:space="0" w:color="auto"/>
                                                                                                                  </w:divBdr>
                                                                                                                  <w:divsChild>
                                                                                                                    <w:div w:id="660081554">
                                                                                                                      <w:marLeft w:val="0"/>
                                                                                                                      <w:marRight w:val="0"/>
                                                                                                                      <w:marTop w:val="0"/>
                                                                                                                      <w:marBottom w:val="0"/>
                                                                                                                      <w:divBdr>
                                                                                                                        <w:top w:val="none" w:sz="0" w:space="0" w:color="auto"/>
                                                                                                                        <w:left w:val="none" w:sz="0" w:space="0" w:color="auto"/>
                                                                                                                        <w:bottom w:val="none" w:sz="0" w:space="0" w:color="auto"/>
                                                                                                                        <w:right w:val="none" w:sz="0" w:space="0" w:color="auto"/>
                                                                                                                      </w:divBdr>
                                                                                                                      <w:divsChild>
                                                                                                                        <w:div w:id="1541473164">
                                                                                                                          <w:marLeft w:val="0"/>
                                                                                                                          <w:marRight w:val="0"/>
                                                                                                                          <w:marTop w:val="0"/>
                                                                                                                          <w:marBottom w:val="0"/>
                                                                                                                          <w:divBdr>
                                                                                                                            <w:top w:val="none" w:sz="0" w:space="0" w:color="auto"/>
                                                                                                                            <w:left w:val="none" w:sz="0" w:space="0" w:color="auto"/>
                                                                                                                            <w:bottom w:val="none" w:sz="0" w:space="0" w:color="auto"/>
                                                                                                                            <w:right w:val="none" w:sz="0" w:space="0" w:color="auto"/>
                                                                                                                          </w:divBdr>
                                                                                                                          <w:divsChild>
                                                                                                                            <w:div w:id="2084719807">
                                                                                                                              <w:marLeft w:val="0"/>
                                                                                                                              <w:marRight w:val="0"/>
                                                                                                                              <w:marTop w:val="0"/>
                                                                                                                              <w:marBottom w:val="0"/>
                                                                                                                              <w:divBdr>
                                                                                                                                <w:top w:val="none" w:sz="0" w:space="0" w:color="auto"/>
                                                                                                                                <w:left w:val="none" w:sz="0" w:space="0" w:color="auto"/>
                                                                                                                                <w:bottom w:val="none" w:sz="0" w:space="0" w:color="auto"/>
                                                                                                                                <w:right w:val="none" w:sz="0" w:space="0" w:color="auto"/>
                                                                                                                              </w:divBdr>
                                                                                                                            </w:div>
                                                                                                                            <w:div w:id="1248266650">
                                                                                                                              <w:marLeft w:val="720"/>
                                                                                                                              <w:marRight w:val="0"/>
                                                                                                                              <w:marTop w:val="0"/>
                                                                                                                              <w:marBottom w:val="0"/>
                                                                                                                              <w:divBdr>
                                                                                                                                <w:top w:val="none" w:sz="0" w:space="0" w:color="auto"/>
                                                                                                                                <w:left w:val="none" w:sz="0" w:space="0" w:color="auto"/>
                                                                                                                                <w:bottom w:val="none" w:sz="0" w:space="0" w:color="auto"/>
                                                                                                                                <w:right w:val="none" w:sz="0" w:space="0" w:color="auto"/>
                                                                                                                              </w:divBdr>
                                                                                                                            </w:div>
                                                                                                                            <w:div w:id="1523741018">
                                                                                                                              <w:marLeft w:val="720"/>
                                                                                                                              <w:marRight w:val="0"/>
                                                                                                                              <w:marTop w:val="0"/>
                                                                                                                              <w:marBottom w:val="0"/>
                                                                                                                              <w:divBdr>
                                                                                                                                <w:top w:val="none" w:sz="0" w:space="0" w:color="auto"/>
                                                                                                                                <w:left w:val="none" w:sz="0" w:space="0" w:color="auto"/>
                                                                                                                                <w:bottom w:val="none" w:sz="0" w:space="0" w:color="auto"/>
                                                                                                                                <w:right w:val="none" w:sz="0" w:space="0" w:color="auto"/>
                                                                                                                              </w:divBdr>
                                                                                                                            </w:div>
                                                                                                                            <w:div w:id="1049231513">
                                                                                                                              <w:marLeft w:val="720"/>
                                                                                                                              <w:marRight w:val="0"/>
                                                                                                                              <w:marTop w:val="0"/>
                                                                                                                              <w:marBottom w:val="0"/>
                                                                                                                              <w:divBdr>
                                                                                                                                <w:top w:val="none" w:sz="0" w:space="0" w:color="auto"/>
                                                                                                                                <w:left w:val="none" w:sz="0" w:space="0" w:color="auto"/>
                                                                                                                                <w:bottom w:val="none" w:sz="0" w:space="0" w:color="auto"/>
                                                                                                                                <w:right w:val="none" w:sz="0" w:space="0" w:color="auto"/>
                                                                                                                              </w:divBdr>
                                                                                                                            </w:div>
                                                                                                                            <w:div w:id="1901592848">
                                                                                                                              <w:marLeft w:val="720"/>
                                                                                                                              <w:marRight w:val="0"/>
                                                                                                                              <w:marTop w:val="0"/>
                                                                                                                              <w:marBottom w:val="0"/>
                                                                                                                              <w:divBdr>
                                                                                                                                <w:top w:val="none" w:sz="0" w:space="0" w:color="auto"/>
                                                                                                                                <w:left w:val="none" w:sz="0" w:space="0" w:color="auto"/>
                                                                                                                                <w:bottom w:val="none" w:sz="0" w:space="0" w:color="auto"/>
                                                                                                                                <w:right w:val="none" w:sz="0" w:space="0" w:color="auto"/>
                                                                                                                              </w:divBdr>
                                                                                                                            </w:div>
                                                                                                                            <w:div w:id="947547526">
                                                                                                                              <w:marLeft w:val="720"/>
                                                                                                                              <w:marRight w:val="0"/>
                                                                                                                              <w:marTop w:val="0"/>
                                                                                                                              <w:marBottom w:val="0"/>
                                                                                                                              <w:divBdr>
                                                                                                                                <w:top w:val="none" w:sz="0" w:space="0" w:color="auto"/>
                                                                                                                                <w:left w:val="none" w:sz="0" w:space="0" w:color="auto"/>
                                                                                                                                <w:bottom w:val="none" w:sz="0" w:space="0" w:color="auto"/>
                                                                                                                                <w:right w:val="none" w:sz="0" w:space="0" w:color="auto"/>
                                                                                                                              </w:divBdr>
                                                                                                                            </w:div>
                                                                                                                            <w:div w:id="128943570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900477">
      <w:bodyDiv w:val="1"/>
      <w:marLeft w:val="0"/>
      <w:marRight w:val="0"/>
      <w:marTop w:val="0"/>
      <w:marBottom w:val="0"/>
      <w:divBdr>
        <w:top w:val="none" w:sz="0" w:space="0" w:color="auto"/>
        <w:left w:val="none" w:sz="0" w:space="0" w:color="auto"/>
        <w:bottom w:val="none" w:sz="0" w:space="0" w:color="auto"/>
        <w:right w:val="none" w:sz="0" w:space="0" w:color="auto"/>
      </w:divBdr>
    </w:div>
    <w:div w:id="1958443623">
      <w:bodyDiv w:val="1"/>
      <w:marLeft w:val="0"/>
      <w:marRight w:val="0"/>
      <w:marTop w:val="0"/>
      <w:marBottom w:val="0"/>
      <w:divBdr>
        <w:top w:val="none" w:sz="0" w:space="0" w:color="auto"/>
        <w:left w:val="none" w:sz="0" w:space="0" w:color="auto"/>
        <w:bottom w:val="none" w:sz="0" w:space="0" w:color="auto"/>
        <w:right w:val="none" w:sz="0" w:space="0" w:color="auto"/>
      </w:divBdr>
    </w:div>
    <w:div w:id="21221416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2E333-A464-44AF-BBDF-0B935C5F9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2163</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AWICK</dc:creator>
  <cp:lastModifiedBy>Aaron Daigh</cp:lastModifiedBy>
  <cp:revision>22</cp:revision>
  <cp:lastPrinted>2017-12-01T21:05:00Z</cp:lastPrinted>
  <dcterms:created xsi:type="dcterms:W3CDTF">2020-06-25T18:34:00Z</dcterms:created>
  <dcterms:modified xsi:type="dcterms:W3CDTF">2020-06-26T15:58:00Z</dcterms:modified>
</cp:coreProperties>
</file>