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0E36F" w14:textId="38EED95C" w:rsidR="002B637D" w:rsidRPr="002B637D" w:rsidRDefault="002B637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63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Glufosinate-resistant waterhemp</w:t>
      </w:r>
    </w:p>
    <w:p w14:paraId="13CCF974" w14:textId="72FB3B5A" w:rsidR="005C21D2" w:rsidRPr="002B637D" w:rsidRDefault="005C21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B637D">
        <w:rPr>
          <w:rFonts w:ascii="Times New Roman" w:hAnsi="Times New Roman" w:cs="Times New Roman"/>
          <w:color w:val="000000"/>
          <w:sz w:val="24"/>
          <w:szCs w:val="24"/>
        </w:rPr>
        <w:t>Waterhemp (</w:t>
      </w:r>
      <w:r w:rsidRPr="002B637D">
        <w:rPr>
          <w:rFonts w:ascii="Times New Roman" w:hAnsi="Times New Roman" w:cs="Times New Roman"/>
          <w:i/>
          <w:iCs/>
          <w:color w:val="000000"/>
          <w:sz w:val="24"/>
          <w:szCs w:val="24"/>
        </w:rPr>
        <w:t>Amaranthus tuberculatus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>) is the most problematic weed in Minnesota soybean production, with season-long interference capable of reducing soybean yields</w:t>
      </w:r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by more than </w:t>
      </w:r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%. </w:t>
      </w:r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Waterhemp populations have evolved 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>the resistance to</w:t>
      </w:r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herbicides from seven different sites of action at labeled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doses</w:t>
      </w:r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. A recent study by </w:t>
      </w:r>
      <w:proofErr w:type="gramStart"/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>University</w:t>
      </w:r>
      <w:proofErr w:type="gramEnd"/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of Minnesota confirmed the presence of such populations in the state of Minnesota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>identified glufosinate as the only herbicide effectively controlling all evaluated populations</w:t>
      </w:r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>At same time, c</w:t>
      </w:r>
      <w:r w:rsidR="000A1019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rop producers throughout the midwestern United States are 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>increasingly adopting glufosinate as an alternative to glyphosate in response to the widespread occurrence of glyphosate-resistant weeds</w:t>
      </w:r>
      <w:r w:rsidR="00676D94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. According to another survey conducted by University of Minnesota Extension survey approximately 75% soybean growers in the state were planning to plant soybean varieties that have been engineered for resistance to 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>glufosinate</w:t>
      </w:r>
      <w:r w:rsidR="00676D94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along with some other herbicides. </w:t>
      </w:r>
    </w:p>
    <w:p w14:paraId="14BB83A0" w14:textId="2C518E88" w:rsidR="00676D94" w:rsidRPr="002B637D" w:rsidRDefault="005C21D2" w:rsidP="002B637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B637D">
        <w:rPr>
          <w:rFonts w:ascii="Times New Roman" w:hAnsi="Times New Roman" w:cs="Times New Roman"/>
          <w:color w:val="000000"/>
          <w:sz w:val="24"/>
          <w:szCs w:val="24"/>
        </w:rPr>
        <w:t>Recen</w:t>
      </w:r>
      <w:r w:rsidR="00676D94" w:rsidRPr="002B637D">
        <w:rPr>
          <w:rFonts w:ascii="Times New Roman" w:hAnsi="Times New Roman" w:cs="Times New Roman"/>
          <w:color w:val="000000"/>
          <w:sz w:val="24"/>
          <w:szCs w:val="24"/>
        </w:rPr>
        <w:t>tly a farmer from Dodge County in MN reported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an inability to control waterhemp in their field</w:t>
      </w:r>
      <w:r w:rsidR="00676D94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after multiple years of 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successful control with </w:t>
      </w:r>
      <w:r w:rsidR="00676D94" w:rsidRPr="002B637D">
        <w:rPr>
          <w:rFonts w:ascii="Times New Roman" w:hAnsi="Times New Roman" w:cs="Times New Roman"/>
          <w:color w:val="000000"/>
          <w:sz w:val="24"/>
          <w:szCs w:val="24"/>
        </w:rPr>
        <w:t>glufosinate.</w:t>
      </w:r>
      <w:r w:rsidR="002B637D" w:rsidRPr="002B637D">
        <w:rPr>
          <w:sz w:val="24"/>
          <w:szCs w:val="24"/>
        </w:rPr>
        <w:t xml:space="preserve"> </w:t>
      </w:r>
      <w:r w:rsidR="002B637D" w:rsidRPr="002B637D">
        <w:rPr>
          <w:rFonts w:ascii="Times New Roman" w:hAnsi="Times New Roman" w:cs="Times New Roman"/>
          <w:color w:val="000000"/>
          <w:sz w:val="24"/>
          <w:szCs w:val="24"/>
        </w:rPr>
        <w:t>In response, the University of Minnesota conducted</w:t>
      </w:r>
      <w:r w:rsidR="002B637D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6D94" w:rsidRPr="002B637D">
        <w:rPr>
          <w:rFonts w:ascii="Times New Roman" w:hAnsi="Times New Roman" w:cs="Times New Roman"/>
          <w:color w:val="000000"/>
          <w:sz w:val="24"/>
          <w:szCs w:val="24"/>
        </w:rPr>
        <w:t>dose</w:t>
      </w:r>
      <w:r w:rsidR="002B637D" w:rsidRPr="002B637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76D94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response assays to quantify the extent of glufosinate resistance in waterhemp population collected from </w:t>
      </w:r>
      <w:r w:rsidR="002B637D" w:rsidRPr="002B637D">
        <w:rPr>
          <w:rFonts w:ascii="Times New Roman" w:hAnsi="Times New Roman" w:cs="Times New Roman"/>
          <w:color w:val="000000"/>
          <w:sz w:val="24"/>
          <w:szCs w:val="24"/>
        </w:rPr>
        <w:t>this field</w:t>
      </w:r>
      <w:r w:rsidR="00676D94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. We are </w:t>
      </w:r>
      <w:r w:rsidR="002B637D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also planning </w:t>
      </w:r>
      <w:r w:rsidRPr="002B637D">
        <w:rPr>
          <w:rFonts w:ascii="Times New Roman" w:hAnsi="Times New Roman" w:cs="Times New Roman"/>
          <w:color w:val="000000"/>
          <w:sz w:val="24"/>
          <w:szCs w:val="24"/>
        </w:rPr>
        <w:t>experiments</w:t>
      </w:r>
      <w:r w:rsidR="00676D94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to determine the genetic and physiological mechanism of glufosinate resistance in this population. </w:t>
      </w:r>
    </w:p>
    <w:p w14:paraId="19572B2E" w14:textId="59280B4A" w:rsidR="00755FDF" w:rsidRPr="002B637D" w:rsidRDefault="00676D9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B637D">
        <w:rPr>
          <w:rFonts w:ascii="Times New Roman" w:hAnsi="Times New Roman" w:cs="Times New Roman"/>
          <w:color w:val="000000"/>
          <w:sz w:val="24"/>
          <w:szCs w:val="24"/>
        </w:rPr>
        <w:t>The information about the mechanism of glufosinate resistance in this population will help to devise better management tactics to slow the evolution</w:t>
      </w:r>
      <w:r w:rsidR="00755FDF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and spread of such populations </w:t>
      </w:r>
      <w:r w:rsidR="002B637D" w:rsidRPr="002B637D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="00755FDF" w:rsidRPr="002B637D">
        <w:rPr>
          <w:rFonts w:ascii="Times New Roman" w:hAnsi="Times New Roman" w:cs="Times New Roman"/>
          <w:color w:val="000000"/>
          <w:sz w:val="24"/>
          <w:szCs w:val="24"/>
        </w:rPr>
        <w:t xml:space="preserve"> to control it in the field. </w:t>
      </w:r>
    </w:p>
    <w:p w14:paraId="4C035004" w14:textId="27AE128E" w:rsidR="00012F96" w:rsidRPr="002B637D" w:rsidRDefault="00755FD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63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Materials and Methods</w:t>
      </w:r>
    </w:p>
    <w:p w14:paraId="1D56B79C" w14:textId="4D11BF45" w:rsidR="002B637D" w:rsidRPr="002B637D" w:rsidRDefault="002B637D" w:rsidP="002B637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B637D">
        <w:rPr>
          <w:rFonts w:ascii="Times New Roman" w:hAnsi="Times New Roman" w:cs="Times New Roman"/>
          <w:color w:val="000000"/>
          <w:sz w:val="24"/>
          <w:szCs w:val="24"/>
        </w:rPr>
        <w:t>Waterhemp seeds were collected from a suspected glufosinate-resistant population (putative-resistant) in Dodge County, Minnesota. Additionally, two known susceptible populations were obtained from Iowa State University to serve as negative controls. Dose-response assays were conducted in a greenhouse at the Plant Growth Facilities, University of Minnesota, Saint Paul, MN, using eight glufosinate doses ranging from 0 to 5,240 g ai ha⁻¹. Glufosinate was applied to plants at a uniform height of 10–12 cm, and assessments for percent injury, percent survival, and biomass reduction were performed 28 days after treatment.</w:t>
      </w:r>
    </w:p>
    <w:p w14:paraId="22CEAFBE" w14:textId="77777777" w:rsidR="002B637D" w:rsidRPr="002B637D" w:rsidRDefault="002B637D" w:rsidP="002B637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B637D">
        <w:rPr>
          <w:rFonts w:ascii="Times New Roman" w:hAnsi="Times New Roman" w:cs="Times New Roman"/>
          <w:color w:val="000000"/>
          <w:sz w:val="24"/>
          <w:szCs w:val="24"/>
        </w:rPr>
        <w:t>To further evaluate the response of the putative-resistant population to other commonly used herbicides, whole-plant bioassays were conducted. These assays subjected both the putative-resistant and known susceptible populations to a one-time (1×) and three-times (3×) labeled rate for seven different post-emergence (POST) herbicides.</w:t>
      </w:r>
    </w:p>
    <w:p w14:paraId="6F2B061E" w14:textId="63A3A8C3" w:rsidR="00D335ED" w:rsidRPr="002B637D" w:rsidRDefault="00D335ED">
      <w:pPr>
        <w:rPr>
          <w:rFonts w:ascii="Times New Roman" w:hAnsi="Times New Roman" w:cs="Times New Roman"/>
          <w:sz w:val="24"/>
          <w:szCs w:val="24"/>
        </w:rPr>
      </w:pPr>
      <w:r w:rsidRPr="002B637D">
        <w:rPr>
          <w:rFonts w:ascii="Times New Roman" w:hAnsi="Times New Roman" w:cs="Times New Roman"/>
          <w:sz w:val="24"/>
          <w:szCs w:val="24"/>
        </w:rPr>
        <w:t xml:space="preserve">We also developed the list of the experiments to be conducted to evaluate the mechanism contributing to </w:t>
      </w:r>
      <w:r w:rsidR="002B637D" w:rsidRPr="002B637D">
        <w:rPr>
          <w:rFonts w:ascii="Times New Roman" w:hAnsi="Times New Roman" w:cs="Times New Roman"/>
          <w:sz w:val="24"/>
          <w:szCs w:val="24"/>
        </w:rPr>
        <w:t>glufosinate resistance.</w:t>
      </w:r>
      <w:r w:rsidR="002B637D" w:rsidRPr="002B637D">
        <w:rPr>
          <w:sz w:val="24"/>
          <w:szCs w:val="24"/>
        </w:rPr>
        <w:t xml:space="preserve"> </w:t>
      </w:r>
      <w:r w:rsidR="002B637D" w:rsidRPr="002B637D">
        <w:rPr>
          <w:rFonts w:ascii="Times New Roman" w:hAnsi="Times New Roman" w:cs="Times New Roman"/>
          <w:sz w:val="24"/>
          <w:szCs w:val="24"/>
        </w:rPr>
        <w:t xml:space="preserve">These experiments </w:t>
      </w:r>
      <w:r w:rsidR="002B637D" w:rsidRPr="002B637D">
        <w:rPr>
          <w:rFonts w:ascii="Times New Roman" w:hAnsi="Times New Roman" w:cs="Times New Roman"/>
          <w:sz w:val="24"/>
          <w:szCs w:val="24"/>
        </w:rPr>
        <w:t>will be conducted</w:t>
      </w:r>
      <w:r w:rsidR="002B637D" w:rsidRPr="002B637D">
        <w:rPr>
          <w:rFonts w:ascii="Times New Roman" w:hAnsi="Times New Roman" w:cs="Times New Roman"/>
          <w:sz w:val="24"/>
          <w:szCs w:val="24"/>
        </w:rPr>
        <w:t xml:space="preserve"> in the spring of 2025.</w:t>
      </w:r>
    </w:p>
    <w:p w14:paraId="0FD86875" w14:textId="05D059CE" w:rsidR="00D335ED" w:rsidRPr="002B637D" w:rsidRDefault="00D335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637D">
        <w:rPr>
          <w:rFonts w:ascii="Times New Roman" w:hAnsi="Times New Roman" w:cs="Times New Roman"/>
          <w:b/>
          <w:bCs/>
          <w:sz w:val="24"/>
          <w:szCs w:val="24"/>
        </w:rPr>
        <w:t xml:space="preserve">Results and Discussion. </w:t>
      </w:r>
    </w:p>
    <w:p w14:paraId="74BA3438" w14:textId="5460ADF1" w:rsidR="00416129" w:rsidRPr="002B637D" w:rsidRDefault="002B637D">
      <w:pPr>
        <w:rPr>
          <w:rFonts w:ascii="Times New Roman" w:hAnsi="Times New Roman" w:cs="Times New Roman"/>
          <w:sz w:val="24"/>
          <w:szCs w:val="24"/>
        </w:rPr>
      </w:pPr>
      <w:r w:rsidRPr="002B637D">
        <w:rPr>
          <w:rFonts w:ascii="Times New Roman" w:hAnsi="Times New Roman" w:cs="Times New Roman"/>
          <w:sz w:val="24"/>
          <w:szCs w:val="24"/>
        </w:rPr>
        <w:t xml:space="preserve">The putative-resistant population exhibited a resistance index (RI) of 2.8 to 3.0, indicating that it requires approximately three times the glufosinate dose needed for 50% mortality in the susceptible control population. At the labeled glufosinate dose of 656 g ai ha⁻¹ (32 </w:t>
      </w:r>
      <w:proofErr w:type="spellStart"/>
      <w:r w:rsidRPr="002B637D">
        <w:rPr>
          <w:rFonts w:ascii="Times New Roman" w:hAnsi="Times New Roman" w:cs="Times New Roman"/>
          <w:sz w:val="24"/>
          <w:szCs w:val="24"/>
        </w:rPr>
        <w:t>fl</w:t>
      </w:r>
      <w:proofErr w:type="spellEnd"/>
      <w:r w:rsidRPr="002B637D">
        <w:rPr>
          <w:rFonts w:ascii="Times New Roman" w:hAnsi="Times New Roman" w:cs="Times New Roman"/>
          <w:sz w:val="24"/>
          <w:szCs w:val="24"/>
        </w:rPr>
        <w:t xml:space="preserve"> oz a⁻¹), this </w:t>
      </w:r>
      <w:r w:rsidRPr="002B637D">
        <w:rPr>
          <w:rFonts w:ascii="Times New Roman" w:hAnsi="Times New Roman" w:cs="Times New Roman"/>
          <w:sz w:val="24"/>
          <w:szCs w:val="24"/>
        </w:rPr>
        <w:lastRenderedPageBreak/>
        <w:t>population demonstrated a 58% survival rate</w:t>
      </w:r>
      <w:r w:rsidRPr="002B637D">
        <w:rPr>
          <w:rFonts w:ascii="Times New Roman" w:hAnsi="Times New Roman" w:cs="Times New Roman"/>
          <w:sz w:val="24"/>
          <w:szCs w:val="24"/>
        </w:rPr>
        <w:t xml:space="preserve">. </w:t>
      </w:r>
      <w:r w:rsidRPr="002B637D">
        <w:rPr>
          <w:sz w:val="24"/>
          <w:szCs w:val="24"/>
        </w:rPr>
        <w:t xml:space="preserve"> </w:t>
      </w:r>
      <w:r w:rsidRPr="002B637D">
        <w:rPr>
          <w:rFonts w:ascii="Times New Roman" w:hAnsi="Times New Roman" w:cs="Times New Roman"/>
          <w:sz w:val="24"/>
          <w:szCs w:val="24"/>
        </w:rPr>
        <w:t>Furthermore</w:t>
      </w:r>
      <w:r w:rsidRPr="002B637D">
        <w:rPr>
          <w:rFonts w:ascii="Times New Roman" w:hAnsi="Times New Roman" w:cs="Times New Roman"/>
          <w:sz w:val="24"/>
          <w:szCs w:val="24"/>
        </w:rPr>
        <w:t>, we</w:t>
      </w:r>
      <w:r w:rsidR="005C21D2" w:rsidRPr="002B637D">
        <w:rPr>
          <w:rFonts w:ascii="Times New Roman" w:hAnsi="Times New Roman" w:cs="Times New Roman"/>
          <w:sz w:val="24"/>
          <w:szCs w:val="24"/>
        </w:rPr>
        <w:t xml:space="preserve"> observed ≥ 80% survival irrespective of </w:t>
      </w:r>
      <w:r w:rsidR="005C21D2" w:rsidRPr="002B637D">
        <w:rPr>
          <w:rFonts w:ascii="Times New Roman" w:hAnsi="Times New Roman" w:cs="Times New Roman"/>
          <w:sz w:val="24"/>
          <w:szCs w:val="24"/>
        </w:rPr>
        <w:t xml:space="preserve">one time (1x) </w:t>
      </w:r>
      <w:r w:rsidR="005C21D2" w:rsidRPr="002B637D">
        <w:rPr>
          <w:rFonts w:ascii="Times New Roman" w:hAnsi="Times New Roman" w:cs="Times New Roman"/>
          <w:sz w:val="24"/>
          <w:szCs w:val="24"/>
        </w:rPr>
        <w:t>or</w:t>
      </w:r>
      <w:r w:rsidR="005C21D2" w:rsidRPr="002B637D">
        <w:rPr>
          <w:rFonts w:ascii="Times New Roman" w:hAnsi="Times New Roman" w:cs="Times New Roman"/>
          <w:sz w:val="24"/>
          <w:szCs w:val="24"/>
        </w:rPr>
        <w:t xml:space="preserve"> three times recommended label rate (3x)</w:t>
      </w:r>
      <w:r w:rsidR="005C21D2" w:rsidRPr="002B637D">
        <w:rPr>
          <w:rFonts w:ascii="Times New Roman" w:hAnsi="Times New Roman" w:cs="Times New Roman"/>
          <w:sz w:val="24"/>
          <w:szCs w:val="24"/>
        </w:rPr>
        <w:t xml:space="preserve"> of atrazine, imazamox, and glyphosate. </w:t>
      </w:r>
    </w:p>
    <w:p w14:paraId="5D2BECBB" w14:textId="77777777" w:rsidR="00D335ED" w:rsidRDefault="00D335ED">
      <w:pPr>
        <w:rPr>
          <w:rFonts w:ascii="Times New Roman" w:hAnsi="Times New Roman" w:cs="Times New Roman"/>
          <w:sz w:val="24"/>
          <w:szCs w:val="24"/>
        </w:rPr>
      </w:pPr>
    </w:p>
    <w:p w14:paraId="34C4365C" w14:textId="77777777" w:rsidR="00D335ED" w:rsidRDefault="00D335ED">
      <w:pPr>
        <w:rPr>
          <w:rFonts w:ascii="Times New Roman" w:hAnsi="Times New Roman" w:cs="Times New Roman"/>
          <w:sz w:val="24"/>
          <w:szCs w:val="24"/>
        </w:rPr>
      </w:pPr>
    </w:p>
    <w:p w14:paraId="79199915" w14:textId="77777777" w:rsidR="00D335ED" w:rsidRDefault="00D335ED">
      <w:pPr>
        <w:rPr>
          <w:rFonts w:ascii="Times New Roman" w:hAnsi="Times New Roman" w:cs="Times New Roman"/>
          <w:sz w:val="24"/>
          <w:szCs w:val="24"/>
        </w:rPr>
      </w:pPr>
    </w:p>
    <w:p w14:paraId="757427B2" w14:textId="6BB32D1F" w:rsidR="00D335ED" w:rsidRDefault="00D33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D701AF" wp14:editId="1D22ACAC">
            <wp:extent cx="4540483" cy="2463927"/>
            <wp:effectExtent l="0" t="0" r="0" b="0"/>
            <wp:docPr id="366164395" name="Picture 1" descr="A graph of a line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64395" name="Picture 1" descr="A graph of a line graph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483" cy="246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700E8" w14:textId="635B1C22" w:rsidR="00D335ED" w:rsidRDefault="00D33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1.  </w:t>
      </w:r>
      <w:r w:rsidR="00416129">
        <w:rPr>
          <w:rFonts w:ascii="Times New Roman" w:hAnsi="Times New Roman" w:cs="Times New Roman"/>
          <w:sz w:val="24"/>
          <w:szCs w:val="24"/>
        </w:rPr>
        <w:t xml:space="preserve">Percent survival for putative-resistant and known susceptible controls at various glufosinate doses used in the experiment. </w:t>
      </w:r>
    </w:p>
    <w:p w14:paraId="71D0132C" w14:textId="77777777" w:rsidR="00D335ED" w:rsidRDefault="00D335ED">
      <w:pPr>
        <w:rPr>
          <w:rFonts w:ascii="Times New Roman" w:hAnsi="Times New Roman" w:cs="Times New Roman"/>
          <w:sz w:val="24"/>
          <w:szCs w:val="24"/>
        </w:rPr>
      </w:pPr>
    </w:p>
    <w:p w14:paraId="01F43D15" w14:textId="77777777" w:rsidR="00D335ED" w:rsidRDefault="00D335ED">
      <w:pPr>
        <w:rPr>
          <w:rFonts w:ascii="Times New Roman" w:hAnsi="Times New Roman" w:cs="Times New Roman"/>
          <w:sz w:val="24"/>
          <w:szCs w:val="24"/>
        </w:rPr>
      </w:pPr>
    </w:p>
    <w:p w14:paraId="254049B8" w14:textId="17C5BD55" w:rsidR="00D335ED" w:rsidRDefault="00D335E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7FD2439" wp14:editId="102A49EE">
            <wp:extent cx="3663950" cy="2331462"/>
            <wp:effectExtent l="0" t="0" r="0" b="0"/>
            <wp:docPr id="11" name="Content Placeholder 10" descr="A bar graph with different colored bar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3F1F26F-AD0C-7355-55A2-F65F9E24B6A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ntent Placeholder 10" descr="A bar graph with different colored bars&#10;&#10;Description automatically generated">
                      <a:extLst>
                        <a:ext uri="{FF2B5EF4-FFF2-40B4-BE49-F238E27FC236}">
                          <a16:creationId xmlns:a16="http://schemas.microsoft.com/office/drawing/2014/main" id="{63F1F26F-AD0C-7355-55A2-F65F9E24B6A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850" cy="23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7C7E" w14:textId="65A3921B" w:rsidR="00D335ED" w:rsidRPr="00755FDF" w:rsidRDefault="00D33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2. </w:t>
      </w:r>
      <w:r w:rsidR="00416129">
        <w:rPr>
          <w:rFonts w:ascii="Times New Roman" w:hAnsi="Times New Roman" w:cs="Times New Roman"/>
          <w:sz w:val="24"/>
          <w:szCs w:val="24"/>
        </w:rPr>
        <w:t xml:space="preserve">Percent survival of putative-glufosinate resistant waterhemp population at </w:t>
      </w:r>
      <w:r w:rsidR="00416129">
        <w:rPr>
          <w:rFonts w:ascii="Times New Roman" w:hAnsi="Times New Roman" w:cs="Times New Roman"/>
          <w:sz w:val="24"/>
          <w:szCs w:val="24"/>
        </w:rPr>
        <w:t xml:space="preserve">one time </w:t>
      </w:r>
      <w:r w:rsidR="00416129" w:rsidRPr="00445C1B">
        <w:rPr>
          <w:rFonts w:ascii="Times New Roman" w:hAnsi="Times New Roman" w:cs="Times New Roman"/>
          <w:sz w:val="24"/>
          <w:szCs w:val="24"/>
        </w:rPr>
        <w:t xml:space="preserve">(1x) and </w:t>
      </w:r>
      <w:r w:rsidR="00416129">
        <w:rPr>
          <w:rFonts w:ascii="Times New Roman" w:hAnsi="Times New Roman" w:cs="Times New Roman"/>
          <w:sz w:val="24"/>
          <w:szCs w:val="24"/>
        </w:rPr>
        <w:t xml:space="preserve">three times </w:t>
      </w:r>
      <w:r w:rsidR="00416129" w:rsidRPr="00445C1B">
        <w:rPr>
          <w:rFonts w:ascii="Times New Roman" w:hAnsi="Times New Roman" w:cs="Times New Roman"/>
          <w:sz w:val="24"/>
          <w:szCs w:val="24"/>
        </w:rPr>
        <w:t xml:space="preserve">recommended label rate (3x) </w:t>
      </w:r>
      <w:r w:rsidR="00416129">
        <w:rPr>
          <w:rFonts w:ascii="Times New Roman" w:hAnsi="Times New Roman" w:cs="Times New Roman"/>
          <w:sz w:val="24"/>
          <w:szCs w:val="24"/>
        </w:rPr>
        <w:t>for</w:t>
      </w:r>
      <w:r w:rsidR="00416129" w:rsidRPr="00445C1B">
        <w:rPr>
          <w:rFonts w:ascii="Times New Roman" w:hAnsi="Times New Roman" w:cs="Times New Roman"/>
          <w:sz w:val="24"/>
          <w:szCs w:val="24"/>
        </w:rPr>
        <w:t xml:space="preserve"> </w:t>
      </w:r>
      <w:r w:rsidR="00416129">
        <w:rPr>
          <w:rFonts w:ascii="Times New Roman" w:hAnsi="Times New Roman" w:cs="Times New Roman"/>
          <w:sz w:val="24"/>
          <w:szCs w:val="24"/>
        </w:rPr>
        <w:t xml:space="preserve">seven </w:t>
      </w:r>
      <w:r w:rsidR="00416129" w:rsidRPr="00445C1B">
        <w:rPr>
          <w:rFonts w:ascii="Times New Roman" w:hAnsi="Times New Roman" w:cs="Times New Roman"/>
          <w:sz w:val="24"/>
          <w:szCs w:val="24"/>
        </w:rPr>
        <w:t>POST herbicides</w:t>
      </w:r>
      <w:r w:rsidR="0041612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335ED" w:rsidRPr="00755F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19"/>
    <w:rsid w:val="00012F96"/>
    <w:rsid w:val="000A1019"/>
    <w:rsid w:val="000D567D"/>
    <w:rsid w:val="002B637D"/>
    <w:rsid w:val="003B106D"/>
    <w:rsid w:val="00416129"/>
    <w:rsid w:val="005C21D2"/>
    <w:rsid w:val="006052A3"/>
    <w:rsid w:val="00676D94"/>
    <w:rsid w:val="00755FDF"/>
    <w:rsid w:val="007813E7"/>
    <w:rsid w:val="009E143F"/>
    <w:rsid w:val="00D3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E8E8F"/>
  <w15:chartTrackingRefBased/>
  <w15:docId w15:val="{B7E22773-7DBF-4C63-A042-3CD278E6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0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Navjot Singh</dc:creator>
  <cp:keywords/>
  <dc:description/>
  <cp:lastModifiedBy>Navjot Singh</cp:lastModifiedBy>
  <cp:revision>2</cp:revision>
  <dcterms:created xsi:type="dcterms:W3CDTF">2024-11-30T05:51:00Z</dcterms:created>
  <dcterms:modified xsi:type="dcterms:W3CDTF">2024-11-30T07:01:00Z</dcterms:modified>
</cp:coreProperties>
</file>