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0AF19" w14:textId="77777777" w:rsidR="009649A6" w:rsidRDefault="00FF0435" w:rsidP="00FF0435">
      <w:pPr>
        <w:spacing w:line="360" w:lineRule="auto"/>
        <w:jc w:val="center"/>
        <w:rPr>
          <w:rFonts w:ascii="Times" w:eastAsia="Times New Roman" w:hAnsi="Times" w:cs="Arial"/>
          <w:b/>
          <w:bCs/>
          <w:color w:val="000000"/>
        </w:rPr>
      </w:pPr>
      <w:r w:rsidRPr="00FF0435">
        <w:rPr>
          <w:rFonts w:ascii="Times" w:eastAsia="Times New Roman" w:hAnsi="Times" w:cs="Arial"/>
          <w:b/>
          <w:bCs/>
          <w:color w:val="000000"/>
        </w:rPr>
        <w:t xml:space="preserve">Managing </w:t>
      </w:r>
      <w:r w:rsidR="009649A6">
        <w:rPr>
          <w:rFonts w:ascii="Times" w:eastAsia="Times New Roman" w:hAnsi="Times" w:cs="Arial"/>
          <w:b/>
          <w:bCs/>
          <w:color w:val="000000"/>
        </w:rPr>
        <w:t xml:space="preserve">Soybean </w:t>
      </w:r>
      <w:r w:rsidRPr="00FF0435">
        <w:rPr>
          <w:rFonts w:ascii="Times" w:eastAsia="Times New Roman" w:hAnsi="Times" w:cs="Arial"/>
          <w:b/>
          <w:bCs/>
          <w:color w:val="000000"/>
        </w:rPr>
        <w:t>I</w:t>
      </w:r>
      <w:r w:rsidR="009649A6">
        <w:rPr>
          <w:rFonts w:ascii="Times" w:eastAsia="Times New Roman" w:hAnsi="Times" w:cs="Arial"/>
          <w:b/>
          <w:bCs/>
          <w:color w:val="000000"/>
        </w:rPr>
        <w:t xml:space="preserve">ron </w:t>
      </w:r>
      <w:r w:rsidRPr="00FF0435">
        <w:rPr>
          <w:rFonts w:ascii="Times" w:eastAsia="Times New Roman" w:hAnsi="Times" w:cs="Arial"/>
          <w:b/>
          <w:bCs/>
          <w:color w:val="000000"/>
        </w:rPr>
        <w:t>D</w:t>
      </w:r>
      <w:r w:rsidR="009649A6">
        <w:rPr>
          <w:rFonts w:ascii="Times" w:eastAsia="Times New Roman" w:hAnsi="Times" w:cs="Arial"/>
          <w:b/>
          <w:bCs/>
          <w:color w:val="000000"/>
        </w:rPr>
        <w:t xml:space="preserve">eficiency </w:t>
      </w:r>
      <w:r w:rsidRPr="00FF0435">
        <w:rPr>
          <w:rFonts w:ascii="Times" w:eastAsia="Times New Roman" w:hAnsi="Times" w:cs="Arial"/>
          <w:b/>
          <w:bCs/>
          <w:color w:val="000000"/>
        </w:rPr>
        <w:t>C</w:t>
      </w:r>
      <w:r w:rsidR="009649A6">
        <w:rPr>
          <w:rFonts w:ascii="Times" w:eastAsia="Times New Roman" w:hAnsi="Times" w:cs="Arial"/>
          <w:b/>
          <w:bCs/>
          <w:color w:val="000000"/>
        </w:rPr>
        <w:t>hlorosis</w:t>
      </w:r>
      <w:r w:rsidRPr="00FF0435">
        <w:rPr>
          <w:rFonts w:ascii="Times" w:eastAsia="Times New Roman" w:hAnsi="Times" w:cs="Arial"/>
          <w:b/>
          <w:bCs/>
          <w:color w:val="000000"/>
        </w:rPr>
        <w:t xml:space="preserve"> with Agronomics and Economics </w:t>
      </w:r>
    </w:p>
    <w:p w14:paraId="45F6C226" w14:textId="6AF59593" w:rsidR="00FF0435" w:rsidRPr="00FF0435" w:rsidRDefault="00FF0435" w:rsidP="00FF0435">
      <w:pPr>
        <w:spacing w:line="360" w:lineRule="auto"/>
        <w:jc w:val="center"/>
        <w:rPr>
          <w:rFonts w:ascii="Times" w:eastAsia="Times New Roman" w:hAnsi="Times" w:cs="Times New Roman"/>
          <w:color w:val="000000"/>
        </w:rPr>
      </w:pPr>
      <w:r w:rsidRPr="00FF0435">
        <w:rPr>
          <w:rFonts w:ascii="Times" w:eastAsia="Times New Roman" w:hAnsi="Times" w:cs="Arial"/>
          <w:b/>
          <w:bCs/>
          <w:color w:val="000000"/>
        </w:rPr>
        <w:t>2022</w:t>
      </w:r>
      <w:r w:rsidR="00820EDB">
        <w:rPr>
          <w:rFonts w:ascii="Times" w:eastAsia="Times New Roman" w:hAnsi="Times" w:cs="Arial"/>
          <w:b/>
          <w:bCs/>
          <w:color w:val="000000"/>
        </w:rPr>
        <w:t xml:space="preserve"> </w:t>
      </w:r>
      <w:r w:rsidR="009649A6">
        <w:rPr>
          <w:rFonts w:ascii="Times" w:eastAsia="Times New Roman" w:hAnsi="Times" w:cs="Arial"/>
          <w:b/>
          <w:bCs/>
          <w:color w:val="000000"/>
        </w:rPr>
        <w:t>Quarterly</w:t>
      </w:r>
      <w:r w:rsidRPr="00FF0435">
        <w:rPr>
          <w:rFonts w:ascii="Times" w:eastAsia="Times New Roman" w:hAnsi="Times" w:cs="Arial"/>
          <w:b/>
          <w:bCs/>
          <w:color w:val="000000"/>
        </w:rPr>
        <w:t xml:space="preserve"> Report</w:t>
      </w:r>
    </w:p>
    <w:p w14:paraId="2682FEC1" w14:textId="77777777" w:rsidR="00FF0435" w:rsidRPr="00FF0435" w:rsidRDefault="00FF0435" w:rsidP="00FF0435">
      <w:pPr>
        <w:spacing w:line="360" w:lineRule="auto"/>
        <w:jc w:val="center"/>
        <w:rPr>
          <w:rFonts w:ascii="Times" w:eastAsia="Times New Roman" w:hAnsi="Times" w:cs="Times New Roman"/>
          <w:color w:val="000000"/>
        </w:rPr>
      </w:pPr>
      <w:r w:rsidRPr="00FF0435">
        <w:rPr>
          <w:rFonts w:ascii="Times" w:eastAsia="Times New Roman" w:hAnsi="Times" w:cs="Arial"/>
          <w:color w:val="000000"/>
        </w:rPr>
        <w:t xml:space="preserve">Seth </w:t>
      </w:r>
      <w:proofErr w:type="spellStart"/>
      <w:r w:rsidRPr="00FF0435">
        <w:rPr>
          <w:rFonts w:ascii="Times" w:eastAsia="Times New Roman" w:hAnsi="Times" w:cs="Arial"/>
          <w:color w:val="000000"/>
        </w:rPr>
        <w:t>Naeve</w:t>
      </w:r>
      <w:proofErr w:type="spellEnd"/>
      <w:r w:rsidRPr="00FF0435">
        <w:rPr>
          <w:rFonts w:ascii="Times" w:eastAsia="Times New Roman" w:hAnsi="Times" w:cs="Arial"/>
          <w:color w:val="000000"/>
        </w:rPr>
        <w:t xml:space="preserve"> and </w:t>
      </w:r>
      <w:proofErr w:type="spellStart"/>
      <w:r w:rsidRPr="00FF0435">
        <w:rPr>
          <w:rFonts w:ascii="Times" w:eastAsia="Times New Roman" w:hAnsi="Times" w:cs="Arial"/>
          <w:color w:val="000000"/>
        </w:rPr>
        <w:t>Maykon</w:t>
      </w:r>
      <w:proofErr w:type="spellEnd"/>
      <w:r w:rsidRPr="00FF0435">
        <w:rPr>
          <w:rFonts w:ascii="Times" w:eastAsia="Times New Roman" w:hAnsi="Times" w:cs="Arial"/>
          <w:color w:val="000000"/>
        </w:rPr>
        <w:t xml:space="preserve"> da Silva</w:t>
      </w:r>
    </w:p>
    <w:p w14:paraId="0A73E884" w14:textId="77777777" w:rsidR="00FF0435" w:rsidRPr="00FF0435" w:rsidRDefault="00FF0435" w:rsidP="00FF0435">
      <w:pPr>
        <w:spacing w:line="360" w:lineRule="auto"/>
        <w:jc w:val="center"/>
        <w:rPr>
          <w:rFonts w:ascii="Times" w:eastAsia="Times New Roman" w:hAnsi="Times" w:cs="Times New Roman"/>
          <w:color w:val="000000"/>
        </w:rPr>
      </w:pPr>
      <w:r w:rsidRPr="00FF0435">
        <w:rPr>
          <w:rFonts w:ascii="Times" w:eastAsia="Times New Roman" w:hAnsi="Times" w:cs="Arial"/>
          <w:color w:val="000000"/>
        </w:rPr>
        <w:t> </w:t>
      </w:r>
    </w:p>
    <w:p w14:paraId="1BABBE7C" w14:textId="77777777" w:rsidR="00FF0435" w:rsidRPr="00FF0435" w:rsidRDefault="00FF0435" w:rsidP="00FF0435">
      <w:pPr>
        <w:spacing w:line="360" w:lineRule="auto"/>
        <w:ind w:left="720"/>
        <w:jc w:val="both"/>
        <w:rPr>
          <w:rFonts w:ascii="Times" w:eastAsia="Times New Roman" w:hAnsi="Times" w:cs="Times New Roman"/>
          <w:color w:val="000000"/>
        </w:rPr>
      </w:pPr>
      <w:r w:rsidRPr="00FF0435">
        <w:rPr>
          <w:rFonts w:ascii="Times" w:eastAsia="Times New Roman" w:hAnsi="Times" w:cs="Arial"/>
          <w:b/>
          <w:bCs/>
          <w:color w:val="000000"/>
        </w:rPr>
        <w:t>1.</w:t>
      </w:r>
      <w:r w:rsidRPr="00FF0435">
        <w:rPr>
          <w:rFonts w:ascii="Times" w:eastAsia="Times New Roman" w:hAnsi="Times" w:cs="Times New Roman"/>
          <w:color w:val="000000"/>
        </w:rPr>
        <w:t xml:space="preserve">     </w:t>
      </w:r>
      <w:r w:rsidRPr="00FF0435">
        <w:rPr>
          <w:rFonts w:ascii="Times" w:eastAsia="Times New Roman" w:hAnsi="Times" w:cs="Arial"/>
          <w:b/>
          <w:bCs/>
          <w:color w:val="000000"/>
        </w:rPr>
        <w:t>Overview </w:t>
      </w:r>
    </w:p>
    <w:p w14:paraId="26B76D2C" w14:textId="14CB9BA9" w:rsidR="00FF0435" w:rsidRPr="00FF0435" w:rsidRDefault="00FF0435" w:rsidP="00FF0435">
      <w:pPr>
        <w:spacing w:line="360" w:lineRule="auto"/>
        <w:ind w:left="360" w:firstLine="360"/>
        <w:jc w:val="both"/>
        <w:rPr>
          <w:rFonts w:ascii="Times" w:eastAsia="Times New Roman" w:hAnsi="Times" w:cs="Times New Roman"/>
          <w:color w:val="000000"/>
        </w:rPr>
      </w:pPr>
      <w:r w:rsidRPr="00FF0435">
        <w:rPr>
          <w:rFonts w:ascii="Times" w:eastAsia="Times New Roman" w:hAnsi="Times" w:cs="Arial"/>
          <w:color w:val="000000"/>
        </w:rPr>
        <w:t xml:space="preserve">Soybean Iron Deficiency Chlorosis (IDC) is a major yield-limiting factor for soybean grown in the calcareous soils of the North Central United States. </w:t>
      </w:r>
      <w:r w:rsidR="00820EDB">
        <w:rPr>
          <w:rFonts w:ascii="Times" w:eastAsia="Times New Roman" w:hAnsi="Times" w:cs="Arial"/>
          <w:color w:val="000000"/>
        </w:rPr>
        <w:t xml:space="preserve">Among the most often used management strategies for IDC are variety selection, iron chelate application and increased seeding rates. However, because each of these management strategies can come at significant expense to soybean growers, the tradeoffs in cost and yield associated with their utilization may not maximize economic returns. </w:t>
      </w:r>
      <w:r w:rsidR="00C67969">
        <w:rPr>
          <w:rFonts w:ascii="Times" w:eastAsia="Times New Roman" w:hAnsi="Times" w:cs="Arial"/>
          <w:color w:val="000000"/>
        </w:rPr>
        <w:t xml:space="preserve">Therefore, </w:t>
      </w:r>
      <w:proofErr w:type="gramStart"/>
      <w:r w:rsidR="00C67969">
        <w:rPr>
          <w:rFonts w:ascii="Times" w:eastAsia="Times New Roman" w:hAnsi="Times" w:cs="Arial"/>
          <w:color w:val="000000"/>
        </w:rPr>
        <w:t>i</w:t>
      </w:r>
      <w:r w:rsidRPr="00FF0435">
        <w:rPr>
          <w:rFonts w:ascii="Times" w:eastAsia="Times New Roman" w:hAnsi="Times" w:cs="Arial"/>
          <w:color w:val="000000"/>
        </w:rPr>
        <w:t>n order to</w:t>
      </w:r>
      <w:proofErr w:type="gramEnd"/>
      <w:r w:rsidRPr="00FF0435">
        <w:rPr>
          <w:rFonts w:ascii="Times" w:eastAsia="Times New Roman" w:hAnsi="Times" w:cs="Arial"/>
          <w:color w:val="000000"/>
        </w:rPr>
        <w:t xml:space="preserve"> overcome th</w:t>
      </w:r>
      <w:r w:rsidR="00820EDB">
        <w:rPr>
          <w:rFonts w:ascii="Times" w:eastAsia="Times New Roman" w:hAnsi="Times" w:cs="Arial"/>
          <w:color w:val="000000"/>
        </w:rPr>
        <w:t>e</w:t>
      </w:r>
      <w:r w:rsidRPr="00FF0435">
        <w:rPr>
          <w:rFonts w:ascii="Times" w:eastAsia="Times New Roman" w:hAnsi="Times" w:cs="Arial"/>
          <w:color w:val="000000"/>
        </w:rPr>
        <w:t xml:space="preserve"> problem and ensure profitability, effective and economical solutions are needed. </w:t>
      </w:r>
      <w:r w:rsidR="00C67969">
        <w:rPr>
          <w:rFonts w:ascii="Times" w:eastAsia="Times New Roman" w:hAnsi="Times" w:cs="Arial"/>
          <w:color w:val="000000"/>
        </w:rPr>
        <w:t>The</w:t>
      </w:r>
      <w:r w:rsidRPr="00FF0435">
        <w:rPr>
          <w:rFonts w:ascii="Times" w:eastAsia="Times New Roman" w:hAnsi="Times" w:cs="Arial"/>
          <w:color w:val="000000"/>
        </w:rPr>
        <w:t xml:space="preserve"> main objective of this study is to find the best management strategy combination for soybean IDC, both agronomically and economically. </w:t>
      </w:r>
      <w:r w:rsidR="00820EDB">
        <w:rPr>
          <w:rFonts w:ascii="Times" w:eastAsia="Times New Roman" w:hAnsi="Times" w:cs="Arial"/>
          <w:color w:val="000000"/>
        </w:rPr>
        <w:t xml:space="preserve">Coupled with an economic analysis, this study will provide farmers with more refined recommendations for managing IDC. </w:t>
      </w:r>
    </w:p>
    <w:p w14:paraId="65E3E775" w14:textId="77777777" w:rsidR="00FF0435" w:rsidRPr="00FF0435" w:rsidRDefault="00FF0435" w:rsidP="00FF0435">
      <w:pPr>
        <w:spacing w:line="360" w:lineRule="auto"/>
        <w:ind w:left="360"/>
        <w:jc w:val="both"/>
        <w:rPr>
          <w:rFonts w:ascii="Times" w:eastAsia="Times New Roman" w:hAnsi="Times" w:cs="Times New Roman"/>
          <w:color w:val="000000"/>
        </w:rPr>
      </w:pPr>
      <w:r w:rsidRPr="00FF0435">
        <w:rPr>
          <w:rFonts w:ascii="Times" w:eastAsia="Times New Roman" w:hAnsi="Times" w:cs="Arial"/>
          <w:color w:val="000000"/>
        </w:rPr>
        <w:t> </w:t>
      </w:r>
    </w:p>
    <w:p w14:paraId="73334F5D" w14:textId="77777777" w:rsidR="00FF0435" w:rsidRPr="00FF0435" w:rsidRDefault="00FF0435" w:rsidP="00FF0435">
      <w:pPr>
        <w:spacing w:line="360" w:lineRule="auto"/>
        <w:ind w:left="720"/>
        <w:jc w:val="both"/>
        <w:rPr>
          <w:rFonts w:ascii="Times" w:eastAsia="Times New Roman" w:hAnsi="Times" w:cs="Times New Roman"/>
          <w:color w:val="000000"/>
        </w:rPr>
      </w:pPr>
      <w:r w:rsidRPr="00FF0435">
        <w:rPr>
          <w:rFonts w:ascii="Times" w:eastAsia="Times New Roman" w:hAnsi="Times" w:cs="Arial"/>
          <w:b/>
          <w:bCs/>
          <w:color w:val="000000"/>
        </w:rPr>
        <w:t>2.</w:t>
      </w:r>
      <w:r w:rsidRPr="00FF0435">
        <w:rPr>
          <w:rFonts w:ascii="Times" w:eastAsia="Times New Roman" w:hAnsi="Times" w:cs="Times New Roman"/>
          <w:color w:val="000000"/>
        </w:rPr>
        <w:t xml:space="preserve">     </w:t>
      </w:r>
      <w:r w:rsidRPr="00FF0435">
        <w:rPr>
          <w:rFonts w:ascii="Times" w:eastAsia="Times New Roman" w:hAnsi="Times" w:cs="Arial"/>
          <w:b/>
          <w:bCs/>
          <w:color w:val="000000"/>
        </w:rPr>
        <w:t>Specific objectives</w:t>
      </w:r>
    </w:p>
    <w:p w14:paraId="12789727" w14:textId="1D07372B" w:rsidR="00FF0435" w:rsidRPr="00FF0435" w:rsidRDefault="00FF0435" w:rsidP="00FF0435">
      <w:pPr>
        <w:spacing w:line="360" w:lineRule="auto"/>
        <w:ind w:left="360" w:firstLine="360"/>
        <w:jc w:val="both"/>
        <w:rPr>
          <w:rFonts w:ascii="Times" w:eastAsia="Times New Roman" w:hAnsi="Times" w:cs="Times New Roman"/>
          <w:color w:val="000000"/>
        </w:rPr>
      </w:pPr>
      <w:r w:rsidRPr="00FF0435">
        <w:rPr>
          <w:rFonts w:ascii="Times" w:eastAsia="Times New Roman" w:hAnsi="Times" w:cs="Arial"/>
          <w:color w:val="000000"/>
        </w:rPr>
        <w:t xml:space="preserve">Goal 1: Examine tradeoffs and interactive effects between varieties (AG13XF0 and AG12XF1), </w:t>
      </w:r>
      <w:r w:rsidR="00820EDB">
        <w:rPr>
          <w:rFonts w:ascii="Times" w:eastAsia="Times New Roman" w:hAnsi="Times" w:cs="Arial"/>
          <w:color w:val="000000"/>
        </w:rPr>
        <w:t>seeding densities</w:t>
      </w:r>
      <w:r w:rsidRPr="00FF0435">
        <w:rPr>
          <w:rFonts w:ascii="Times" w:eastAsia="Times New Roman" w:hAnsi="Times" w:cs="Arial"/>
          <w:color w:val="000000"/>
        </w:rPr>
        <w:t xml:space="preserve"> (125,000 and 175,000 </w:t>
      </w:r>
      <w:r w:rsidR="00820EDB">
        <w:rPr>
          <w:rFonts w:ascii="Times" w:eastAsia="Times New Roman" w:hAnsi="Times" w:cs="Arial"/>
          <w:color w:val="000000"/>
        </w:rPr>
        <w:t xml:space="preserve">seeds </w:t>
      </w:r>
      <w:r w:rsidRPr="00FF0435">
        <w:rPr>
          <w:rFonts w:ascii="Times" w:eastAsia="Times New Roman" w:hAnsi="Times" w:cs="Arial"/>
          <w:color w:val="000000"/>
        </w:rPr>
        <w:t>acre</w:t>
      </w:r>
      <w:r w:rsidR="00820EDB" w:rsidRPr="00820EDB">
        <w:rPr>
          <w:rFonts w:ascii="Times" w:eastAsia="Times New Roman" w:hAnsi="Times" w:cs="Arial"/>
          <w:color w:val="000000"/>
          <w:vertAlign w:val="superscript"/>
        </w:rPr>
        <w:t>-1</w:t>
      </w:r>
      <w:r w:rsidRPr="00FF0435">
        <w:rPr>
          <w:rFonts w:ascii="Times" w:eastAsia="Times New Roman" w:hAnsi="Times" w:cs="Arial"/>
          <w:color w:val="000000"/>
        </w:rPr>
        <w:t>), and iron chelate rates (0, 2, and 4 lbs</w:t>
      </w:r>
      <w:r w:rsidR="00820EDB">
        <w:rPr>
          <w:rFonts w:ascii="Times" w:eastAsia="Times New Roman" w:hAnsi="Times" w:cs="Arial"/>
          <w:color w:val="000000"/>
        </w:rPr>
        <w:t xml:space="preserve">. Fe-EDDHA </w:t>
      </w:r>
      <w:r w:rsidRPr="00FF0435">
        <w:rPr>
          <w:rFonts w:ascii="Times" w:eastAsia="Times New Roman" w:hAnsi="Times" w:cs="Arial"/>
          <w:color w:val="000000"/>
        </w:rPr>
        <w:t>acre</w:t>
      </w:r>
      <w:r w:rsidR="00820EDB" w:rsidRPr="00820EDB">
        <w:rPr>
          <w:rFonts w:ascii="Times" w:eastAsia="Times New Roman" w:hAnsi="Times" w:cs="Arial"/>
          <w:color w:val="000000"/>
          <w:vertAlign w:val="superscript"/>
        </w:rPr>
        <w:t>-1</w:t>
      </w:r>
      <w:r w:rsidRPr="00FF0435">
        <w:rPr>
          <w:rFonts w:ascii="Times" w:eastAsia="Times New Roman" w:hAnsi="Times" w:cs="Arial"/>
          <w:color w:val="000000"/>
        </w:rPr>
        <w:t>) across a range of IDC</w:t>
      </w:r>
      <w:r w:rsidR="00820EDB">
        <w:rPr>
          <w:rFonts w:ascii="Times" w:eastAsia="Times New Roman" w:hAnsi="Times" w:cs="Arial"/>
          <w:color w:val="000000"/>
        </w:rPr>
        <w:t xml:space="preserve"> stress</w:t>
      </w:r>
      <w:r w:rsidRPr="00FF0435">
        <w:rPr>
          <w:rFonts w:ascii="Times" w:eastAsia="Times New Roman" w:hAnsi="Times" w:cs="Arial"/>
          <w:color w:val="000000"/>
        </w:rPr>
        <w:t xml:space="preserve"> levels. </w:t>
      </w:r>
    </w:p>
    <w:p w14:paraId="374B6A17" w14:textId="625CF08D" w:rsidR="00FF0435" w:rsidRPr="00FF0435" w:rsidRDefault="00FF0435" w:rsidP="00FF0435">
      <w:pPr>
        <w:spacing w:line="360" w:lineRule="auto"/>
        <w:ind w:left="360" w:firstLine="360"/>
        <w:jc w:val="both"/>
        <w:rPr>
          <w:rFonts w:ascii="Times" w:eastAsia="Times New Roman" w:hAnsi="Times" w:cs="Times New Roman"/>
          <w:color w:val="000000"/>
        </w:rPr>
      </w:pPr>
      <w:r w:rsidRPr="00FF0435">
        <w:rPr>
          <w:rFonts w:ascii="Times" w:eastAsia="Times New Roman" w:hAnsi="Times" w:cs="Arial"/>
          <w:color w:val="000000"/>
        </w:rPr>
        <w:t xml:space="preserve">Goal 2: </w:t>
      </w:r>
      <w:r w:rsidR="00B9534B">
        <w:rPr>
          <w:rFonts w:ascii="Times" w:eastAsia="Times New Roman" w:hAnsi="Times" w:cs="Arial"/>
          <w:color w:val="000000"/>
        </w:rPr>
        <w:t>Conduct profitability and risk efficient frontier analysis to provide</w:t>
      </w:r>
      <w:r w:rsidR="00820EDB">
        <w:rPr>
          <w:rFonts w:ascii="Times" w:eastAsia="Times New Roman" w:hAnsi="Times" w:cs="Arial"/>
          <w:color w:val="000000"/>
        </w:rPr>
        <w:t xml:space="preserve"> </w:t>
      </w:r>
      <w:r w:rsidR="00B9534B">
        <w:rPr>
          <w:rFonts w:ascii="Times" w:eastAsia="Times New Roman" w:hAnsi="Times" w:cs="Arial"/>
          <w:color w:val="000000"/>
        </w:rPr>
        <w:t>soybean growers with a decision tool that will help determining what IDC management strategies to utilize given the severity of IDC, expected economic returns and risk.</w:t>
      </w:r>
    </w:p>
    <w:p w14:paraId="6331D3AA" w14:textId="77777777" w:rsidR="00FF0435" w:rsidRPr="00FF0435" w:rsidRDefault="00FF0435" w:rsidP="00FF0435">
      <w:pPr>
        <w:spacing w:line="360" w:lineRule="auto"/>
        <w:ind w:left="360" w:firstLine="360"/>
        <w:jc w:val="both"/>
        <w:rPr>
          <w:rFonts w:ascii="Times" w:eastAsia="Times New Roman" w:hAnsi="Times" w:cs="Times New Roman"/>
          <w:color w:val="000000"/>
        </w:rPr>
      </w:pPr>
      <w:r w:rsidRPr="00FF0435">
        <w:rPr>
          <w:rFonts w:ascii="Times" w:eastAsia="Times New Roman" w:hAnsi="Times" w:cs="Arial"/>
          <w:color w:val="000000"/>
        </w:rPr>
        <w:t>Goal 3: Develop a model to predict grain yield based on timing and intensity of IDC using drone imagery. </w:t>
      </w:r>
    </w:p>
    <w:p w14:paraId="0991FC66" w14:textId="77777777" w:rsidR="00FF0435" w:rsidRPr="00FF0435" w:rsidRDefault="00FF0435" w:rsidP="00FF0435">
      <w:pPr>
        <w:spacing w:line="360" w:lineRule="auto"/>
        <w:ind w:left="360"/>
        <w:jc w:val="both"/>
        <w:rPr>
          <w:rFonts w:ascii="Times" w:eastAsia="Times New Roman" w:hAnsi="Times" w:cs="Times New Roman"/>
          <w:color w:val="000000"/>
        </w:rPr>
      </w:pPr>
      <w:r w:rsidRPr="00FF0435">
        <w:rPr>
          <w:rFonts w:ascii="Times" w:eastAsia="Times New Roman" w:hAnsi="Times" w:cs="Arial"/>
          <w:color w:val="000000"/>
        </w:rPr>
        <w:t> </w:t>
      </w:r>
    </w:p>
    <w:p w14:paraId="408C8E26" w14:textId="77777777" w:rsidR="00FF0435" w:rsidRPr="00FF0435" w:rsidRDefault="00FF0435" w:rsidP="00FF0435">
      <w:pPr>
        <w:spacing w:line="360" w:lineRule="auto"/>
        <w:ind w:left="720"/>
        <w:jc w:val="both"/>
        <w:rPr>
          <w:rFonts w:ascii="Times" w:eastAsia="Times New Roman" w:hAnsi="Times" w:cs="Times New Roman"/>
          <w:color w:val="000000"/>
        </w:rPr>
      </w:pPr>
      <w:r w:rsidRPr="00FF0435">
        <w:rPr>
          <w:rFonts w:ascii="Times" w:eastAsia="Times New Roman" w:hAnsi="Times" w:cs="Arial"/>
          <w:b/>
          <w:bCs/>
          <w:color w:val="000000"/>
        </w:rPr>
        <w:t>3.</w:t>
      </w:r>
      <w:r w:rsidRPr="00FF0435">
        <w:rPr>
          <w:rFonts w:ascii="Times" w:eastAsia="Times New Roman" w:hAnsi="Times" w:cs="Times New Roman"/>
          <w:color w:val="000000"/>
        </w:rPr>
        <w:t xml:space="preserve">     </w:t>
      </w:r>
      <w:r w:rsidRPr="00FF0435">
        <w:rPr>
          <w:rFonts w:ascii="Times" w:eastAsia="Times New Roman" w:hAnsi="Times" w:cs="Arial"/>
          <w:b/>
          <w:bCs/>
          <w:color w:val="000000"/>
        </w:rPr>
        <w:t>Progress summary </w:t>
      </w:r>
    </w:p>
    <w:p w14:paraId="641D9667" w14:textId="277609B1" w:rsidR="00FF0435" w:rsidRPr="00FF0435" w:rsidRDefault="00820EDB" w:rsidP="00B9534B">
      <w:pPr>
        <w:spacing w:line="360" w:lineRule="auto"/>
        <w:ind w:left="360" w:firstLine="360"/>
        <w:jc w:val="both"/>
        <w:rPr>
          <w:rFonts w:ascii="Times" w:eastAsia="Times New Roman" w:hAnsi="Times" w:cs="Times New Roman"/>
          <w:color w:val="000000"/>
        </w:rPr>
      </w:pPr>
      <w:r>
        <w:rPr>
          <w:rFonts w:ascii="Times" w:eastAsia="Times New Roman" w:hAnsi="Times" w:cs="Arial"/>
          <w:color w:val="000000"/>
        </w:rPr>
        <w:t>In 2022, this study was</w:t>
      </w:r>
      <w:r w:rsidR="00FF0435" w:rsidRPr="00FF0435">
        <w:rPr>
          <w:rFonts w:ascii="Times" w:eastAsia="Times New Roman" w:hAnsi="Times" w:cs="Arial"/>
          <w:color w:val="000000"/>
        </w:rPr>
        <w:t xml:space="preserve"> conducted at four unique field sites on two farms in Western Minnesota, within the counties of Wilkin and Swift (Table 1). Locations were determined based on previous soybean IDC history provided by farmers’ cooperators’ knowledge. Planting the same trial within a farm field with varying IDC intensities </w:t>
      </w:r>
      <w:r>
        <w:rPr>
          <w:rFonts w:ascii="Times" w:eastAsia="Times New Roman" w:hAnsi="Times" w:cs="Arial"/>
          <w:color w:val="000000"/>
        </w:rPr>
        <w:t>was</w:t>
      </w:r>
      <w:r w:rsidR="00FF0435" w:rsidRPr="00FF0435">
        <w:rPr>
          <w:rFonts w:ascii="Times" w:eastAsia="Times New Roman" w:hAnsi="Times" w:cs="Arial"/>
          <w:color w:val="000000"/>
        </w:rPr>
        <w:t xml:space="preserve"> needed to determine whether </w:t>
      </w:r>
      <w:r w:rsidR="00FF0435" w:rsidRPr="00FF0435">
        <w:rPr>
          <w:rFonts w:ascii="Times" w:eastAsia="Times New Roman" w:hAnsi="Times" w:cs="Arial"/>
          <w:color w:val="000000"/>
        </w:rPr>
        <w:lastRenderedPageBreak/>
        <w:t xml:space="preserve">management strategies should be changed based on the severity of IDC. A list of activities performed </w:t>
      </w:r>
      <w:r>
        <w:rPr>
          <w:rFonts w:ascii="Times" w:eastAsia="Times New Roman" w:hAnsi="Times" w:cs="Arial"/>
          <w:color w:val="000000"/>
        </w:rPr>
        <w:t xml:space="preserve">during the 2022 growing season is listed below </w:t>
      </w:r>
      <w:r w:rsidR="00FF0435" w:rsidRPr="00FF0435">
        <w:rPr>
          <w:rFonts w:ascii="Times" w:eastAsia="Times New Roman" w:hAnsi="Times" w:cs="Arial"/>
          <w:color w:val="000000"/>
        </w:rPr>
        <w:t>(List 1).  </w:t>
      </w:r>
    </w:p>
    <w:p w14:paraId="5E1FD4E4" w14:textId="77777777" w:rsidR="00FF0435" w:rsidRPr="00FF0435" w:rsidRDefault="00FF0435" w:rsidP="00FF0435">
      <w:pPr>
        <w:spacing w:line="360" w:lineRule="auto"/>
        <w:ind w:left="360"/>
        <w:jc w:val="both"/>
        <w:rPr>
          <w:rFonts w:ascii="Times" w:eastAsia="Times New Roman" w:hAnsi="Times" w:cs="Times New Roman"/>
          <w:color w:val="000000"/>
        </w:rPr>
      </w:pPr>
      <w:r w:rsidRPr="00FF0435">
        <w:rPr>
          <w:rFonts w:ascii="Times" w:eastAsia="Times New Roman" w:hAnsi="Times" w:cs="Arial"/>
          <w:color w:val="000000"/>
        </w:rPr>
        <w:t> </w:t>
      </w:r>
    </w:p>
    <w:p w14:paraId="0637291D" w14:textId="77777777" w:rsidR="00FF0435" w:rsidRPr="00FF0435" w:rsidRDefault="00FF0435" w:rsidP="00FF0435">
      <w:pPr>
        <w:spacing w:line="360" w:lineRule="auto"/>
        <w:jc w:val="both"/>
        <w:rPr>
          <w:rFonts w:ascii="Times" w:eastAsia="Times New Roman" w:hAnsi="Times" w:cs="Times New Roman"/>
          <w:color w:val="000000"/>
        </w:rPr>
      </w:pPr>
      <w:r w:rsidRPr="00FF0435">
        <w:rPr>
          <w:rFonts w:ascii="Times" w:eastAsia="Times New Roman" w:hAnsi="Times" w:cs="Arial"/>
          <w:color w:val="000000"/>
        </w:rPr>
        <w:t>Table 1. Location, county, site, and field coordinates for all four unique sites planted at two locations in Western Minnesota.</w:t>
      </w:r>
    </w:p>
    <w:tbl>
      <w:tblPr>
        <w:tblW w:w="8643" w:type="dxa"/>
        <w:jc w:val="center"/>
        <w:tblCellMar>
          <w:top w:w="15" w:type="dxa"/>
          <w:left w:w="15" w:type="dxa"/>
          <w:bottom w:w="15" w:type="dxa"/>
          <w:right w:w="15" w:type="dxa"/>
        </w:tblCellMar>
        <w:tblLook w:val="04A0" w:firstRow="1" w:lastRow="0" w:firstColumn="1" w:lastColumn="0" w:noHBand="0" w:noVBand="1"/>
      </w:tblPr>
      <w:tblGrid>
        <w:gridCol w:w="2669"/>
        <w:gridCol w:w="1979"/>
        <w:gridCol w:w="3995"/>
      </w:tblGrid>
      <w:tr w:rsidR="00FF0435" w:rsidRPr="00FF0435" w14:paraId="00AB7615" w14:textId="77777777" w:rsidTr="00FF0435">
        <w:trPr>
          <w:trHeight w:val="155"/>
          <w:jc w:val="center"/>
        </w:trPr>
        <w:tc>
          <w:tcPr>
            <w:tcW w:w="0" w:type="auto"/>
            <w:tcBorders>
              <w:bottom w:val="single" w:sz="8" w:space="0" w:color="000000"/>
            </w:tcBorders>
            <w:tcMar>
              <w:top w:w="100" w:type="dxa"/>
              <w:left w:w="100" w:type="dxa"/>
              <w:bottom w:w="100" w:type="dxa"/>
              <w:right w:w="100" w:type="dxa"/>
            </w:tcMar>
            <w:hideMark/>
          </w:tcPr>
          <w:p w14:paraId="0D3101CC"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Location / County</w:t>
            </w:r>
          </w:p>
        </w:tc>
        <w:tc>
          <w:tcPr>
            <w:tcW w:w="0" w:type="auto"/>
            <w:tcBorders>
              <w:bottom w:val="single" w:sz="8" w:space="0" w:color="000000"/>
            </w:tcBorders>
            <w:tcMar>
              <w:top w:w="100" w:type="dxa"/>
              <w:left w:w="100" w:type="dxa"/>
              <w:bottom w:w="100" w:type="dxa"/>
              <w:right w:w="100" w:type="dxa"/>
            </w:tcMar>
            <w:hideMark/>
          </w:tcPr>
          <w:p w14:paraId="2C1EB4CB"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Site</w:t>
            </w:r>
          </w:p>
        </w:tc>
        <w:tc>
          <w:tcPr>
            <w:tcW w:w="0" w:type="auto"/>
            <w:tcBorders>
              <w:bottom w:val="single" w:sz="8" w:space="0" w:color="000000"/>
            </w:tcBorders>
            <w:tcMar>
              <w:top w:w="100" w:type="dxa"/>
              <w:left w:w="100" w:type="dxa"/>
              <w:bottom w:w="100" w:type="dxa"/>
              <w:right w:w="100" w:type="dxa"/>
            </w:tcMar>
            <w:hideMark/>
          </w:tcPr>
          <w:p w14:paraId="310AA6BD"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Field coordinates</w:t>
            </w:r>
          </w:p>
        </w:tc>
      </w:tr>
      <w:tr w:rsidR="00FF0435" w:rsidRPr="00FF0435" w14:paraId="3542FACB" w14:textId="77777777" w:rsidTr="00FF0435">
        <w:trPr>
          <w:trHeight w:val="155"/>
          <w:jc w:val="center"/>
        </w:trPr>
        <w:tc>
          <w:tcPr>
            <w:tcW w:w="0" w:type="auto"/>
            <w:tcBorders>
              <w:top w:val="single" w:sz="8" w:space="0" w:color="000000"/>
            </w:tcBorders>
            <w:tcMar>
              <w:top w:w="100" w:type="dxa"/>
              <w:left w:w="100" w:type="dxa"/>
              <w:bottom w:w="100" w:type="dxa"/>
              <w:right w:w="100" w:type="dxa"/>
            </w:tcMar>
            <w:vAlign w:val="bottom"/>
            <w:hideMark/>
          </w:tcPr>
          <w:p w14:paraId="4CDDB9CD" w14:textId="77777777" w:rsidR="00FF0435" w:rsidRPr="00FF0435" w:rsidRDefault="00FF0435" w:rsidP="00FF0435">
            <w:pPr>
              <w:jc w:val="center"/>
              <w:rPr>
                <w:rFonts w:ascii="Times" w:eastAsia="Times New Roman" w:hAnsi="Times" w:cs="Times New Roman"/>
              </w:rPr>
            </w:pPr>
            <w:proofErr w:type="spellStart"/>
            <w:r w:rsidRPr="00FF0435">
              <w:rPr>
                <w:rFonts w:ascii="Times" w:eastAsia="Times New Roman" w:hAnsi="Times" w:cs="Arial"/>
                <w:color w:val="000000"/>
              </w:rPr>
              <w:t>Foxhome</w:t>
            </w:r>
            <w:proofErr w:type="spellEnd"/>
            <w:r w:rsidRPr="00FF0435">
              <w:rPr>
                <w:rFonts w:ascii="Times" w:eastAsia="Times New Roman" w:hAnsi="Times" w:cs="Arial"/>
                <w:color w:val="000000"/>
              </w:rPr>
              <w:t xml:space="preserve"> / Wilkin</w:t>
            </w:r>
          </w:p>
        </w:tc>
        <w:tc>
          <w:tcPr>
            <w:tcW w:w="0" w:type="auto"/>
            <w:tcBorders>
              <w:top w:val="single" w:sz="8" w:space="0" w:color="000000"/>
            </w:tcBorders>
            <w:tcMar>
              <w:top w:w="100" w:type="dxa"/>
              <w:left w:w="100" w:type="dxa"/>
              <w:bottom w:w="100" w:type="dxa"/>
              <w:right w:w="100" w:type="dxa"/>
            </w:tcMar>
            <w:vAlign w:val="bottom"/>
            <w:hideMark/>
          </w:tcPr>
          <w:p w14:paraId="712DD3D3"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Hotspot</w:t>
            </w:r>
          </w:p>
        </w:tc>
        <w:tc>
          <w:tcPr>
            <w:tcW w:w="0" w:type="auto"/>
            <w:tcBorders>
              <w:top w:val="single" w:sz="8" w:space="0" w:color="000000"/>
            </w:tcBorders>
            <w:tcMar>
              <w:top w:w="100" w:type="dxa"/>
              <w:left w:w="100" w:type="dxa"/>
              <w:bottom w:w="100" w:type="dxa"/>
              <w:right w:w="100" w:type="dxa"/>
            </w:tcMar>
            <w:vAlign w:val="bottom"/>
            <w:hideMark/>
          </w:tcPr>
          <w:p w14:paraId="06242F9B"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46°20'00.3"N 96°25'10.9"W</w:t>
            </w:r>
          </w:p>
        </w:tc>
      </w:tr>
      <w:tr w:rsidR="00FF0435" w:rsidRPr="00FF0435" w14:paraId="54B58446" w14:textId="77777777" w:rsidTr="00FF0435">
        <w:trPr>
          <w:trHeight w:val="155"/>
          <w:jc w:val="center"/>
        </w:trPr>
        <w:tc>
          <w:tcPr>
            <w:tcW w:w="0" w:type="auto"/>
            <w:tcMar>
              <w:top w:w="100" w:type="dxa"/>
              <w:left w:w="100" w:type="dxa"/>
              <w:bottom w:w="100" w:type="dxa"/>
              <w:right w:w="100" w:type="dxa"/>
            </w:tcMar>
            <w:vAlign w:val="bottom"/>
            <w:hideMark/>
          </w:tcPr>
          <w:p w14:paraId="659BFB09" w14:textId="77777777" w:rsidR="00FF0435" w:rsidRPr="00FF0435" w:rsidRDefault="00FF0435" w:rsidP="00FF0435">
            <w:pPr>
              <w:jc w:val="center"/>
              <w:rPr>
                <w:rFonts w:ascii="Times" w:eastAsia="Times New Roman" w:hAnsi="Times" w:cs="Times New Roman"/>
              </w:rPr>
            </w:pPr>
            <w:proofErr w:type="spellStart"/>
            <w:r w:rsidRPr="00FF0435">
              <w:rPr>
                <w:rFonts w:ascii="Times" w:eastAsia="Times New Roman" w:hAnsi="Times" w:cs="Arial"/>
                <w:color w:val="000000"/>
              </w:rPr>
              <w:t>Foxhome</w:t>
            </w:r>
            <w:proofErr w:type="spellEnd"/>
            <w:r w:rsidRPr="00FF0435">
              <w:rPr>
                <w:rFonts w:ascii="Times" w:eastAsia="Times New Roman" w:hAnsi="Times" w:cs="Arial"/>
                <w:color w:val="000000"/>
              </w:rPr>
              <w:t xml:space="preserve"> / Wilkin</w:t>
            </w:r>
          </w:p>
        </w:tc>
        <w:tc>
          <w:tcPr>
            <w:tcW w:w="0" w:type="auto"/>
            <w:tcMar>
              <w:top w:w="100" w:type="dxa"/>
              <w:left w:w="100" w:type="dxa"/>
              <w:bottom w:w="100" w:type="dxa"/>
              <w:right w:w="100" w:type="dxa"/>
            </w:tcMar>
            <w:vAlign w:val="bottom"/>
            <w:hideMark/>
          </w:tcPr>
          <w:p w14:paraId="2BFA7870"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Non-Hotspot</w:t>
            </w:r>
          </w:p>
        </w:tc>
        <w:tc>
          <w:tcPr>
            <w:tcW w:w="0" w:type="auto"/>
            <w:tcMar>
              <w:top w:w="100" w:type="dxa"/>
              <w:left w:w="100" w:type="dxa"/>
              <w:bottom w:w="100" w:type="dxa"/>
              <w:right w:w="100" w:type="dxa"/>
            </w:tcMar>
            <w:vAlign w:val="bottom"/>
            <w:hideMark/>
          </w:tcPr>
          <w:p w14:paraId="42EB374E"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46°20'00.6"N 96°25'00.9"W</w:t>
            </w:r>
          </w:p>
        </w:tc>
      </w:tr>
      <w:tr w:rsidR="00FF0435" w:rsidRPr="00FF0435" w14:paraId="75B10B01" w14:textId="77777777" w:rsidTr="00FF0435">
        <w:trPr>
          <w:trHeight w:val="155"/>
          <w:jc w:val="center"/>
        </w:trPr>
        <w:tc>
          <w:tcPr>
            <w:tcW w:w="0" w:type="auto"/>
            <w:tcMar>
              <w:top w:w="100" w:type="dxa"/>
              <w:left w:w="100" w:type="dxa"/>
              <w:bottom w:w="100" w:type="dxa"/>
              <w:right w:w="100" w:type="dxa"/>
            </w:tcMar>
            <w:vAlign w:val="bottom"/>
            <w:hideMark/>
          </w:tcPr>
          <w:p w14:paraId="52A06292"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Danvers / Swift</w:t>
            </w:r>
          </w:p>
        </w:tc>
        <w:tc>
          <w:tcPr>
            <w:tcW w:w="0" w:type="auto"/>
            <w:tcMar>
              <w:top w:w="100" w:type="dxa"/>
              <w:left w:w="100" w:type="dxa"/>
              <w:bottom w:w="100" w:type="dxa"/>
              <w:right w:w="100" w:type="dxa"/>
            </w:tcMar>
            <w:vAlign w:val="bottom"/>
            <w:hideMark/>
          </w:tcPr>
          <w:p w14:paraId="6DF25F84"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Hotspot</w:t>
            </w:r>
          </w:p>
        </w:tc>
        <w:tc>
          <w:tcPr>
            <w:tcW w:w="0" w:type="auto"/>
            <w:tcMar>
              <w:top w:w="100" w:type="dxa"/>
              <w:left w:w="100" w:type="dxa"/>
              <w:bottom w:w="100" w:type="dxa"/>
              <w:right w:w="100" w:type="dxa"/>
            </w:tcMar>
            <w:vAlign w:val="bottom"/>
            <w:hideMark/>
          </w:tcPr>
          <w:p w14:paraId="06473B0D"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45°15'18.2"N 95°41'38.8"W</w:t>
            </w:r>
          </w:p>
        </w:tc>
      </w:tr>
      <w:tr w:rsidR="00FF0435" w:rsidRPr="00FF0435" w14:paraId="54688BEE" w14:textId="77777777" w:rsidTr="00FF0435">
        <w:trPr>
          <w:trHeight w:val="155"/>
          <w:jc w:val="center"/>
        </w:trPr>
        <w:tc>
          <w:tcPr>
            <w:tcW w:w="0" w:type="auto"/>
            <w:tcBorders>
              <w:bottom w:val="single" w:sz="8" w:space="0" w:color="000000"/>
            </w:tcBorders>
            <w:tcMar>
              <w:top w:w="100" w:type="dxa"/>
              <w:left w:w="100" w:type="dxa"/>
              <w:bottom w:w="100" w:type="dxa"/>
              <w:right w:w="100" w:type="dxa"/>
            </w:tcMar>
            <w:vAlign w:val="bottom"/>
            <w:hideMark/>
          </w:tcPr>
          <w:p w14:paraId="240028CA"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Danvers / Swift</w:t>
            </w:r>
          </w:p>
        </w:tc>
        <w:tc>
          <w:tcPr>
            <w:tcW w:w="0" w:type="auto"/>
            <w:tcBorders>
              <w:bottom w:val="single" w:sz="8" w:space="0" w:color="000000"/>
            </w:tcBorders>
            <w:tcMar>
              <w:top w:w="100" w:type="dxa"/>
              <w:left w:w="100" w:type="dxa"/>
              <w:bottom w:w="100" w:type="dxa"/>
              <w:right w:w="100" w:type="dxa"/>
            </w:tcMar>
            <w:vAlign w:val="bottom"/>
            <w:hideMark/>
          </w:tcPr>
          <w:p w14:paraId="352997F0"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Non-Hotspot</w:t>
            </w:r>
          </w:p>
        </w:tc>
        <w:tc>
          <w:tcPr>
            <w:tcW w:w="0" w:type="auto"/>
            <w:tcBorders>
              <w:bottom w:val="single" w:sz="8" w:space="0" w:color="000000"/>
            </w:tcBorders>
            <w:tcMar>
              <w:top w:w="100" w:type="dxa"/>
              <w:left w:w="100" w:type="dxa"/>
              <w:bottom w:w="100" w:type="dxa"/>
              <w:right w:w="100" w:type="dxa"/>
            </w:tcMar>
            <w:vAlign w:val="bottom"/>
            <w:hideMark/>
          </w:tcPr>
          <w:p w14:paraId="17B6A1C4" w14:textId="77777777" w:rsidR="00FF0435" w:rsidRPr="00FF0435" w:rsidRDefault="00FF0435" w:rsidP="00FF0435">
            <w:pPr>
              <w:jc w:val="center"/>
              <w:rPr>
                <w:rFonts w:ascii="Times" w:eastAsia="Times New Roman" w:hAnsi="Times" w:cs="Times New Roman"/>
              </w:rPr>
            </w:pPr>
            <w:r w:rsidRPr="00FF0435">
              <w:rPr>
                <w:rFonts w:ascii="Times" w:eastAsia="Times New Roman" w:hAnsi="Times" w:cs="Arial"/>
                <w:color w:val="000000"/>
              </w:rPr>
              <w:t>45°15'28.0"N 95°41'39.1"W</w:t>
            </w:r>
          </w:p>
        </w:tc>
      </w:tr>
    </w:tbl>
    <w:p w14:paraId="49CD1E59" w14:textId="77777777" w:rsidR="00FF0435" w:rsidRPr="00FF0435" w:rsidRDefault="00FF0435" w:rsidP="00FF0435">
      <w:pPr>
        <w:spacing w:line="360" w:lineRule="auto"/>
        <w:jc w:val="both"/>
        <w:rPr>
          <w:rFonts w:ascii="Times" w:eastAsia="Times New Roman" w:hAnsi="Times" w:cs="Times New Roman"/>
          <w:color w:val="000000"/>
        </w:rPr>
      </w:pPr>
      <w:r w:rsidRPr="00FF0435">
        <w:rPr>
          <w:rFonts w:ascii="Times" w:eastAsia="Times New Roman" w:hAnsi="Times" w:cs="Arial"/>
          <w:b/>
          <w:bCs/>
          <w:color w:val="000000"/>
        </w:rPr>
        <w:t> </w:t>
      </w:r>
    </w:p>
    <w:p w14:paraId="5D1223F5" w14:textId="61962D5D" w:rsidR="00FF0435" w:rsidRPr="00FF0435" w:rsidRDefault="00FF0435" w:rsidP="00FF0435">
      <w:pPr>
        <w:spacing w:line="360" w:lineRule="auto"/>
        <w:jc w:val="both"/>
        <w:rPr>
          <w:rFonts w:ascii="Times" w:eastAsia="Times New Roman" w:hAnsi="Times" w:cs="Times New Roman"/>
          <w:color w:val="000000"/>
        </w:rPr>
      </w:pPr>
      <w:r w:rsidRPr="00FF0435">
        <w:rPr>
          <w:rFonts w:ascii="Times" w:eastAsia="Times New Roman" w:hAnsi="Times" w:cs="Arial"/>
          <w:color w:val="000000"/>
        </w:rPr>
        <w:t xml:space="preserve">List 1. List of activities performed </w:t>
      </w:r>
      <w:r w:rsidR="00B9534B">
        <w:rPr>
          <w:rFonts w:ascii="Times" w:eastAsia="Times New Roman" w:hAnsi="Times" w:cs="Arial"/>
          <w:color w:val="000000"/>
        </w:rPr>
        <w:t>during the 2022 growing season</w:t>
      </w:r>
      <w:r w:rsidRPr="00FF0435">
        <w:rPr>
          <w:rFonts w:ascii="Times" w:eastAsia="Times New Roman" w:hAnsi="Times" w:cs="Arial"/>
          <w:color w:val="000000"/>
        </w:rPr>
        <w:t>:</w:t>
      </w:r>
    </w:p>
    <w:p w14:paraId="1BFA4FDD" w14:textId="56BE1B50" w:rsidR="00FF0435" w:rsidRPr="00FF0435" w:rsidRDefault="00FF0435" w:rsidP="00FF0435">
      <w:pPr>
        <w:pStyle w:val="ListParagraph"/>
        <w:numPr>
          <w:ilvl w:val="0"/>
          <w:numId w:val="4"/>
        </w:numPr>
        <w:spacing w:line="360" w:lineRule="auto"/>
        <w:jc w:val="both"/>
        <w:rPr>
          <w:rFonts w:ascii="Times" w:eastAsia="Times New Roman" w:hAnsi="Times" w:cs="Times New Roman"/>
          <w:color w:val="000000"/>
        </w:rPr>
      </w:pPr>
      <w:r w:rsidRPr="00FF0435">
        <w:rPr>
          <w:rFonts w:ascii="Times" w:eastAsia="Times New Roman" w:hAnsi="Times" w:cs="Arial"/>
          <w:b/>
          <w:bCs/>
          <w:i/>
          <w:iCs/>
          <w:color w:val="000000"/>
        </w:rPr>
        <w:t>Planting and treatment application:</w:t>
      </w:r>
      <w:r w:rsidRPr="00FF0435">
        <w:rPr>
          <w:rFonts w:ascii="Times" w:eastAsia="Times New Roman" w:hAnsi="Times" w:cs="Arial"/>
          <w:b/>
          <w:bCs/>
          <w:color w:val="000000"/>
        </w:rPr>
        <w:t xml:space="preserve"> </w:t>
      </w:r>
      <w:r w:rsidRPr="00FF0435">
        <w:rPr>
          <w:rFonts w:ascii="Times" w:eastAsia="Times New Roman" w:hAnsi="Times" w:cs="Arial"/>
          <w:color w:val="000000"/>
        </w:rPr>
        <w:t xml:space="preserve">05/28/22 at </w:t>
      </w:r>
      <w:proofErr w:type="spellStart"/>
      <w:r w:rsidRPr="00FF0435">
        <w:rPr>
          <w:rFonts w:ascii="Times" w:eastAsia="Times New Roman" w:hAnsi="Times" w:cs="Arial"/>
          <w:color w:val="000000"/>
        </w:rPr>
        <w:t>Foxhome</w:t>
      </w:r>
      <w:proofErr w:type="spellEnd"/>
      <w:r w:rsidRPr="00FF0435">
        <w:rPr>
          <w:rFonts w:ascii="Times" w:eastAsia="Times New Roman" w:hAnsi="Times" w:cs="Arial"/>
          <w:color w:val="000000"/>
        </w:rPr>
        <w:t xml:space="preserve"> and 06/03/22 at Danvers. The Iron Chelate (trade name </w:t>
      </w:r>
      <w:proofErr w:type="spellStart"/>
      <w:r w:rsidRPr="00FF0435">
        <w:rPr>
          <w:rFonts w:ascii="Times" w:eastAsia="Times New Roman" w:hAnsi="Times" w:cs="Arial"/>
          <w:color w:val="000000"/>
        </w:rPr>
        <w:t>Soygreen</w:t>
      </w:r>
      <w:proofErr w:type="spellEnd"/>
      <w:r w:rsidR="003633B3">
        <w:rPr>
          <w:rFonts w:ascii="Times" w:eastAsia="Times New Roman" w:hAnsi="Times" w:cs="Arial"/>
          <w:color w:val="000000"/>
        </w:rPr>
        <w:sym w:font="Symbol" w:char="F0E2"/>
      </w:r>
      <w:r w:rsidRPr="00FF0435">
        <w:rPr>
          <w:rFonts w:ascii="Times" w:eastAsia="Times New Roman" w:hAnsi="Times" w:cs="Arial"/>
          <w:color w:val="000000"/>
        </w:rPr>
        <w:t xml:space="preserve"> AST) was applied in-furrow at the time of planting. Nitrogen (1 lb. urea</w:t>
      </w:r>
      <w:r w:rsidR="003633B3">
        <w:rPr>
          <w:rFonts w:ascii="Times" w:eastAsia="Times New Roman" w:hAnsi="Times" w:cs="Arial"/>
          <w:color w:val="000000"/>
        </w:rPr>
        <w:t xml:space="preserve"> </w:t>
      </w:r>
      <w:r w:rsidRPr="00FF0435">
        <w:rPr>
          <w:rFonts w:ascii="Times" w:eastAsia="Times New Roman" w:hAnsi="Times" w:cs="Arial"/>
          <w:color w:val="000000"/>
        </w:rPr>
        <w:t>plot</w:t>
      </w:r>
      <w:r w:rsidR="003633B3" w:rsidRPr="003633B3">
        <w:rPr>
          <w:rFonts w:ascii="Times" w:eastAsia="Times New Roman" w:hAnsi="Times" w:cs="Arial"/>
          <w:color w:val="000000"/>
          <w:vertAlign w:val="superscript"/>
        </w:rPr>
        <w:t>-1</w:t>
      </w:r>
      <w:r w:rsidRPr="00FF0435">
        <w:rPr>
          <w:rFonts w:ascii="Times" w:eastAsia="Times New Roman" w:hAnsi="Times" w:cs="Arial"/>
          <w:color w:val="000000"/>
        </w:rPr>
        <w:t>) was manually applied on-furrow at planting as well.</w:t>
      </w:r>
    </w:p>
    <w:p w14:paraId="6CD68D4D" w14:textId="5590E2D3" w:rsidR="00FF0435" w:rsidRPr="00FF0435" w:rsidRDefault="00FF0435" w:rsidP="00FF0435">
      <w:pPr>
        <w:pStyle w:val="ListParagraph"/>
        <w:numPr>
          <w:ilvl w:val="0"/>
          <w:numId w:val="4"/>
        </w:numPr>
        <w:spacing w:line="360" w:lineRule="auto"/>
        <w:jc w:val="both"/>
        <w:rPr>
          <w:rFonts w:ascii="Times" w:eastAsia="Times New Roman" w:hAnsi="Times" w:cs="Times New Roman"/>
          <w:color w:val="000000"/>
        </w:rPr>
      </w:pPr>
      <w:r w:rsidRPr="00FF0435">
        <w:rPr>
          <w:rFonts w:ascii="Times" w:eastAsia="Times New Roman" w:hAnsi="Times" w:cs="Arial"/>
          <w:b/>
          <w:bCs/>
          <w:i/>
          <w:iCs/>
          <w:color w:val="000000"/>
        </w:rPr>
        <w:t>Soil sampling:</w:t>
      </w:r>
      <w:r w:rsidRPr="00FF0435">
        <w:rPr>
          <w:rFonts w:ascii="Times" w:eastAsia="Times New Roman" w:hAnsi="Times" w:cs="Arial"/>
          <w:color w:val="000000"/>
        </w:rPr>
        <w:t xml:space="preserve"> On 05/28/22 at </w:t>
      </w:r>
      <w:proofErr w:type="spellStart"/>
      <w:r w:rsidRPr="00FF0435">
        <w:rPr>
          <w:rFonts w:ascii="Times" w:eastAsia="Times New Roman" w:hAnsi="Times" w:cs="Arial"/>
          <w:color w:val="000000"/>
        </w:rPr>
        <w:t>Foxhome</w:t>
      </w:r>
      <w:proofErr w:type="spellEnd"/>
      <w:r w:rsidRPr="00FF0435">
        <w:rPr>
          <w:rFonts w:ascii="Times" w:eastAsia="Times New Roman" w:hAnsi="Times" w:cs="Arial"/>
          <w:color w:val="000000"/>
        </w:rPr>
        <w:t xml:space="preserve"> and 06/03/22 at Danvers. A total of 32 soil samples were collected for common soil chemical factors and nematode egg counts (SCN).</w:t>
      </w:r>
    </w:p>
    <w:p w14:paraId="7DF7AFC4" w14:textId="42EEB9EC" w:rsidR="00FF0435" w:rsidRPr="00FF0435" w:rsidRDefault="00FF0435" w:rsidP="00FF0435">
      <w:pPr>
        <w:pStyle w:val="ListParagraph"/>
        <w:numPr>
          <w:ilvl w:val="0"/>
          <w:numId w:val="4"/>
        </w:numPr>
        <w:spacing w:line="360" w:lineRule="auto"/>
        <w:jc w:val="both"/>
        <w:rPr>
          <w:rFonts w:ascii="Times" w:eastAsia="Times New Roman" w:hAnsi="Times" w:cs="Times New Roman"/>
          <w:color w:val="000000"/>
        </w:rPr>
      </w:pPr>
      <w:r w:rsidRPr="00FF0435">
        <w:rPr>
          <w:rFonts w:ascii="Times" w:eastAsia="Times New Roman" w:hAnsi="Times" w:cs="Arial"/>
          <w:b/>
          <w:bCs/>
          <w:i/>
          <w:iCs/>
          <w:color w:val="000000"/>
        </w:rPr>
        <w:t>Weather data collection:</w:t>
      </w:r>
      <w:r w:rsidRPr="00FF0435">
        <w:rPr>
          <w:rFonts w:ascii="Times" w:eastAsia="Times New Roman" w:hAnsi="Times" w:cs="Arial"/>
          <w:color w:val="000000"/>
        </w:rPr>
        <w:t xml:space="preserve"> Weather stations were installed at each location at the time of planting. Weather stations </w:t>
      </w:r>
      <w:r w:rsidR="003633B3">
        <w:rPr>
          <w:rFonts w:ascii="Times" w:eastAsia="Times New Roman" w:hAnsi="Times" w:cs="Arial"/>
          <w:color w:val="000000"/>
        </w:rPr>
        <w:t>were</w:t>
      </w:r>
      <w:r w:rsidRPr="00FF0435">
        <w:rPr>
          <w:rFonts w:ascii="Times" w:eastAsia="Times New Roman" w:hAnsi="Times" w:cs="Arial"/>
          <w:color w:val="000000"/>
        </w:rPr>
        <w:t xml:space="preserve"> checked weekly and remain</w:t>
      </w:r>
      <w:r w:rsidR="003633B3">
        <w:rPr>
          <w:rFonts w:ascii="Times" w:eastAsia="Times New Roman" w:hAnsi="Times" w:cs="Arial"/>
          <w:color w:val="000000"/>
        </w:rPr>
        <w:t xml:space="preserve">ed </w:t>
      </w:r>
      <w:r w:rsidRPr="00FF0435">
        <w:rPr>
          <w:rFonts w:ascii="Times" w:eastAsia="Times New Roman" w:hAnsi="Times" w:cs="Arial"/>
          <w:color w:val="000000"/>
        </w:rPr>
        <w:t>in the field until harvest. </w:t>
      </w:r>
    </w:p>
    <w:p w14:paraId="6B3103EB" w14:textId="77777777" w:rsidR="00FF0435" w:rsidRPr="00FF0435" w:rsidRDefault="00FF0435" w:rsidP="00FF0435">
      <w:pPr>
        <w:pStyle w:val="ListParagraph"/>
        <w:numPr>
          <w:ilvl w:val="0"/>
          <w:numId w:val="4"/>
        </w:numPr>
        <w:spacing w:line="360" w:lineRule="auto"/>
        <w:jc w:val="both"/>
        <w:rPr>
          <w:rFonts w:ascii="Times" w:eastAsia="Times New Roman" w:hAnsi="Times" w:cs="Times New Roman"/>
          <w:color w:val="000000"/>
        </w:rPr>
      </w:pPr>
      <w:r w:rsidRPr="00FF0435">
        <w:rPr>
          <w:rFonts w:ascii="Times" w:eastAsia="Times New Roman" w:hAnsi="Times" w:cs="Arial"/>
          <w:b/>
          <w:bCs/>
          <w:i/>
          <w:iCs/>
          <w:color w:val="000000"/>
        </w:rPr>
        <w:t>Field maintenance (weed control) and growth stages record keeping:</w:t>
      </w:r>
      <w:r w:rsidRPr="00FF0435">
        <w:rPr>
          <w:rFonts w:ascii="Times" w:eastAsia="Times New Roman" w:hAnsi="Times" w:cs="Arial"/>
          <w:color w:val="000000"/>
        </w:rPr>
        <w:t xml:space="preserve"> On a weekly basis after planting. At </w:t>
      </w:r>
      <w:proofErr w:type="spellStart"/>
      <w:r w:rsidRPr="00FF0435">
        <w:rPr>
          <w:rFonts w:ascii="Times" w:eastAsia="Times New Roman" w:hAnsi="Times" w:cs="Arial"/>
          <w:color w:val="000000"/>
        </w:rPr>
        <w:t>Foxhome</w:t>
      </w:r>
      <w:proofErr w:type="spellEnd"/>
      <w:r w:rsidRPr="00FF0435">
        <w:rPr>
          <w:rFonts w:ascii="Times" w:eastAsia="Times New Roman" w:hAnsi="Times" w:cs="Arial"/>
          <w:color w:val="000000"/>
        </w:rPr>
        <w:t>, herbicide was sprayed only where there was a high density of weeds. Escapes and other weeds spread throughout the study were manually removed.</w:t>
      </w:r>
    </w:p>
    <w:p w14:paraId="16CAE29A" w14:textId="3920A44D" w:rsidR="00FF0435" w:rsidRPr="00FF0435" w:rsidRDefault="00FF0435" w:rsidP="00FF0435">
      <w:pPr>
        <w:pStyle w:val="ListParagraph"/>
        <w:numPr>
          <w:ilvl w:val="0"/>
          <w:numId w:val="4"/>
        </w:numPr>
        <w:spacing w:line="360" w:lineRule="auto"/>
        <w:jc w:val="both"/>
        <w:rPr>
          <w:rFonts w:ascii="Times" w:eastAsia="Times New Roman" w:hAnsi="Times" w:cs="Times New Roman"/>
          <w:color w:val="000000"/>
        </w:rPr>
      </w:pPr>
      <w:r w:rsidRPr="00FF0435">
        <w:rPr>
          <w:rFonts w:ascii="Times" w:eastAsia="Times New Roman" w:hAnsi="Times" w:cs="Arial"/>
          <w:b/>
          <w:bCs/>
          <w:i/>
          <w:iCs/>
          <w:color w:val="000000"/>
        </w:rPr>
        <w:t>IDC severity assessment including greenness scores (1 to 5 visual rating), drone imagery (using a multispectral sensor), and Crop Circle (</w:t>
      </w:r>
      <w:proofErr w:type="gramStart"/>
      <w:r w:rsidRPr="00FF0435">
        <w:rPr>
          <w:rFonts w:ascii="Times" w:eastAsia="Times New Roman" w:hAnsi="Times" w:cs="Arial"/>
          <w:b/>
          <w:bCs/>
          <w:i/>
          <w:iCs/>
          <w:color w:val="000000"/>
        </w:rPr>
        <w:t>ground-based</w:t>
      </w:r>
      <w:proofErr w:type="gramEnd"/>
      <w:r w:rsidRPr="00FF0435">
        <w:rPr>
          <w:rFonts w:ascii="Times" w:eastAsia="Times New Roman" w:hAnsi="Times" w:cs="Arial"/>
          <w:b/>
          <w:bCs/>
          <w:i/>
          <w:iCs/>
          <w:color w:val="000000"/>
        </w:rPr>
        <w:t xml:space="preserve"> NDVI and NDRE):</w:t>
      </w:r>
      <w:r w:rsidRPr="00FF0435">
        <w:rPr>
          <w:rFonts w:ascii="Times" w:eastAsia="Times New Roman" w:hAnsi="Times" w:cs="Arial"/>
          <w:color w:val="000000"/>
        </w:rPr>
        <w:t xml:space="preserve"> On a weekly basis after symptoms started to appear (V2). </w:t>
      </w:r>
      <w:r w:rsidR="003633B3">
        <w:rPr>
          <w:rFonts w:ascii="Times" w:eastAsia="Times New Roman" w:hAnsi="Times" w:cs="Arial"/>
          <w:color w:val="000000"/>
        </w:rPr>
        <w:t>Thus,</w:t>
      </w:r>
      <w:r w:rsidRPr="00FF0435">
        <w:rPr>
          <w:rFonts w:ascii="Times" w:eastAsia="Times New Roman" w:hAnsi="Times" w:cs="Arial"/>
          <w:color w:val="000000"/>
        </w:rPr>
        <w:t xml:space="preserve"> data was collected</w:t>
      </w:r>
      <w:r w:rsidR="003633B3">
        <w:rPr>
          <w:rFonts w:ascii="Times" w:eastAsia="Times New Roman" w:hAnsi="Times" w:cs="Arial"/>
          <w:color w:val="000000"/>
        </w:rPr>
        <w:t xml:space="preserve"> 1</w:t>
      </w:r>
      <w:r w:rsidR="008E331A">
        <w:rPr>
          <w:rFonts w:ascii="Times" w:eastAsia="Times New Roman" w:hAnsi="Times" w:cs="Arial"/>
          <w:color w:val="000000"/>
        </w:rPr>
        <w:t>0</w:t>
      </w:r>
      <w:r w:rsidRPr="00FF0435">
        <w:rPr>
          <w:rFonts w:ascii="Times" w:eastAsia="Times New Roman" w:hAnsi="Times" w:cs="Arial"/>
          <w:color w:val="000000"/>
        </w:rPr>
        <w:t xml:space="preserve"> times at </w:t>
      </w:r>
      <w:proofErr w:type="spellStart"/>
      <w:r w:rsidRPr="00FF0435">
        <w:rPr>
          <w:rFonts w:ascii="Times" w:eastAsia="Times New Roman" w:hAnsi="Times" w:cs="Arial"/>
          <w:color w:val="000000"/>
        </w:rPr>
        <w:t>Foxhome</w:t>
      </w:r>
      <w:proofErr w:type="spellEnd"/>
      <w:r w:rsidRPr="00FF0435">
        <w:rPr>
          <w:rFonts w:ascii="Times" w:eastAsia="Times New Roman" w:hAnsi="Times" w:cs="Arial"/>
          <w:color w:val="000000"/>
        </w:rPr>
        <w:t xml:space="preserve"> (6/22/22, 6/28/22, 7/5/22, 7/12/22, 7/21/22, 7/28/22, 8/3/22, 8/8/22, 8/1</w:t>
      </w:r>
      <w:r w:rsidR="003633B3">
        <w:rPr>
          <w:rFonts w:ascii="Times" w:eastAsia="Times New Roman" w:hAnsi="Times" w:cs="Arial"/>
          <w:color w:val="000000"/>
        </w:rPr>
        <w:t>6</w:t>
      </w:r>
      <w:r w:rsidRPr="00FF0435">
        <w:rPr>
          <w:rFonts w:ascii="Times" w:eastAsia="Times New Roman" w:hAnsi="Times" w:cs="Arial"/>
          <w:color w:val="000000"/>
        </w:rPr>
        <w:t>/22</w:t>
      </w:r>
      <w:r w:rsidR="003633B3">
        <w:rPr>
          <w:rFonts w:ascii="Times" w:eastAsia="Times New Roman" w:hAnsi="Times" w:cs="Arial"/>
          <w:color w:val="000000"/>
        </w:rPr>
        <w:t>, 9/13/22</w:t>
      </w:r>
      <w:r w:rsidRPr="00FF0435">
        <w:rPr>
          <w:rFonts w:ascii="Times" w:eastAsia="Times New Roman" w:hAnsi="Times" w:cs="Arial"/>
          <w:color w:val="000000"/>
        </w:rPr>
        <w:t xml:space="preserve">) and </w:t>
      </w:r>
      <w:r w:rsidR="003633B3">
        <w:rPr>
          <w:rFonts w:ascii="Times" w:eastAsia="Times New Roman" w:hAnsi="Times" w:cs="Arial"/>
          <w:color w:val="000000"/>
        </w:rPr>
        <w:t>9</w:t>
      </w:r>
      <w:r w:rsidRPr="00FF0435">
        <w:rPr>
          <w:rFonts w:ascii="Times" w:eastAsia="Times New Roman" w:hAnsi="Times" w:cs="Arial"/>
          <w:color w:val="000000"/>
        </w:rPr>
        <w:t xml:space="preserve"> times at Danvers (</w:t>
      </w:r>
      <w:r w:rsidR="003633B3">
        <w:rPr>
          <w:rFonts w:ascii="Times" w:eastAsia="Times New Roman" w:hAnsi="Times" w:cs="Arial"/>
          <w:color w:val="000000"/>
        </w:rPr>
        <w:t xml:space="preserve">6/22/22, </w:t>
      </w:r>
      <w:r w:rsidRPr="00FF0435">
        <w:rPr>
          <w:rFonts w:ascii="Times" w:eastAsia="Times New Roman" w:hAnsi="Times" w:cs="Arial"/>
          <w:color w:val="000000"/>
        </w:rPr>
        <w:t xml:space="preserve">6/28/22, </w:t>
      </w:r>
      <w:r w:rsidR="008E331A">
        <w:rPr>
          <w:rFonts w:ascii="Times" w:eastAsia="Times New Roman" w:hAnsi="Times" w:cs="Arial"/>
          <w:color w:val="000000"/>
        </w:rPr>
        <w:t xml:space="preserve">7/05/22, </w:t>
      </w:r>
      <w:r w:rsidRPr="00FF0435">
        <w:rPr>
          <w:rFonts w:ascii="Times" w:eastAsia="Times New Roman" w:hAnsi="Times" w:cs="Arial"/>
          <w:color w:val="000000"/>
        </w:rPr>
        <w:t xml:space="preserve">7/19/22, 7/28/22, 8/3/22, 8/8/22, 8/16/22, </w:t>
      </w:r>
      <w:r w:rsidR="008E331A">
        <w:rPr>
          <w:rFonts w:ascii="Times" w:eastAsia="Times New Roman" w:hAnsi="Times" w:cs="Arial"/>
          <w:color w:val="000000"/>
        </w:rPr>
        <w:t xml:space="preserve">and </w:t>
      </w:r>
      <w:r w:rsidRPr="00FF0435">
        <w:rPr>
          <w:rFonts w:ascii="Times" w:eastAsia="Times New Roman" w:hAnsi="Times" w:cs="Arial"/>
          <w:color w:val="000000"/>
        </w:rPr>
        <w:t>8/23/22).</w:t>
      </w:r>
    </w:p>
    <w:p w14:paraId="0063EED6" w14:textId="3B29326C" w:rsidR="00FF0435" w:rsidRPr="00FF0435" w:rsidRDefault="00FF0435" w:rsidP="00FF0435">
      <w:pPr>
        <w:pStyle w:val="ListParagraph"/>
        <w:numPr>
          <w:ilvl w:val="0"/>
          <w:numId w:val="4"/>
        </w:numPr>
        <w:spacing w:line="360" w:lineRule="auto"/>
        <w:jc w:val="both"/>
        <w:rPr>
          <w:rFonts w:ascii="Times" w:eastAsia="Times New Roman" w:hAnsi="Times" w:cs="Times New Roman"/>
          <w:color w:val="000000"/>
        </w:rPr>
      </w:pPr>
      <w:r w:rsidRPr="00FF0435">
        <w:rPr>
          <w:rFonts w:ascii="Times" w:eastAsia="Times New Roman" w:hAnsi="Times" w:cs="Arial"/>
          <w:b/>
          <w:bCs/>
          <w:i/>
          <w:iCs/>
          <w:color w:val="000000"/>
        </w:rPr>
        <w:t>Ground Control Points (GCPs) installation:</w:t>
      </w:r>
      <w:r w:rsidRPr="00FF0435">
        <w:rPr>
          <w:rFonts w:ascii="Times" w:eastAsia="Times New Roman" w:hAnsi="Times" w:cs="Arial"/>
          <w:color w:val="000000"/>
        </w:rPr>
        <w:t xml:space="preserve"> Six GCPs were installed at each of the four field sites. GPS coordinates from each GCP were collected with a centimeter-level GPS </w:t>
      </w:r>
      <w:r w:rsidRPr="00FF0435">
        <w:rPr>
          <w:rFonts w:ascii="Times" w:eastAsia="Times New Roman" w:hAnsi="Times" w:cs="Arial"/>
          <w:color w:val="000000"/>
        </w:rPr>
        <w:lastRenderedPageBreak/>
        <w:t xml:space="preserve">and will be used for geometric calibration of point clouds and </w:t>
      </w:r>
      <w:proofErr w:type="spellStart"/>
      <w:r w:rsidRPr="00FF0435">
        <w:rPr>
          <w:rFonts w:ascii="Times" w:eastAsia="Times New Roman" w:hAnsi="Times" w:cs="Arial"/>
          <w:color w:val="000000"/>
        </w:rPr>
        <w:t>orthomosaics</w:t>
      </w:r>
      <w:proofErr w:type="spellEnd"/>
      <w:r w:rsidRPr="00FF0435">
        <w:rPr>
          <w:rFonts w:ascii="Times" w:eastAsia="Times New Roman" w:hAnsi="Times" w:cs="Arial"/>
          <w:color w:val="000000"/>
        </w:rPr>
        <w:t>. Done at both locations on 06/22/22. </w:t>
      </w:r>
    </w:p>
    <w:p w14:paraId="14CE46C3" w14:textId="3680370C" w:rsidR="00FF0435" w:rsidRPr="00FF0435" w:rsidRDefault="00FF0435" w:rsidP="00FF0435">
      <w:pPr>
        <w:pStyle w:val="ListParagraph"/>
        <w:numPr>
          <w:ilvl w:val="0"/>
          <w:numId w:val="4"/>
        </w:numPr>
        <w:spacing w:line="360" w:lineRule="auto"/>
        <w:jc w:val="both"/>
        <w:rPr>
          <w:rFonts w:ascii="Times" w:eastAsia="Times New Roman" w:hAnsi="Times" w:cs="Times New Roman"/>
          <w:color w:val="000000"/>
        </w:rPr>
      </w:pPr>
      <w:r w:rsidRPr="00FF0435">
        <w:rPr>
          <w:rFonts w:ascii="Times" w:eastAsia="Times New Roman" w:hAnsi="Times" w:cs="Arial"/>
          <w:b/>
          <w:bCs/>
          <w:i/>
          <w:iCs/>
          <w:color w:val="000000"/>
        </w:rPr>
        <w:t>Stand counts:</w:t>
      </w:r>
      <w:r w:rsidRPr="00FF0435">
        <w:rPr>
          <w:rFonts w:ascii="Times" w:eastAsia="Times New Roman" w:hAnsi="Times" w:cs="Arial"/>
          <w:color w:val="000000"/>
        </w:rPr>
        <w:t xml:space="preserve"> The number of plants in 1 linear meter (3.28 feet) was counted from the two central rows and was utilized to estimate plant population (plants/acre). On 6/28/22 at </w:t>
      </w:r>
      <w:proofErr w:type="spellStart"/>
      <w:r w:rsidRPr="00FF0435">
        <w:rPr>
          <w:rFonts w:ascii="Times" w:eastAsia="Times New Roman" w:hAnsi="Times" w:cs="Arial"/>
          <w:color w:val="000000"/>
        </w:rPr>
        <w:t>Foxhome</w:t>
      </w:r>
      <w:proofErr w:type="spellEnd"/>
      <w:r w:rsidRPr="00FF0435">
        <w:rPr>
          <w:rFonts w:ascii="Times" w:eastAsia="Times New Roman" w:hAnsi="Times" w:cs="Arial"/>
          <w:color w:val="000000"/>
        </w:rPr>
        <w:t>, and on 7/19/22 at Danvers.</w:t>
      </w:r>
    </w:p>
    <w:p w14:paraId="65DE3E0A" w14:textId="2F516C74" w:rsidR="00A54A48" w:rsidRPr="00A54A48" w:rsidRDefault="00FF0435" w:rsidP="00A54A48">
      <w:pPr>
        <w:pStyle w:val="ListParagraph"/>
        <w:numPr>
          <w:ilvl w:val="0"/>
          <w:numId w:val="4"/>
        </w:numPr>
        <w:spacing w:line="360" w:lineRule="auto"/>
        <w:jc w:val="both"/>
        <w:rPr>
          <w:rFonts w:ascii="Times" w:eastAsia="Times New Roman" w:hAnsi="Times" w:cs="Arial"/>
          <w:color w:val="000000"/>
        </w:rPr>
      </w:pPr>
      <w:r w:rsidRPr="00FF0435">
        <w:rPr>
          <w:rFonts w:ascii="Times" w:eastAsia="Times New Roman" w:hAnsi="Times" w:cs="Arial"/>
          <w:b/>
          <w:bCs/>
          <w:i/>
          <w:iCs/>
          <w:color w:val="000000"/>
        </w:rPr>
        <w:t>Plant height:</w:t>
      </w:r>
      <w:r w:rsidRPr="00FF0435">
        <w:rPr>
          <w:rFonts w:ascii="Times" w:eastAsia="Times New Roman" w:hAnsi="Times" w:cs="Arial"/>
          <w:color w:val="000000"/>
        </w:rPr>
        <w:t xml:space="preserve"> </w:t>
      </w:r>
      <w:r w:rsidR="00A54A48" w:rsidRPr="00A54A48">
        <w:rPr>
          <w:rFonts w:ascii="Times" w:eastAsia="Times New Roman" w:hAnsi="Times" w:cs="Arial"/>
          <w:color w:val="000000"/>
        </w:rPr>
        <w:t xml:space="preserve">Before harvest, plant height was measured as the distance (cm) from the soil surface to the tip of the apical meristem and recorded for 5 randomly selected plants from each plot. </w:t>
      </w:r>
      <w:proofErr w:type="spellStart"/>
      <w:r w:rsidR="00A54A48">
        <w:rPr>
          <w:rFonts w:ascii="Times" w:eastAsia="Times New Roman" w:hAnsi="Times" w:cs="Arial"/>
          <w:color w:val="000000"/>
        </w:rPr>
        <w:t>Foxhome</w:t>
      </w:r>
      <w:proofErr w:type="spellEnd"/>
      <w:r w:rsidR="00A54A48">
        <w:rPr>
          <w:rFonts w:ascii="Times" w:eastAsia="Times New Roman" w:hAnsi="Times" w:cs="Arial"/>
          <w:color w:val="000000"/>
        </w:rPr>
        <w:t xml:space="preserve"> (09/21/22) and Danvers</w:t>
      </w:r>
      <w:r w:rsidR="00EA2E2F">
        <w:rPr>
          <w:rFonts w:ascii="Times" w:eastAsia="Times New Roman" w:hAnsi="Times" w:cs="Arial"/>
          <w:color w:val="000000"/>
        </w:rPr>
        <w:t xml:space="preserve"> (10/04/22).</w:t>
      </w:r>
    </w:p>
    <w:p w14:paraId="0A9D2560" w14:textId="68E54EA5" w:rsidR="00FF0435" w:rsidRPr="00FF0435" w:rsidRDefault="00FF0435" w:rsidP="00FF0435">
      <w:pPr>
        <w:pStyle w:val="ListParagraph"/>
        <w:numPr>
          <w:ilvl w:val="0"/>
          <w:numId w:val="4"/>
        </w:numPr>
        <w:spacing w:line="360" w:lineRule="auto"/>
        <w:jc w:val="both"/>
        <w:rPr>
          <w:rFonts w:ascii="Times" w:eastAsia="Times New Roman" w:hAnsi="Times" w:cs="Times New Roman"/>
          <w:color w:val="000000"/>
        </w:rPr>
      </w:pPr>
      <w:r w:rsidRPr="00FF0435">
        <w:rPr>
          <w:rFonts w:ascii="Times" w:eastAsia="Times New Roman" w:hAnsi="Times" w:cs="Arial"/>
          <w:b/>
          <w:bCs/>
          <w:i/>
          <w:iCs/>
          <w:color w:val="000000"/>
        </w:rPr>
        <w:t>Harvest:</w:t>
      </w:r>
      <w:r w:rsidRPr="00FF0435">
        <w:rPr>
          <w:rFonts w:ascii="Times" w:eastAsia="Times New Roman" w:hAnsi="Times" w:cs="Arial"/>
          <w:color w:val="000000"/>
        </w:rPr>
        <w:t xml:space="preserve"> </w:t>
      </w:r>
      <w:r w:rsidR="00A54A48">
        <w:rPr>
          <w:rFonts w:ascii="Times" w:eastAsia="Times New Roman" w:hAnsi="Times" w:cs="Arial"/>
          <w:color w:val="000000"/>
        </w:rPr>
        <w:t>The two inner rows of each plot</w:t>
      </w:r>
      <w:r w:rsidRPr="00FF0435">
        <w:rPr>
          <w:rFonts w:ascii="Times" w:eastAsia="Times New Roman" w:hAnsi="Times" w:cs="Arial"/>
          <w:color w:val="000000"/>
        </w:rPr>
        <w:t xml:space="preserve"> </w:t>
      </w:r>
      <w:r w:rsidR="00B9534B">
        <w:rPr>
          <w:rFonts w:ascii="Times" w:eastAsia="Times New Roman" w:hAnsi="Times" w:cs="Arial"/>
          <w:color w:val="000000"/>
        </w:rPr>
        <w:t>were</w:t>
      </w:r>
      <w:r w:rsidRPr="00FF0435">
        <w:rPr>
          <w:rFonts w:ascii="Times" w:eastAsia="Times New Roman" w:hAnsi="Times" w:cs="Arial"/>
          <w:color w:val="000000"/>
        </w:rPr>
        <w:t xml:space="preserve"> harvested for grain yield estimation</w:t>
      </w:r>
      <w:r w:rsidR="00B9534B">
        <w:rPr>
          <w:rFonts w:ascii="Times" w:eastAsia="Times New Roman" w:hAnsi="Times" w:cs="Arial"/>
          <w:color w:val="000000"/>
        </w:rPr>
        <w:t xml:space="preserve"> (</w:t>
      </w:r>
      <w:proofErr w:type="spellStart"/>
      <w:r w:rsidR="00B9534B">
        <w:rPr>
          <w:rFonts w:ascii="Times" w:eastAsia="Times New Roman" w:hAnsi="Times" w:cs="Arial"/>
          <w:color w:val="000000"/>
        </w:rPr>
        <w:t>bu</w:t>
      </w:r>
      <w:proofErr w:type="spellEnd"/>
      <w:r w:rsidR="00B9534B">
        <w:rPr>
          <w:rFonts w:ascii="Times" w:eastAsia="Times New Roman" w:hAnsi="Times" w:cs="Arial"/>
          <w:color w:val="000000"/>
        </w:rPr>
        <w:t xml:space="preserve"> </w:t>
      </w:r>
      <w:proofErr w:type="gramStart"/>
      <w:r w:rsidR="00B9534B">
        <w:rPr>
          <w:rFonts w:ascii="Times" w:eastAsia="Times New Roman" w:hAnsi="Times" w:cs="Arial"/>
          <w:color w:val="000000"/>
        </w:rPr>
        <w:t>acre</w:t>
      </w:r>
      <w:r w:rsidR="00B9534B" w:rsidRPr="00A54A48">
        <w:rPr>
          <w:rFonts w:ascii="Times" w:eastAsia="Times New Roman" w:hAnsi="Times" w:cs="Arial"/>
          <w:color w:val="000000"/>
          <w:vertAlign w:val="superscript"/>
        </w:rPr>
        <w:t>-1</w:t>
      </w:r>
      <w:proofErr w:type="gramEnd"/>
      <w:r w:rsidR="00B9534B">
        <w:rPr>
          <w:rFonts w:ascii="Times" w:eastAsia="Times New Roman" w:hAnsi="Times" w:cs="Arial"/>
          <w:color w:val="000000"/>
        </w:rPr>
        <w:t>)</w:t>
      </w:r>
      <w:r w:rsidRPr="00FF0435">
        <w:rPr>
          <w:rFonts w:ascii="Times" w:eastAsia="Times New Roman" w:hAnsi="Times" w:cs="Arial"/>
          <w:color w:val="000000"/>
        </w:rPr>
        <w:t xml:space="preserve"> when plants reach</w:t>
      </w:r>
      <w:r w:rsidR="00B9534B">
        <w:rPr>
          <w:rFonts w:ascii="Times" w:eastAsia="Times New Roman" w:hAnsi="Times" w:cs="Arial"/>
          <w:color w:val="000000"/>
        </w:rPr>
        <w:t>ed</w:t>
      </w:r>
      <w:r w:rsidRPr="00FF0435">
        <w:rPr>
          <w:rFonts w:ascii="Times" w:eastAsia="Times New Roman" w:hAnsi="Times" w:cs="Arial"/>
          <w:color w:val="000000"/>
        </w:rPr>
        <w:t xml:space="preserve"> maturity (R8)</w:t>
      </w:r>
      <w:r w:rsidR="00A54A48">
        <w:rPr>
          <w:rFonts w:ascii="Times" w:eastAsia="Times New Roman" w:hAnsi="Times" w:cs="Arial"/>
          <w:color w:val="000000"/>
        </w:rPr>
        <w:t xml:space="preserve">: On 09/29/22 at </w:t>
      </w:r>
      <w:proofErr w:type="spellStart"/>
      <w:r w:rsidR="00A54A48">
        <w:rPr>
          <w:rFonts w:ascii="Times" w:eastAsia="Times New Roman" w:hAnsi="Times" w:cs="Arial"/>
          <w:color w:val="000000"/>
        </w:rPr>
        <w:t>Foxhome</w:t>
      </w:r>
      <w:proofErr w:type="spellEnd"/>
      <w:r w:rsidR="00A54A48">
        <w:rPr>
          <w:rFonts w:ascii="Times" w:eastAsia="Times New Roman" w:hAnsi="Times" w:cs="Arial"/>
          <w:color w:val="000000"/>
        </w:rPr>
        <w:t xml:space="preserve"> and on 12/13/22 at Danvers.</w:t>
      </w:r>
    </w:p>
    <w:p w14:paraId="49AF9224" w14:textId="44C88156" w:rsidR="00FF0435" w:rsidRPr="00FF0435" w:rsidRDefault="00FF0435" w:rsidP="00FF0435">
      <w:pPr>
        <w:pStyle w:val="ListParagraph"/>
        <w:numPr>
          <w:ilvl w:val="0"/>
          <w:numId w:val="4"/>
        </w:numPr>
        <w:spacing w:line="360" w:lineRule="auto"/>
        <w:jc w:val="both"/>
        <w:rPr>
          <w:rFonts w:ascii="Times" w:eastAsia="Times New Roman" w:hAnsi="Times" w:cs="Times New Roman"/>
          <w:color w:val="000000"/>
        </w:rPr>
      </w:pPr>
      <w:r w:rsidRPr="00FF0435">
        <w:rPr>
          <w:rFonts w:ascii="Times" w:eastAsia="Times New Roman" w:hAnsi="Times" w:cs="Arial"/>
          <w:b/>
          <w:bCs/>
          <w:i/>
          <w:iCs/>
          <w:color w:val="000000"/>
        </w:rPr>
        <w:t>Data analysis and interpretation:</w:t>
      </w:r>
      <w:r w:rsidRPr="00FF0435">
        <w:rPr>
          <w:rFonts w:ascii="Times" w:eastAsia="Times New Roman" w:hAnsi="Times" w:cs="Arial"/>
          <w:color w:val="000000"/>
        </w:rPr>
        <w:t xml:space="preserve"> </w:t>
      </w:r>
      <w:r w:rsidR="00B9534B">
        <w:rPr>
          <w:rFonts w:ascii="Times" w:eastAsia="Times New Roman" w:hAnsi="Times" w:cs="Arial"/>
          <w:color w:val="000000"/>
        </w:rPr>
        <w:t xml:space="preserve">October to </w:t>
      </w:r>
      <w:r w:rsidR="00EA2E2F">
        <w:rPr>
          <w:rFonts w:ascii="Times" w:eastAsia="Times New Roman" w:hAnsi="Times" w:cs="Arial"/>
          <w:color w:val="000000"/>
        </w:rPr>
        <w:t>November</w:t>
      </w:r>
      <w:r w:rsidR="00B9534B">
        <w:rPr>
          <w:rFonts w:ascii="Times" w:eastAsia="Times New Roman" w:hAnsi="Times" w:cs="Arial"/>
          <w:color w:val="000000"/>
        </w:rPr>
        <w:t xml:space="preserve"> 2022</w:t>
      </w:r>
      <w:r w:rsidRPr="00FF0435">
        <w:rPr>
          <w:rFonts w:ascii="Times" w:eastAsia="Times New Roman" w:hAnsi="Times" w:cs="Arial"/>
          <w:color w:val="000000"/>
        </w:rPr>
        <w:t>.</w:t>
      </w:r>
    </w:p>
    <w:p w14:paraId="6F8646BE" w14:textId="182CB8DD" w:rsidR="00FF0435" w:rsidRPr="00A563E2" w:rsidRDefault="00FF0435" w:rsidP="00FF0435">
      <w:pPr>
        <w:pStyle w:val="ListParagraph"/>
        <w:numPr>
          <w:ilvl w:val="0"/>
          <w:numId w:val="4"/>
        </w:numPr>
        <w:spacing w:line="360" w:lineRule="auto"/>
        <w:jc w:val="both"/>
        <w:rPr>
          <w:rFonts w:ascii="Times" w:eastAsia="Times New Roman" w:hAnsi="Times" w:cs="Times New Roman"/>
          <w:color w:val="000000"/>
        </w:rPr>
      </w:pPr>
      <w:r w:rsidRPr="00FF0435">
        <w:rPr>
          <w:rFonts w:ascii="Times" w:eastAsia="Times New Roman" w:hAnsi="Times" w:cs="Arial"/>
          <w:b/>
          <w:bCs/>
          <w:i/>
          <w:iCs/>
          <w:color w:val="000000"/>
        </w:rPr>
        <w:t>Prepare data summary and reports:</w:t>
      </w:r>
      <w:r w:rsidRPr="00FF0435">
        <w:rPr>
          <w:rFonts w:ascii="Times" w:eastAsia="Times New Roman" w:hAnsi="Times" w:cs="Arial"/>
          <w:color w:val="000000"/>
        </w:rPr>
        <w:t xml:space="preserve"> As of 2021, the results of this study </w:t>
      </w:r>
      <w:r w:rsidR="00B9534B">
        <w:rPr>
          <w:rFonts w:ascii="Times" w:eastAsia="Times New Roman" w:hAnsi="Times" w:cs="Arial"/>
          <w:color w:val="000000"/>
        </w:rPr>
        <w:t>were</w:t>
      </w:r>
      <w:r w:rsidRPr="00FF0435">
        <w:rPr>
          <w:rFonts w:ascii="Times" w:eastAsia="Times New Roman" w:hAnsi="Times" w:cs="Arial"/>
          <w:color w:val="000000"/>
        </w:rPr>
        <w:t xml:space="preserve"> presented at the ASA annual meeting </w:t>
      </w:r>
      <w:r w:rsidR="00B9534B">
        <w:rPr>
          <w:rFonts w:ascii="Times" w:eastAsia="Times New Roman" w:hAnsi="Times" w:cs="Arial"/>
          <w:color w:val="000000"/>
        </w:rPr>
        <w:t>in Baltimore/MD</w:t>
      </w:r>
      <w:r w:rsidRPr="00FF0435">
        <w:rPr>
          <w:rFonts w:ascii="Times" w:eastAsia="Times New Roman" w:hAnsi="Times" w:cs="Arial"/>
          <w:color w:val="000000"/>
        </w:rPr>
        <w:t>. </w:t>
      </w:r>
      <w:r w:rsidR="00B9534B">
        <w:rPr>
          <w:rFonts w:ascii="Times" w:eastAsia="Times New Roman" w:hAnsi="Times" w:cs="Arial"/>
          <w:color w:val="000000"/>
        </w:rPr>
        <w:t xml:space="preserve">The </w:t>
      </w:r>
      <w:r w:rsidR="00A54A48">
        <w:rPr>
          <w:rFonts w:ascii="Times" w:eastAsia="Times New Roman" w:hAnsi="Times" w:cs="Arial"/>
          <w:color w:val="000000"/>
        </w:rPr>
        <w:t xml:space="preserve">oral </w:t>
      </w:r>
      <w:r w:rsidR="00B9534B">
        <w:rPr>
          <w:rFonts w:ascii="Times" w:eastAsia="Times New Roman" w:hAnsi="Times" w:cs="Arial"/>
          <w:color w:val="000000"/>
        </w:rPr>
        <w:t>presentation from this study placed 1</w:t>
      </w:r>
      <w:r w:rsidR="00B9534B" w:rsidRPr="00B9534B">
        <w:rPr>
          <w:rFonts w:ascii="Times" w:eastAsia="Times New Roman" w:hAnsi="Times" w:cs="Arial"/>
          <w:color w:val="000000"/>
          <w:vertAlign w:val="superscript"/>
        </w:rPr>
        <w:t>st</w:t>
      </w:r>
      <w:r w:rsidR="00B9534B">
        <w:rPr>
          <w:rFonts w:ascii="Times" w:eastAsia="Times New Roman" w:hAnsi="Times" w:cs="Arial"/>
          <w:color w:val="000000"/>
        </w:rPr>
        <w:t xml:space="preserve"> in the Applied Soybean Research M.S. competition. </w:t>
      </w:r>
    </w:p>
    <w:p w14:paraId="06BCAB6A" w14:textId="3A9C5CAC" w:rsidR="00A563E2" w:rsidRPr="00B9534B" w:rsidRDefault="00A563E2" w:rsidP="00FF0435">
      <w:pPr>
        <w:pStyle w:val="ListParagraph"/>
        <w:numPr>
          <w:ilvl w:val="0"/>
          <w:numId w:val="4"/>
        </w:numPr>
        <w:spacing w:line="360" w:lineRule="auto"/>
        <w:jc w:val="both"/>
        <w:rPr>
          <w:rFonts w:ascii="Times" w:eastAsia="Times New Roman" w:hAnsi="Times" w:cs="Times New Roman"/>
          <w:color w:val="000000"/>
        </w:rPr>
      </w:pPr>
      <w:r>
        <w:rPr>
          <w:rFonts w:ascii="Times" w:eastAsia="Times New Roman" w:hAnsi="Times" w:cs="Arial"/>
          <w:b/>
          <w:bCs/>
          <w:i/>
          <w:iCs/>
          <w:color w:val="000000"/>
        </w:rPr>
        <w:t>Develop a model to estimate grain yield using drone imagery:</w:t>
      </w:r>
      <w:r>
        <w:rPr>
          <w:rFonts w:ascii="Times" w:eastAsia="Times New Roman" w:hAnsi="Times" w:cs="Times New Roman"/>
          <w:color w:val="000000"/>
        </w:rPr>
        <w:t xml:space="preserve"> yet to be done.</w:t>
      </w:r>
    </w:p>
    <w:p w14:paraId="5B177047" w14:textId="09117A0D" w:rsidR="00B9534B" w:rsidRDefault="00B9534B" w:rsidP="00B9534B">
      <w:pPr>
        <w:spacing w:line="360" w:lineRule="auto"/>
        <w:jc w:val="both"/>
        <w:rPr>
          <w:rFonts w:ascii="Times" w:eastAsia="Times New Roman" w:hAnsi="Times" w:cs="Times New Roman"/>
          <w:color w:val="000000"/>
        </w:rPr>
      </w:pPr>
    </w:p>
    <w:p w14:paraId="7E83F905" w14:textId="7291FCBF" w:rsidR="00B9534B" w:rsidRDefault="00B9534B" w:rsidP="00B9534B">
      <w:pPr>
        <w:spacing w:line="360" w:lineRule="auto"/>
        <w:jc w:val="both"/>
        <w:rPr>
          <w:rFonts w:ascii="Times" w:eastAsia="Times New Roman" w:hAnsi="Times" w:cs="Times New Roman"/>
          <w:b/>
          <w:bCs/>
          <w:color w:val="000000"/>
        </w:rPr>
      </w:pPr>
      <w:r w:rsidRPr="00B9534B">
        <w:rPr>
          <w:rFonts w:ascii="Times" w:eastAsia="Times New Roman" w:hAnsi="Times" w:cs="Times New Roman"/>
          <w:b/>
          <w:bCs/>
          <w:color w:val="000000"/>
        </w:rPr>
        <w:t>4. Preliminary results</w:t>
      </w:r>
    </w:p>
    <w:p w14:paraId="70D3257C" w14:textId="77777777" w:rsidR="00BC1FF7" w:rsidRDefault="00BC1FF7" w:rsidP="00B9534B">
      <w:pPr>
        <w:spacing w:line="360" w:lineRule="auto"/>
        <w:jc w:val="both"/>
        <w:rPr>
          <w:rFonts w:ascii="Times" w:eastAsia="Times New Roman" w:hAnsi="Times" w:cs="Times New Roman"/>
          <w:b/>
          <w:bCs/>
          <w:color w:val="000000"/>
        </w:rPr>
      </w:pPr>
      <w:r>
        <w:rPr>
          <w:rFonts w:ascii="Times" w:eastAsia="Times New Roman" w:hAnsi="Times" w:cs="Times New Roman"/>
          <w:b/>
          <w:bCs/>
          <w:color w:val="000000"/>
        </w:rPr>
        <w:tab/>
      </w:r>
    </w:p>
    <w:p w14:paraId="374E07DD" w14:textId="025F4F02" w:rsidR="00BC1FF7" w:rsidRDefault="00BC1FF7" w:rsidP="00BC1FF7">
      <w:pPr>
        <w:pStyle w:val="ListParagraph"/>
        <w:numPr>
          <w:ilvl w:val="0"/>
          <w:numId w:val="5"/>
        </w:numPr>
        <w:spacing w:line="360" w:lineRule="auto"/>
        <w:jc w:val="both"/>
        <w:rPr>
          <w:rFonts w:ascii="Times" w:hAnsi="Times"/>
        </w:rPr>
      </w:pPr>
      <w:r w:rsidRPr="00BC1FF7">
        <w:rPr>
          <w:rFonts w:ascii="Times" w:hAnsi="Times"/>
        </w:rPr>
        <w:t xml:space="preserve">Planting a </w:t>
      </w:r>
      <w:r w:rsidRPr="00BC1FF7">
        <w:rPr>
          <w:rFonts w:ascii="Times" w:hAnsi="Times"/>
        </w:rPr>
        <w:t>highly tolerant</w:t>
      </w:r>
      <w:r w:rsidRPr="00BC1FF7">
        <w:rPr>
          <w:rFonts w:ascii="Times" w:hAnsi="Times"/>
        </w:rPr>
        <w:t xml:space="preserve"> variety, applying Fe-EDDHA</w:t>
      </w:r>
      <w:r w:rsidRPr="00BC1FF7">
        <w:rPr>
          <w:rFonts w:ascii="Times" w:hAnsi="Times"/>
        </w:rPr>
        <w:t xml:space="preserve"> (</w:t>
      </w:r>
      <w:proofErr w:type="spellStart"/>
      <w:r w:rsidRPr="00BC1FF7">
        <w:rPr>
          <w:rFonts w:ascii="Times" w:hAnsi="Times"/>
        </w:rPr>
        <w:t>Soygreen</w:t>
      </w:r>
      <w:proofErr w:type="spellEnd"/>
      <w:r>
        <w:sym w:font="Symbol" w:char="F0E2"/>
      </w:r>
      <w:r w:rsidRPr="00BC1FF7">
        <w:rPr>
          <w:rFonts w:ascii="Times" w:hAnsi="Times"/>
        </w:rPr>
        <w:t xml:space="preserve"> AST)</w:t>
      </w:r>
      <w:r w:rsidRPr="00BC1FF7">
        <w:rPr>
          <w:rFonts w:ascii="Times" w:hAnsi="Times"/>
        </w:rPr>
        <w:t xml:space="preserve"> in-furrow at planting and increasing the </w:t>
      </w:r>
      <w:r>
        <w:rPr>
          <w:rFonts w:ascii="Times" w:hAnsi="Times"/>
        </w:rPr>
        <w:t xml:space="preserve">plant population </w:t>
      </w:r>
      <w:r w:rsidR="00E80413">
        <w:rPr>
          <w:rFonts w:ascii="Times" w:hAnsi="Times"/>
        </w:rPr>
        <w:t>[</w:t>
      </w:r>
      <w:r w:rsidRPr="00BC1FF7">
        <w:rPr>
          <w:rFonts w:ascii="Times" w:hAnsi="Times"/>
        </w:rPr>
        <w:t xml:space="preserve">from </w:t>
      </w:r>
      <w:r w:rsidR="00E80413">
        <w:rPr>
          <w:rFonts w:ascii="Times" w:hAnsi="Times"/>
        </w:rPr>
        <w:t>309,000 seeds ha</w:t>
      </w:r>
      <w:r w:rsidR="00E80413" w:rsidRPr="00E80413">
        <w:rPr>
          <w:rFonts w:ascii="Times" w:hAnsi="Times"/>
          <w:vertAlign w:val="superscript"/>
        </w:rPr>
        <w:t>-1</w:t>
      </w:r>
      <w:r w:rsidR="00E80413">
        <w:rPr>
          <w:rFonts w:ascii="Times" w:hAnsi="Times"/>
        </w:rPr>
        <w:t xml:space="preserve"> (</w:t>
      </w:r>
      <w:r w:rsidRPr="00BC1FF7">
        <w:rPr>
          <w:rFonts w:ascii="Times" w:hAnsi="Times"/>
        </w:rPr>
        <w:t>125,000</w:t>
      </w:r>
      <w:r w:rsidR="00E80413">
        <w:rPr>
          <w:rFonts w:ascii="Times" w:hAnsi="Times"/>
        </w:rPr>
        <w:t xml:space="preserve"> seeds acre</w:t>
      </w:r>
      <w:r w:rsidR="00E80413" w:rsidRPr="00E80413">
        <w:rPr>
          <w:rFonts w:ascii="Times" w:hAnsi="Times"/>
          <w:vertAlign w:val="superscript"/>
        </w:rPr>
        <w:t>-1</w:t>
      </w:r>
      <w:r w:rsidR="00E80413">
        <w:rPr>
          <w:rFonts w:ascii="Times" w:hAnsi="Times"/>
        </w:rPr>
        <w:t>)</w:t>
      </w:r>
      <w:r w:rsidRPr="00BC1FF7">
        <w:rPr>
          <w:rFonts w:ascii="Times" w:hAnsi="Times"/>
        </w:rPr>
        <w:t xml:space="preserve"> to</w:t>
      </w:r>
      <w:r w:rsidR="00E80413">
        <w:rPr>
          <w:rFonts w:ascii="Times" w:hAnsi="Times"/>
        </w:rPr>
        <w:t xml:space="preserve"> 433,000 seeds ha</w:t>
      </w:r>
      <w:r w:rsidR="00E80413" w:rsidRPr="00E80413">
        <w:rPr>
          <w:rFonts w:ascii="Times" w:hAnsi="Times"/>
          <w:vertAlign w:val="superscript"/>
        </w:rPr>
        <w:t>-1</w:t>
      </w:r>
      <w:r w:rsidRPr="00BC1FF7">
        <w:rPr>
          <w:rFonts w:ascii="Times" w:hAnsi="Times"/>
        </w:rPr>
        <w:t xml:space="preserve"> </w:t>
      </w:r>
      <w:r w:rsidR="00E80413">
        <w:rPr>
          <w:rFonts w:ascii="Times" w:hAnsi="Times"/>
        </w:rPr>
        <w:t>(</w:t>
      </w:r>
      <w:r w:rsidRPr="00BC1FF7">
        <w:rPr>
          <w:rFonts w:ascii="Times" w:hAnsi="Times"/>
        </w:rPr>
        <w:t xml:space="preserve">175,000 </w:t>
      </w:r>
      <w:r>
        <w:rPr>
          <w:rFonts w:ascii="Times" w:hAnsi="Times"/>
        </w:rPr>
        <w:t>plants</w:t>
      </w:r>
      <w:r w:rsidRPr="00BC1FF7">
        <w:rPr>
          <w:rFonts w:ascii="Times" w:hAnsi="Times"/>
        </w:rPr>
        <w:t xml:space="preserve"> ha</w:t>
      </w:r>
      <w:r w:rsidRPr="00BC1FF7">
        <w:rPr>
          <w:rFonts w:ascii="Times" w:hAnsi="Times"/>
          <w:vertAlign w:val="superscript"/>
        </w:rPr>
        <w:t>-1</w:t>
      </w:r>
      <w:r w:rsidR="00E80413">
        <w:rPr>
          <w:rFonts w:ascii="Times" w:hAnsi="Times"/>
        </w:rPr>
        <w:t>)]</w:t>
      </w:r>
      <w:r w:rsidRPr="00BC1FF7">
        <w:rPr>
          <w:rFonts w:ascii="Times" w:hAnsi="Times"/>
        </w:rPr>
        <w:t xml:space="preserve"> were </w:t>
      </w:r>
      <w:r w:rsidRPr="00BC1FF7">
        <w:rPr>
          <w:rFonts w:ascii="Times" w:hAnsi="Times"/>
        </w:rPr>
        <w:t xml:space="preserve">all </w:t>
      </w:r>
      <w:r w:rsidRPr="00BC1FF7">
        <w:rPr>
          <w:rFonts w:ascii="Times" w:hAnsi="Times"/>
        </w:rPr>
        <w:t>effective at minimiz</w:t>
      </w:r>
      <w:r>
        <w:rPr>
          <w:rFonts w:ascii="Times" w:hAnsi="Times"/>
        </w:rPr>
        <w:t>ing</w:t>
      </w:r>
      <w:r w:rsidRPr="00BC1FF7">
        <w:rPr>
          <w:rFonts w:ascii="Times" w:hAnsi="Times"/>
        </w:rPr>
        <w:t xml:space="preserve"> yield losses due to IDC. </w:t>
      </w:r>
    </w:p>
    <w:p w14:paraId="4E89E434" w14:textId="74E2B99E" w:rsidR="00BC1FF7" w:rsidRPr="00BC1FF7" w:rsidRDefault="00BC1FF7" w:rsidP="00BC1FF7">
      <w:pPr>
        <w:pStyle w:val="ListParagraph"/>
        <w:numPr>
          <w:ilvl w:val="0"/>
          <w:numId w:val="5"/>
        </w:numPr>
        <w:spacing w:line="360" w:lineRule="auto"/>
        <w:jc w:val="both"/>
        <w:rPr>
          <w:rFonts w:ascii="Times" w:hAnsi="Times"/>
        </w:rPr>
      </w:pPr>
      <w:r w:rsidRPr="00BC1FF7">
        <w:rPr>
          <w:rFonts w:ascii="Times" w:hAnsi="Times"/>
        </w:rPr>
        <w:t xml:space="preserve">Larger yield responses were found for varieties and Fe-EDDHA rates as chlorosis symptoms increased, but their utilization tended to provide better results even at environments where IDC was low to moderate. </w:t>
      </w:r>
    </w:p>
    <w:p w14:paraId="41FF58A1" w14:textId="396CEE37" w:rsidR="00BC1FF7" w:rsidRPr="00BC1FF7" w:rsidRDefault="00BC1FF7" w:rsidP="00BC1FF7">
      <w:pPr>
        <w:pStyle w:val="ListParagraph"/>
        <w:numPr>
          <w:ilvl w:val="0"/>
          <w:numId w:val="5"/>
        </w:numPr>
        <w:spacing w:line="360" w:lineRule="auto"/>
        <w:jc w:val="both"/>
        <w:rPr>
          <w:rFonts w:ascii="Times" w:hAnsi="Times"/>
        </w:rPr>
      </w:pPr>
      <w:r>
        <w:rPr>
          <w:rFonts w:ascii="Times" w:hAnsi="Times"/>
        </w:rPr>
        <w:t>When IDC was severe (E</w:t>
      </w:r>
      <w:r w:rsidR="00771A54">
        <w:rPr>
          <w:rFonts w:ascii="Times" w:hAnsi="Times"/>
        </w:rPr>
        <w:t>nvironmental Index</w:t>
      </w:r>
      <w:r>
        <w:rPr>
          <w:rFonts w:ascii="Times" w:hAnsi="Times"/>
        </w:rPr>
        <w:t xml:space="preserve"> of 4), </w:t>
      </w:r>
      <w:r w:rsidRPr="00450E9F">
        <w:rPr>
          <w:rFonts w:ascii="Times" w:hAnsi="Times"/>
        </w:rPr>
        <w:t xml:space="preserve">the </w:t>
      </w:r>
      <w:r>
        <w:rPr>
          <w:rFonts w:ascii="Times" w:hAnsi="Times"/>
        </w:rPr>
        <w:t>highly tolerant</w:t>
      </w:r>
      <w:r w:rsidRPr="00450E9F">
        <w:rPr>
          <w:rFonts w:ascii="Times" w:hAnsi="Times"/>
        </w:rPr>
        <w:t xml:space="preserve"> variety yield</w:t>
      </w:r>
      <w:r>
        <w:rPr>
          <w:rFonts w:ascii="Times" w:hAnsi="Times"/>
        </w:rPr>
        <w:t>ed</w:t>
      </w:r>
      <w:r w:rsidRPr="00450E9F">
        <w:rPr>
          <w:rFonts w:ascii="Times" w:hAnsi="Times"/>
        </w:rPr>
        <w:t xml:space="preserve"> 37% (0.85 Mg </w:t>
      </w:r>
      <w:proofErr w:type="gramStart"/>
      <w:r w:rsidRPr="00450E9F">
        <w:rPr>
          <w:rFonts w:ascii="Times" w:hAnsi="Times"/>
        </w:rPr>
        <w:t>ha</w:t>
      </w:r>
      <w:r w:rsidRPr="00450E9F">
        <w:rPr>
          <w:rFonts w:ascii="Times" w:hAnsi="Times"/>
          <w:vertAlign w:val="superscript"/>
        </w:rPr>
        <w:t>-1</w:t>
      </w:r>
      <w:proofErr w:type="gramEnd"/>
      <w:r w:rsidRPr="00450E9F">
        <w:rPr>
          <w:rFonts w:ascii="Times" w:hAnsi="Times"/>
        </w:rPr>
        <w:t xml:space="preserve">) more than the </w:t>
      </w:r>
      <w:r>
        <w:rPr>
          <w:rFonts w:ascii="Times" w:hAnsi="Times"/>
        </w:rPr>
        <w:t>moderately tolerant</w:t>
      </w:r>
      <w:r w:rsidRPr="00450E9F">
        <w:rPr>
          <w:rFonts w:ascii="Times" w:hAnsi="Times"/>
        </w:rPr>
        <w:t xml:space="preserve"> variety</w:t>
      </w:r>
      <w:r w:rsidR="00E80413">
        <w:rPr>
          <w:rFonts w:ascii="Times" w:hAnsi="Times"/>
        </w:rPr>
        <w:t xml:space="preserve"> (Figure 1)</w:t>
      </w:r>
      <w:r w:rsidRPr="00450E9F">
        <w:rPr>
          <w:rFonts w:ascii="Times" w:hAnsi="Times"/>
        </w:rPr>
        <w:t>.</w:t>
      </w:r>
      <w:r>
        <w:rPr>
          <w:rFonts w:ascii="Times" w:hAnsi="Times"/>
        </w:rPr>
        <w:t xml:space="preserve"> Under the same IDC stress levels, yield improvements </w:t>
      </w:r>
      <w:r w:rsidRPr="00450E9F">
        <w:rPr>
          <w:rFonts w:ascii="Times" w:hAnsi="Times"/>
        </w:rPr>
        <w:t>averaging 1.4 and 1.7 Mg ha</w:t>
      </w:r>
      <w:r w:rsidRPr="00450E9F">
        <w:rPr>
          <w:rFonts w:ascii="Times" w:hAnsi="Times"/>
          <w:vertAlign w:val="superscript"/>
        </w:rPr>
        <w:t>-1</w:t>
      </w:r>
      <w:r w:rsidRPr="00450E9F">
        <w:rPr>
          <w:rFonts w:ascii="Times" w:hAnsi="Times"/>
        </w:rPr>
        <w:t xml:space="preserve"> were observed with soil </w:t>
      </w:r>
      <w:r w:rsidRPr="00450E9F">
        <w:rPr>
          <w:rFonts w:ascii="Times" w:hAnsi="Times"/>
        </w:rPr>
        <w:lastRenderedPageBreak/>
        <w:t>applications of 2.24 and 4.48 kg Fe-EDDHA ha</w:t>
      </w:r>
      <w:r w:rsidRPr="00450E9F">
        <w:rPr>
          <w:rFonts w:ascii="Times" w:hAnsi="Times"/>
          <w:vertAlign w:val="superscript"/>
        </w:rPr>
        <w:t>-1</w:t>
      </w:r>
      <w:r w:rsidR="00E80413">
        <w:rPr>
          <w:rFonts w:ascii="Times" w:hAnsi="Times"/>
        </w:rPr>
        <w:t xml:space="preserve"> (2 and 4 lbs. </w:t>
      </w:r>
      <w:proofErr w:type="spellStart"/>
      <w:r w:rsidR="00E80413">
        <w:rPr>
          <w:rFonts w:ascii="Times" w:hAnsi="Times"/>
        </w:rPr>
        <w:t>Soygreen</w:t>
      </w:r>
      <w:proofErr w:type="spellEnd"/>
      <w:r w:rsidR="00E80413">
        <w:rPr>
          <w:rFonts w:ascii="Times" w:hAnsi="Times"/>
        </w:rPr>
        <w:sym w:font="Symbol" w:char="F0E2"/>
      </w:r>
      <w:r w:rsidR="00E80413">
        <w:rPr>
          <w:rFonts w:ascii="Times" w:hAnsi="Times"/>
        </w:rPr>
        <w:t xml:space="preserve"> AST acre</w:t>
      </w:r>
      <w:r w:rsidR="00E80413" w:rsidRPr="00E80413">
        <w:rPr>
          <w:rFonts w:ascii="Times" w:hAnsi="Times"/>
          <w:vertAlign w:val="superscript"/>
        </w:rPr>
        <w:t>-1</w:t>
      </w:r>
      <w:r w:rsidR="00E80413">
        <w:rPr>
          <w:rFonts w:ascii="Times" w:hAnsi="Times"/>
        </w:rPr>
        <w:t>)</w:t>
      </w:r>
      <w:r w:rsidRPr="00450E9F">
        <w:rPr>
          <w:rFonts w:ascii="Times" w:hAnsi="Times"/>
        </w:rPr>
        <w:t>, respectively,</w:t>
      </w:r>
      <w:r>
        <w:rPr>
          <w:rFonts w:ascii="Times" w:hAnsi="Times"/>
        </w:rPr>
        <w:t xml:space="preserve"> compared to untreated plots</w:t>
      </w:r>
      <w:r w:rsidR="00E80413">
        <w:rPr>
          <w:rFonts w:ascii="Times" w:hAnsi="Times"/>
        </w:rPr>
        <w:t xml:space="preserve"> (Figure 2)</w:t>
      </w:r>
      <w:r>
        <w:rPr>
          <w:rFonts w:ascii="Times" w:hAnsi="Times"/>
        </w:rPr>
        <w:t>.</w:t>
      </w:r>
    </w:p>
    <w:p w14:paraId="1F5AD1B7" w14:textId="04EA699C" w:rsidR="00BC1FF7" w:rsidRPr="00BC1FF7" w:rsidRDefault="00BC1FF7" w:rsidP="00BC1FF7">
      <w:pPr>
        <w:pStyle w:val="ListParagraph"/>
        <w:numPr>
          <w:ilvl w:val="0"/>
          <w:numId w:val="5"/>
        </w:numPr>
        <w:spacing w:line="360" w:lineRule="auto"/>
        <w:jc w:val="both"/>
        <w:rPr>
          <w:rFonts w:ascii="Times" w:hAnsi="Times"/>
        </w:rPr>
      </w:pPr>
      <w:r w:rsidRPr="00BC1FF7">
        <w:rPr>
          <w:rFonts w:ascii="Times" w:hAnsi="Times"/>
        </w:rPr>
        <w:t xml:space="preserve">Although the effects of Fe-EDDHA application were greater for the </w:t>
      </w:r>
      <w:r w:rsidR="00E80413">
        <w:rPr>
          <w:rFonts w:ascii="Times" w:hAnsi="Times"/>
        </w:rPr>
        <w:t>moderately tolerant</w:t>
      </w:r>
      <w:r w:rsidRPr="00BC1FF7">
        <w:rPr>
          <w:rFonts w:ascii="Times" w:hAnsi="Times"/>
        </w:rPr>
        <w:t xml:space="preserve"> variety compared to the </w:t>
      </w:r>
      <w:r w:rsidR="00E80413">
        <w:rPr>
          <w:rFonts w:ascii="Times" w:hAnsi="Times"/>
        </w:rPr>
        <w:t>highly tolerant</w:t>
      </w:r>
      <w:r w:rsidRPr="00BC1FF7">
        <w:rPr>
          <w:rFonts w:ascii="Times" w:hAnsi="Times"/>
        </w:rPr>
        <w:t xml:space="preserve"> one, Fe-EDDHA application on the </w:t>
      </w:r>
      <w:r w:rsidR="00E80413">
        <w:rPr>
          <w:rFonts w:ascii="Times" w:hAnsi="Times"/>
        </w:rPr>
        <w:t>highly tolerant</w:t>
      </w:r>
      <w:r w:rsidRPr="00BC1FF7">
        <w:rPr>
          <w:rFonts w:ascii="Times" w:hAnsi="Times"/>
        </w:rPr>
        <w:t xml:space="preserve"> variety produced the highest yields</w:t>
      </w:r>
      <w:r w:rsidR="00E80413">
        <w:rPr>
          <w:rFonts w:ascii="Times" w:hAnsi="Times"/>
        </w:rPr>
        <w:t xml:space="preserve"> (Figure 3)</w:t>
      </w:r>
      <w:r w:rsidRPr="00BC1FF7">
        <w:rPr>
          <w:rFonts w:ascii="Times" w:hAnsi="Times"/>
        </w:rPr>
        <w:t>.</w:t>
      </w:r>
      <w:r w:rsidR="00E80413">
        <w:rPr>
          <w:rFonts w:ascii="Times" w:hAnsi="Times"/>
        </w:rPr>
        <w:t xml:space="preserve"> </w:t>
      </w:r>
      <w:r w:rsidRPr="00BC1FF7">
        <w:rPr>
          <w:rFonts w:ascii="Times" w:hAnsi="Times"/>
        </w:rPr>
        <w:t xml:space="preserve"> </w:t>
      </w:r>
    </w:p>
    <w:p w14:paraId="659A290A" w14:textId="1E727F90" w:rsidR="00B9534B" w:rsidRPr="00E80413" w:rsidRDefault="00BC1FF7" w:rsidP="00BC1FF7">
      <w:pPr>
        <w:pStyle w:val="ListParagraph"/>
        <w:numPr>
          <w:ilvl w:val="0"/>
          <w:numId w:val="5"/>
        </w:numPr>
        <w:spacing w:line="360" w:lineRule="auto"/>
        <w:jc w:val="both"/>
        <w:rPr>
          <w:rFonts w:ascii="Times" w:eastAsia="Times New Roman" w:hAnsi="Times" w:cs="Times New Roman"/>
          <w:b/>
          <w:bCs/>
          <w:color w:val="000000"/>
        </w:rPr>
      </w:pPr>
      <w:r w:rsidRPr="00BC1FF7">
        <w:rPr>
          <w:rFonts w:ascii="Times" w:hAnsi="Times"/>
        </w:rPr>
        <w:t xml:space="preserve">Consistent positive effects on yield were observed with increased seeding rates across environments and </w:t>
      </w:r>
      <w:r w:rsidR="00771A54">
        <w:rPr>
          <w:rFonts w:ascii="Times" w:hAnsi="Times"/>
        </w:rPr>
        <w:t>other management</w:t>
      </w:r>
      <w:r w:rsidRPr="00BC1FF7">
        <w:rPr>
          <w:rFonts w:ascii="Times" w:hAnsi="Times"/>
        </w:rPr>
        <w:t xml:space="preserve"> combinations</w:t>
      </w:r>
      <w:r w:rsidR="00E80413">
        <w:rPr>
          <w:rFonts w:ascii="Times" w:hAnsi="Times"/>
        </w:rPr>
        <w:t xml:space="preserve"> [</w:t>
      </w:r>
      <w:r w:rsidR="00E80413" w:rsidRPr="00BC1FF7">
        <w:rPr>
          <w:rFonts w:ascii="Times" w:hAnsi="Times"/>
        </w:rPr>
        <w:t>150 kg ha</w:t>
      </w:r>
      <w:r w:rsidR="00E80413" w:rsidRPr="00BC1FF7">
        <w:rPr>
          <w:rFonts w:ascii="Times" w:hAnsi="Times"/>
          <w:vertAlign w:val="superscript"/>
        </w:rPr>
        <w:t>-1</w:t>
      </w:r>
      <w:r w:rsidR="00E80413">
        <w:rPr>
          <w:rFonts w:ascii="Times" w:hAnsi="Times"/>
          <w:vertAlign w:val="superscript"/>
        </w:rPr>
        <w:t xml:space="preserve"> </w:t>
      </w:r>
      <w:r w:rsidR="00E80413">
        <w:rPr>
          <w:rFonts w:ascii="Times" w:hAnsi="Times"/>
        </w:rPr>
        <w:t>when moving from 309,000 to 433,000 seeds ha</w:t>
      </w:r>
      <w:r w:rsidR="00E80413" w:rsidRPr="00E80413">
        <w:rPr>
          <w:rFonts w:ascii="Times" w:hAnsi="Times"/>
          <w:vertAlign w:val="superscript"/>
        </w:rPr>
        <w:t>-1</w:t>
      </w:r>
      <w:r w:rsidR="00E80413">
        <w:rPr>
          <w:rFonts w:ascii="Times" w:hAnsi="Times"/>
        </w:rPr>
        <w:t xml:space="preserve"> (125,000 to 175,000 seeds acre</w:t>
      </w:r>
      <w:r w:rsidR="00E80413" w:rsidRPr="00E80413">
        <w:rPr>
          <w:rFonts w:ascii="Times" w:hAnsi="Times"/>
          <w:vertAlign w:val="superscript"/>
        </w:rPr>
        <w:t>-1</w:t>
      </w:r>
      <w:r w:rsidR="00E80413">
        <w:rPr>
          <w:rFonts w:ascii="Times" w:hAnsi="Times"/>
        </w:rPr>
        <w:t>,</w:t>
      </w:r>
      <w:r w:rsidR="00E80413" w:rsidRPr="00BC1FF7">
        <w:rPr>
          <w:rFonts w:ascii="Times" w:hAnsi="Times"/>
        </w:rPr>
        <w:t xml:space="preserve"> </w:t>
      </w:r>
      <w:r w:rsidR="00E80413">
        <w:rPr>
          <w:rFonts w:ascii="Times" w:hAnsi="Times"/>
        </w:rPr>
        <w:t>Figure 4)]</w:t>
      </w:r>
      <w:r w:rsidRPr="00BC1FF7">
        <w:rPr>
          <w:rFonts w:ascii="Times" w:hAnsi="Times"/>
        </w:rPr>
        <w:t>.</w:t>
      </w:r>
      <w:r w:rsidR="00E80413">
        <w:rPr>
          <w:rFonts w:ascii="Times" w:hAnsi="Times"/>
        </w:rPr>
        <w:t xml:space="preserve"> </w:t>
      </w:r>
    </w:p>
    <w:p w14:paraId="4F14ECAB" w14:textId="29BD1749" w:rsidR="00E80413" w:rsidRDefault="00E80413" w:rsidP="00E80413">
      <w:pPr>
        <w:pStyle w:val="ListParagraph"/>
        <w:numPr>
          <w:ilvl w:val="0"/>
          <w:numId w:val="5"/>
        </w:numPr>
        <w:spacing w:line="360" w:lineRule="auto"/>
        <w:jc w:val="both"/>
        <w:rPr>
          <w:rFonts w:ascii="Times" w:hAnsi="Times"/>
        </w:rPr>
      </w:pPr>
      <w:r w:rsidRPr="00E80413">
        <w:rPr>
          <w:rFonts w:ascii="Times" w:hAnsi="Times"/>
        </w:rPr>
        <w:t xml:space="preserve">Profitability and risk analysis showed that the best option for low-moderate IDC conditions </w:t>
      </w:r>
      <w:r w:rsidR="00771A54">
        <w:rPr>
          <w:rFonts w:ascii="Times" w:hAnsi="Times"/>
        </w:rPr>
        <w:t xml:space="preserve">(considering the amount of return per unit of risk) </w:t>
      </w:r>
      <w:r w:rsidRPr="00E80413">
        <w:rPr>
          <w:rFonts w:ascii="Times" w:hAnsi="Times"/>
        </w:rPr>
        <w:t xml:space="preserve">is the </w:t>
      </w:r>
      <w:r>
        <w:rPr>
          <w:rFonts w:ascii="Times" w:hAnsi="Times"/>
        </w:rPr>
        <w:t>highly tolerant</w:t>
      </w:r>
      <w:r w:rsidRPr="00E80413">
        <w:rPr>
          <w:rFonts w:ascii="Times" w:hAnsi="Times"/>
        </w:rPr>
        <w:t xml:space="preserve"> variety with 2.24 kg Fe-EDDHA ha</w:t>
      </w:r>
      <w:r w:rsidRPr="00E80413">
        <w:rPr>
          <w:rFonts w:ascii="Times" w:hAnsi="Times"/>
          <w:vertAlign w:val="superscript"/>
        </w:rPr>
        <w:t>-1</w:t>
      </w:r>
      <w:r w:rsidRPr="00E80413">
        <w:rPr>
          <w:rFonts w:ascii="Times" w:hAnsi="Times"/>
        </w:rPr>
        <w:t xml:space="preserve"> at 309,000 seeds ha</w:t>
      </w:r>
      <w:r w:rsidRPr="00E80413">
        <w:rPr>
          <w:rFonts w:ascii="Times" w:hAnsi="Times"/>
          <w:vertAlign w:val="superscript"/>
        </w:rPr>
        <w:t>-1</w:t>
      </w:r>
      <w:r>
        <w:rPr>
          <w:rFonts w:ascii="Times" w:hAnsi="Times"/>
        </w:rPr>
        <w:t xml:space="preserve"> (2 lbs. Fe-EDDHA acre</w:t>
      </w:r>
      <w:r w:rsidRPr="00E80413">
        <w:rPr>
          <w:rFonts w:ascii="Times" w:hAnsi="Times"/>
          <w:vertAlign w:val="superscript"/>
        </w:rPr>
        <w:t>-1</w:t>
      </w:r>
      <w:r>
        <w:rPr>
          <w:rFonts w:ascii="Times" w:hAnsi="Times"/>
        </w:rPr>
        <w:t xml:space="preserve"> and 125,000 seeds acre</w:t>
      </w:r>
      <w:r w:rsidRPr="00E80413">
        <w:rPr>
          <w:rFonts w:ascii="Times" w:hAnsi="Times"/>
          <w:vertAlign w:val="superscript"/>
        </w:rPr>
        <w:t>-1</w:t>
      </w:r>
      <w:r>
        <w:rPr>
          <w:rFonts w:ascii="Times" w:hAnsi="Times"/>
        </w:rPr>
        <w:t>)</w:t>
      </w:r>
      <w:r w:rsidRPr="00E80413">
        <w:rPr>
          <w:rFonts w:ascii="Times" w:hAnsi="Times"/>
        </w:rPr>
        <w:t xml:space="preserve">. </w:t>
      </w:r>
      <w:r w:rsidR="00771A54">
        <w:rPr>
          <w:rFonts w:ascii="Times" w:hAnsi="Times"/>
        </w:rPr>
        <w:t>This management combination is expected to provide a mean net return of $1723.61 ha</w:t>
      </w:r>
      <w:r w:rsidR="00771A54" w:rsidRPr="00771A54">
        <w:rPr>
          <w:rFonts w:ascii="Times" w:hAnsi="Times"/>
          <w:vertAlign w:val="superscript"/>
        </w:rPr>
        <w:t>-1</w:t>
      </w:r>
      <w:r w:rsidR="00771A54">
        <w:rPr>
          <w:rFonts w:ascii="Times" w:hAnsi="Times"/>
        </w:rPr>
        <w:t xml:space="preserve"> to a risk of $579.99 ha</w:t>
      </w:r>
      <w:r w:rsidR="00771A54" w:rsidRPr="00771A54">
        <w:rPr>
          <w:rFonts w:ascii="Times" w:hAnsi="Times"/>
          <w:vertAlign w:val="superscript"/>
        </w:rPr>
        <w:t>-1</w:t>
      </w:r>
      <w:r w:rsidR="00771A54">
        <w:rPr>
          <w:rFonts w:ascii="Times" w:hAnsi="Times"/>
        </w:rPr>
        <w:t xml:space="preserve">. </w:t>
      </w:r>
    </w:p>
    <w:p w14:paraId="4A76CB8D" w14:textId="6E163C52" w:rsidR="00E80413" w:rsidRPr="00E80413" w:rsidRDefault="00E80413" w:rsidP="00E80413">
      <w:pPr>
        <w:pStyle w:val="ListParagraph"/>
        <w:numPr>
          <w:ilvl w:val="0"/>
          <w:numId w:val="5"/>
        </w:numPr>
        <w:spacing w:line="360" w:lineRule="auto"/>
        <w:jc w:val="both"/>
        <w:rPr>
          <w:rFonts w:ascii="Times" w:hAnsi="Times"/>
        </w:rPr>
      </w:pPr>
      <w:r w:rsidRPr="00E80413">
        <w:rPr>
          <w:rFonts w:ascii="Times" w:hAnsi="Times"/>
        </w:rPr>
        <w:t xml:space="preserve">Contrarily, the </w:t>
      </w:r>
      <w:r>
        <w:rPr>
          <w:rFonts w:ascii="Times" w:hAnsi="Times"/>
        </w:rPr>
        <w:t>highly tolerant</w:t>
      </w:r>
      <w:r w:rsidRPr="00E80413">
        <w:rPr>
          <w:rFonts w:ascii="Times" w:hAnsi="Times"/>
        </w:rPr>
        <w:t xml:space="preserve"> variety with 4.48 kg Fe-EDDHA ha</w:t>
      </w:r>
      <w:r w:rsidRPr="00E80413">
        <w:rPr>
          <w:rFonts w:ascii="Times" w:hAnsi="Times"/>
          <w:vertAlign w:val="superscript"/>
        </w:rPr>
        <w:t>-1</w:t>
      </w:r>
      <w:r w:rsidRPr="00E80413">
        <w:rPr>
          <w:rFonts w:ascii="Times" w:hAnsi="Times"/>
        </w:rPr>
        <w:t xml:space="preserve"> planted at 433,000 seeds ha</w:t>
      </w:r>
      <w:r w:rsidRPr="00E80413">
        <w:rPr>
          <w:rFonts w:ascii="Times" w:hAnsi="Times"/>
          <w:vertAlign w:val="superscript"/>
        </w:rPr>
        <w:t>-1</w:t>
      </w:r>
      <w:r>
        <w:rPr>
          <w:rFonts w:ascii="Times" w:hAnsi="Times"/>
        </w:rPr>
        <w:t xml:space="preserve"> (4</w:t>
      </w:r>
      <w:r>
        <w:rPr>
          <w:rFonts w:ascii="Times" w:hAnsi="Times"/>
        </w:rPr>
        <w:t xml:space="preserve"> lbs. Fe-EDDHA acre</w:t>
      </w:r>
      <w:r w:rsidRPr="00E80413">
        <w:rPr>
          <w:rFonts w:ascii="Times" w:hAnsi="Times"/>
          <w:vertAlign w:val="superscript"/>
        </w:rPr>
        <w:t>-1</w:t>
      </w:r>
      <w:r>
        <w:rPr>
          <w:rFonts w:ascii="Times" w:hAnsi="Times"/>
        </w:rPr>
        <w:t xml:space="preserve"> and 1</w:t>
      </w:r>
      <w:r>
        <w:rPr>
          <w:rFonts w:ascii="Times" w:hAnsi="Times"/>
        </w:rPr>
        <w:t>75</w:t>
      </w:r>
      <w:r>
        <w:rPr>
          <w:rFonts w:ascii="Times" w:hAnsi="Times"/>
        </w:rPr>
        <w:t>,000 seeds acre</w:t>
      </w:r>
      <w:r w:rsidRPr="00E80413">
        <w:rPr>
          <w:rFonts w:ascii="Times" w:hAnsi="Times"/>
          <w:vertAlign w:val="superscript"/>
        </w:rPr>
        <w:t>-1</w:t>
      </w:r>
      <w:r>
        <w:rPr>
          <w:rFonts w:ascii="Times" w:hAnsi="Times"/>
        </w:rPr>
        <w:t>)</w:t>
      </w:r>
      <w:r w:rsidRPr="00E80413">
        <w:rPr>
          <w:rFonts w:ascii="Times" w:hAnsi="Times"/>
        </w:rPr>
        <w:t xml:space="preserve"> is the best single alternative for areas where IDC is harsh.</w:t>
      </w:r>
      <w:r w:rsidR="00771A54">
        <w:rPr>
          <w:rFonts w:ascii="Times" w:hAnsi="Times"/>
        </w:rPr>
        <w:t xml:space="preserve"> Under such IDC conditions, this management combination is predicted to yield $1755.54 ha</w:t>
      </w:r>
      <w:r w:rsidR="00771A54" w:rsidRPr="00771A54">
        <w:rPr>
          <w:rFonts w:ascii="Times" w:hAnsi="Times"/>
          <w:vertAlign w:val="superscript"/>
        </w:rPr>
        <w:t>-1</w:t>
      </w:r>
      <w:r w:rsidR="00771A54">
        <w:rPr>
          <w:rFonts w:ascii="Times" w:hAnsi="Times"/>
        </w:rPr>
        <w:t xml:space="preserve"> in profits, with an associated risk of $536.33 ha</w:t>
      </w:r>
      <w:r w:rsidR="00771A54" w:rsidRPr="00771A54">
        <w:rPr>
          <w:rFonts w:ascii="Times" w:hAnsi="Times"/>
          <w:vertAlign w:val="superscript"/>
        </w:rPr>
        <w:t>-1</w:t>
      </w:r>
      <w:r w:rsidR="00771A54">
        <w:rPr>
          <w:rFonts w:ascii="Times" w:hAnsi="Times"/>
        </w:rPr>
        <w:t xml:space="preserve">. </w:t>
      </w:r>
    </w:p>
    <w:p w14:paraId="10AB3180" w14:textId="77777777" w:rsidR="00E80413" w:rsidRPr="00E80413" w:rsidRDefault="00E80413" w:rsidP="00E80413">
      <w:pPr>
        <w:spacing w:line="360" w:lineRule="auto"/>
        <w:jc w:val="both"/>
        <w:rPr>
          <w:rFonts w:ascii="Times" w:eastAsia="Times New Roman" w:hAnsi="Times" w:cs="Times New Roman"/>
          <w:b/>
          <w:bCs/>
          <w:color w:val="000000"/>
        </w:rPr>
      </w:pPr>
    </w:p>
    <w:p w14:paraId="41611105" w14:textId="55B26471" w:rsidR="00B9534B" w:rsidRDefault="00B9534B" w:rsidP="00B9534B">
      <w:pPr>
        <w:spacing w:line="360" w:lineRule="auto"/>
        <w:jc w:val="both"/>
        <w:rPr>
          <w:rFonts w:ascii="Times" w:eastAsia="Times New Roman" w:hAnsi="Times" w:cs="Times New Roman"/>
          <w:b/>
          <w:bCs/>
          <w:color w:val="000000"/>
        </w:rPr>
      </w:pPr>
      <w:r>
        <w:rPr>
          <w:rFonts w:ascii="Times" w:eastAsia="Times New Roman" w:hAnsi="Times" w:cs="Times New Roman"/>
          <w:b/>
          <w:bCs/>
          <w:color w:val="000000"/>
        </w:rPr>
        <w:tab/>
      </w:r>
    </w:p>
    <w:p w14:paraId="37C428E1" w14:textId="7B6113CE" w:rsidR="008E331A" w:rsidRDefault="008E331A" w:rsidP="00B9534B">
      <w:pPr>
        <w:spacing w:line="360" w:lineRule="auto"/>
        <w:jc w:val="both"/>
        <w:rPr>
          <w:rFonts w:ascii="Times" w:eastAsia="Times New Roman" w:hAnsi="Times" w:cs="Times New Roman"/>
          <w:b/>
          <w:bCs/>
          <w:color w:val="000000"/>
        </w:rPr>
      </w:pPr>
    </w:p>
    <w:p w14:paraId="71D0F44E" w14:textId="783938A9" w:rsidR="008E331A" w:rsidRDefault="008E331A" w:rsidP="00B9534B">
      <w:pPr>
        <w:spacing w:line="360" w:lineRule="auto"/>
        <w:jc w:val="both"/>
        <w:rPr>
          <w:rFonts w:ascii="Times" w:eastAsia="Times New Roman" w:hAnsi="Times" w:cs="Times New Roman"/>
          <w:b/>
          <w:bCs/>
          <w:color w:val="000000"/>
        </w:rPr>
      </w:pPr>
    </w:p>
    <w:p w14:paraId="14E8CFD9" w14:textId="77777777" w:rsidR="008E331A" w:rsidRDefault="008E331A" w:rsidP="008E331A">
      <w:pPr>
        <w:keepNext/>
        <w:spacing w:line="360" w:lineRule="auto"/>
        <w:jc w:val="center"/>
      </w:pPr>
      <w:r w:rsidRPr="00626478">
        <w:rPr>
          <w:rFonts w:ascii="Times" w:hAnsi="Times"/>
          <w:b/>
          <w:bCs/>
          <w:noProof/>
        </w:rPr>
        <w:lastRenderedPageBreak/>
        <w:drawing>
          <wp:inline distT="0" distB="0" distL="0" distR="0" wp14:anchorId="6E3F9E30" wp14:editId="19A47F24">
            <wp:extent cx="4616450" cy="2992143"/>
            <wp:effectExtent l="0" t="0" r="0" b="508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5"/>
                    <a:stretch>
                      <a:fillRect/>
                    </a:stretch>
                  </pic:blipFill>
                  <pic:spPr>
                    <a:xfrm>
                      <a:off x="0" y="0"/>
                      <a:ext cx="4651411" cy="3014803"/>
                    </a:xfrm>
                    <a:prstGeom prst="rect">
                      <a:avLst/>
                    </a:prstGeom>
                  </pic:spPr>
                </pic:pic>
              </a:graphicData>
            </a:graphic>
          </wp:inline>
        </w:drawing>
      </w:r>
    </w:p>
    <w:p w14:paraId="427A70A1" w14:textId="26C77FDE" w:rsidR="008E331A" w:rsidRDefault="008E331A" w:rsidP="008E331A">
      <w:pPr>
        <w:pStyle w:val="Caption"/>
        <w:jc w:val="both"/>
        <w:rPr>
          <w:rFonts w:ascii="Times New Roman" w:hAnsi="Times New Roman" w:cs="Times New Roman"/>
          <w:i w:val="0"/>
          <w:iCs w:val="0"/>
          <w:color w:val="000000" w:themeColor="text1"/>
          <w:sz w:val="24"/>
          <w:szCs w:val="24"/>
        </w:rPr>
      </w:pPr>
      <w:bookmarkStart w:id="0" w:name="_Toc120344893"/>
      <w:r w:rsidRPr="00477035">
        <w:rPr>
          <w:rFonts w:ascii="Times New Roman" w:hAnsi="Times New Roman" w:cs="Times New Roman"/>
          <w:i w:val="0"/>
          <w:iCs w:val="0"/>
          <w:color w:val="000000" w:themeColor="text1"/>
          <w:sz w:val="24"/>
          <w:szCs w:val="24"/>
        </w:rPr>
        <w:t xml:space="preserve">Figure </w:t>
      </w:r>
      <w:r>
        <w:rPr>
          <w:rFonts w:ascii="Times New Roman" w:hAnsi="Times New Roman" w:cs="Times New Roman"/>
          <w:i w:val="0"/>
          <w:iCs w:val="0"/>
          <w:color w:val="000000" w:themeColor="text1"/>
          <w:sz w:val="24"/>
          <w:szCs w:val="24"/>
        </w:rPr>
        <w:t>1.</w:t>
      </w:r>
      <w:r w:rsidRPr="00477035">
        <w:rPr>
          <w:rFonts w:ascii="Times New Roman" w:hAnsi="Times New Roman" w:cs="Times New Roman"/>
          <w:i w:val="0"/>
          <w:iCs w:val="0"/>
          <w:color w:val="000000" w:themeColor="text1"/>
          <w:sz w:val="24"/>
          <w:szCs w:val="24"/>
        </w:rPr>
        <w:t xml:space="preserve"> Decline in soybean grain yield</w:t>
      </w:r>
      <w:r>
        <w:rPr>
          <w:rFonts w:ascii="Times New Roman" w:hAnsi="Times New Roman" w:cs="Times New Roman"/>
          <w:i w:val="0"/>
          <w:iCs w:val="0"/>
          <w:color w:val="000000" w:themeColor="text1"/>
          <w:sz w:val="24"/>
          <w:szCs w:val="24"/>
        </w:rPr>
        <w:t xml:space="preserve"> (Mg </w:t>
      </w:r>
      <w:proofErr w:type="gramStart"/>
      <w:r>
        <w:rPr>
          <w:rFonts w:ascii="Times New Roman" w:hAnsi="Times New Roman" w:cs="Times New Roman"/>
          <w:i w:val="0"/>
          <w:iCs w:val="0"/>
          <w:color w:val="000000" w:themeColor="text1"/>
          <w:sz w:val="24"/>
          <w:szCs w:val="24"/>
        </w:rPr>
        <w:t>ha</w:t>
      </w:r>
      <w:r w:rsidRPr="008E331A">
        <w:rPr>
          <w:rFonts w:ascii="Times New Roman" w:hAnsi="Times New Roman" w:cs="Times New Roman"/>
          <w:i w:val="0"/>
          <w:iCs w:val="0"/>
          <w:color w:val="000000" w:themeColor="text1"/>
          <w:sz w:val="24"/>
          <w:szCs w:val="24"/>
          <w:vertAlign w:val="superscript"/>
        </w:rPr>
        <w:t>-1</w:t>
      </w:r>
      <w:proofErr w:type="gramEnd"/>
      <w:r>
        <w:rPr>
          <w:rFonts w:ascii="Times New Roman" w:hAnsi="Times New Roman" w:cs="Times New Roman"/>
          <w:i w:val="0"/>
          <w:iCs w:val="0"/>
          <w:color w:val="000000" w:themeColor="text1"/>
          <w:sz w:val="24"/>
          <w:szCs w:val="24"/>
        </w:rPr>
        <w:t>)</w:t>
      </w:r>
      <w:r w:rsidRPr="00477035">
        <w:rPr>
          <w:rFonts w:ascii="Times New Roman" w:hAnsi="Times New Roman" w:cs="Times New Roman"/>
          <w:i w:val="0"/>
          <w:iCs w:val="0"/>
          <w:color w:val="000000" w:themeColor="text1"/>
          <w:sz w:val="24"/>
          <w:szCs w:val="24"/>
        </w:rPr>
        <w:t xml:space="preserve"> in response to the interaction between varieties (MT and HT) and IDC severity measured by E</w:t>
      </w:r>
      <w:r>
        <w:rPr>
          <w:rFonts w:ascii="Times New Roman" w:hAnsi="Times New Roman" w:cs="Times New Roman"/>
          <w:i w:val="0"/>
          <w:iCs w:val="0"/>
          <w:color w:val="000000" w:themeColor="text1"/>
          <w:sz w:val="24"/>
          <w:szCs w:val="24"/>
        </w:rPr>
        <w:t xml:space="preserve">nvironmental </w:t>
      </w:r>
      <w:r w:rsidRPr="00477035">
        <w:rPr>
          <w:rFonts w:ascii="Times New Roman" w:hAnsi="Times New Roman" w:cs="Times New Roman"/>
          <w:i w:val="0"/>
          <w:iCs w:val="0"/>
          <w:color w:val="000000" w:themeColor="text1"/>
          <w:sz w:val="24"/>
          <w:szCs w:val="24"/>
        </w:rPr>
        <w:t>I</w:t>
      </w:r>
      <w:r>
        <w:rPr>
          <w:rFonts w:ascii="Times New Roman" w:hAnsi="Times New Roman" w:cs="Times New Roman"/>
          <w:i w:val="0"/>
          <w:iCs w:val="0"/>
          <w:color w:val="000000" w:themeColor="text1"/>
          <w:sz w:val="24"/>
          <w:szCs w:val="24"/>
        </w:rPr>
        <w:t>ndex (EI)</w:t>
      </w:r>
      <w:r w:rsidRPr="00477035">
        <w:rPr>
          <w:rFonts w:ascii="Times New Roman" w:hAnsi="Times New Roman" w:cs="Times New Roman"/>
          <w:i w:val="0"/>
          <w:iCs w:val="0"/>
          <w:color w:val="000000" w:themeColor="text1"/>
          <w:sz w:val="24"/>
          <w:szCs w:val="24"/>
        </w:rPr>
        <w:t>.</w:t>
      </w:r>
      <w:bookmarkEnd w:id="0"/>
    </w:p>
    <w:p w14:paraId="1512515D" w14:textId="7AC8107B" w:rsidR="008E331A" w:rsidRDefault="008E331A" w:rsidP="008E331A"/>
    <w:p w14:paraId="682D4B9F" w14:textId="77777777" w:rsidR="008E331A" w:rsidRPr="008E331A" w:rsidRDefault="008E331A" w:rsidP="008E331A"/>
    <w:p w14:paraId="78FE9430" w14:textId="5987F14B" w:rsidR="008E331A" w:rsidRDefault="008E331A" w:rsidP="008E331A"/>
    <w:p w14:paraId="7F5960D9" w14:textId="77777777" w:rsidR="008E331A" w:rsidRDefault="008E331A" w:rsidP="008E331A">
      <w:pPr>
        <w:keepNext/>
        <w:spacing w:line="360" w:lineRule="auto"/>
        <w:jc w:val="center"/>
      </w:pPr>
      <w:r w:rsidRPr="00A07ED4">
        <w:rPr>
          <w:rFonts w:ascii="Times" w:hAnsi="Times"/>
          <w:b/>
          <w:bCs/>
          <w:noProof/>
        </w:rPr>
        <w:drawing>
          <wp:inline distT="0" distB="0" distL="0" distR="0" wp14:anchorId="55845A77" wp14:editId="66A5204D">
            <wp:extent cx="3810000" cy="3259552"/>
            <wp:effectExtent l="0" t="0" r="0" b="4445"/>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pic:nvPicPr>
                  <pic:blipFill>
                    <a:blip r:embed="rId6"/>
                    <a:stretch>
                      <a:fillRect/>
                    </a:stretch>
                  </pic:blipFill>
                  <pic:spPr>
                    <a:xfrm>
                      <a:off x="0" y="0"/>
                      <a:ext cx="3816646" cy="3265238"/>
                    </a:xfrm>
                    <a:prstGeom prst="rect">
                      <a:avLst/>
                    </a:prstGeom>
                  </pic:spPr>
                </pic:pic>
              </a:graphicData>
            </a:graphic>
          </wp:inline>
        </w:drawing>
      </w:r>
    </w:p>
    <w:p w14:paraId="22E565F0" w14:textId="405895D9" w:rsidR="008E331A" w:rsidRDefault="008E331A" w:rsidP="008E331A">
      <w:pPr>
        <w:pStyle w:val="Caption"/>
        <w:jc w:val="both"/>
        <w:rPr>
          <w:rFonts w:ascii="Times New Roman" w:hAnsi="Times New Roman" w:cs="Times New Roman"/>
          <w:i w:val="0"/>
          <w:iCs w:val="0"/>
          <w:color w:val="000000" w:themeColor="text1"/>
          <w:sz w:val="24"/>
          <w:szCs w:val="24"/>
        </w:rPr>
      </w:pPr>
      <w:bookmarkStart w:id="1" w:name="_Toc120344894"/>
      <w:r w:rsidRPr="00477035">
        <w:rPr>
          <w:rFonts w:ascii="Times New Roman" w:hAnsi="Times New Roman" w:cs="Times New Roman"/>
          <w:i w:val="0"/>
          <w:iCs w:val="0"/>
          <w:color w:val="000000" w:themeColor="text1"/>
          <w:sz w:val="24"/>
          <w:szCs w:val="24"/>
        </w:rPr>
        <w:t xml:space="preserve">Figure </w:t>
      </w:r>
      <w:r>
        <w:rPr>
          <w:rFonts w:ascii="Times New Roman" w:hAnsi="Times New Roman" w:cs="Times New Roman"/>
          <w:i w:val="0"/>
          <w:iCs w:val="0"/>
          <w:color w:val="000000" w:themeColor="text1"/>
          <w:sz w:val="24"/>
          <w:szCs w:val="24"/>
        </w:rPr>
        <w:fldChar w:fldCharType="begin"/>
      </w:r>
      <w:r>
        <w:rPr>
          <w:rFonts w:ascii="Times New Roman" w:hAnsi="Times New Roman" w:cs="Times New Roman"/>
          <w:i w:val="0"/>
          <w:iCs w:val="0"/>
          <w:color w:val="000000" w:themeColor="text1"/>
          <w:sz w:val="24"/>
          <w:szCs w:val="24"/>
        </w:rPr>
        <w:instrText xml:space="preserve"> STYLEREF 1 \s </w:instrText>
      </w:r>
      <w:r>
        <w:rPr>
          <w:rFonts w:ascii="Times New Roman" w:hAnsi="Times New Roman" w:cs="Times New Roman"/>
          <w:i w:val="0"/>
          <w:iCs w:val="0"/>
          <w:color w:val="000000" w:themeColor="text1"/>
          <w:sz w:val="24"/>
          <w:szCs w:val="24"/>
        </w:rPr>
        <w:fldChar w:fldCharType="separate"/>
      </w:r>
      <w:r>
        <w:rPr>
          <w:rFonts w:ascii="Times New Roman" w:hAnsi="Times New Roman" w:cs="Times New Roman"/>
          <w:i w:val="0"/>
          <w:iCs w:val="0"/>
          <w:noProof/>
          <w:color w:val="000000" w:themeColor="text1"/>
          <w:sz w:val="24"/>
          <w:szCs w:val="24"/>
        </w:rPr>
        <w:t>2</w:t>
      </w:r>
      <w:r>
        <w:rPr>
          <w:rFonts w:ascii="Times New Roman" w:hAnsi="Times New Roman" w:cs="Times New Roman"/>
          <w:i w:val="0"/>
          <w:iCs w:val="0"/>
          <w:color w:val="000000" w:themeColor="text1"/>
          <w:sz w:val="24"/>
          <w:szCs w:val="24"/>
        </w:rPr>
        <w:fldChar w:fldCharType="end"/>
      </w:r>
      <w:r>
        <w:rPr>
          <w:rFonts w:ascii="Times New Roman" w:hAnsi="Times New Roman" w:cs="Times New Roman"/>
          <w:i w:val="0"/>
          <w:iCs w:val="0"/>
          <w:color w:val="000000" w:themeColor="text1"/>
          <w:sz w:val="24"/>
          <w:szCs w:val="24"/>
        </w:rPr>
        <w:t>.</w:t>
      </w:r>
      <w:r w:rsidRPr="00477035">
        <w:rPr>
          <w:rFonts w:ascii="Times New Roman" w:hAnsi="Times New Roman" w:cs="Times New Roman"/>
          <w:i w:val="0"/>
          <w:iCs w:val="0"/>
          <w:color w:val="000000" w:themeColor="text1"/>
          <w:sz w:val="24"/>
          <w:szCs w:val="24"/>
        </w:rPr>
        <w:t xml:space="preserve"> Soybean grain yield</w:t>
      </w:r>
      <w:r>
        <w:rPr>
          <w:rFonts w:ascii="Times New Roman" w:hAnsi="Times New Roman" w:cs="Times New Roman"/>
          <w:i w:val="0"/>
          <w:iCs w:val="0"/>
          <w:color w:val="000000" w:themeColor="text1"/>
          <w:sz w:val="24"/>
          <w:szCs w:val="24"/>
        </w:rPr>
        <w:t xml:space="preserve"> (Mg ha</w:t>
      </w:r>
      <w:r w:rsidRPr="008E331A">
        <w:rPr>
          <w:rFonts w:ascii="Times New Roman" w:hAnsi="Times New Roman" w:cs="Times New Roman"/>
          <w:i w:val="0"/>
          <w:iCs w:val="0"/>
          <w:color w:val="000000" w:themeColor="text1"/>
          <w:sz w:val="24"/>
          <w:szCs w:val="24"/>
          <w:vertAlign w:val="superscript"/>
        </w:rPr>
        <w:t>-1</w:t>
      </w:r>
      <w:r>
        <w:rPr>
          <w:rFonts w:ascii="Times New Roman" w:hAnsi="Times New Roman" w:cs="Times New Roman"/>
          <w:i w:val="0"/>
          <w:iCs w:val="0"/>
          <w:color w:val="000000" w:themeColor="text1"/>
          <w:sz w:val="24"/>
          <w:szCs w:val="24"/>
        </w:rPr>
        <w:t>)</w:t>
      </w:r>
      <w:r w:rsidRPr="00477035">
        <w:rPr>
          <w:rFonts w:ascii="Times New Roman" w:hAnsi="Times New Roman" w:cs="Times New Roman"/>
          <w:i w:val="0"/>
          <w:iCs w:val="0"/>
          <w:color w:val="000000" w:themeColor="text1"/>
          <w:sz w:val="24"/>
          <w:szCs w:val="24"/>
        </w:rPr>
        <w:t xml:space="preserve"> in response to the interaction between Fe-EDDHA rates</w:t>
      </w:r>
      <w:r>
        <w:rPr>
          <w:rFonts w:ascii="Times New Roman" w:hAnsi="Times New Roman" w:cs="Times New Roman"/>
          <w:i w:val="0"/>
          <w:iCs w:val="0"/>
          <w:color w:val="000000" w:themeColor="text1"/>
          <w:sz w:val="24"/>
          <w:szCs w:val="24"/>
        </w:rPr>
        <w:t xml:space="preserve"> (0, 2.24, and 4.48 kg </w:t>
      </w:r>
      <w:proofErr w:type="spellStart"/>
      <w:r>
        <w:rPr>
          <w:rFonts w:ascii="Times New Roman" w:hAnsi="Times New Roman" w:cs="Times New Roman"/>
          <w:i w:val="0"/>
          <w:iCs w:val="0"/>
          <w:color w:val="000000" w:themeColor="text1"/>
          <w:sz w:val="24"/>
          <w:szCs w:val="24"/>
        </w:rPr>
        <w:t>Soygreen</w:t>
      </w:r>
      <w:proofErr w:type="spellEnd"/>
      <w:r>
        <w:rPr>
          <w:rFonts w:ascii="Times New Roman" w:hAnsi="Times New Roman" w:cs="Times New Roman"/>
          <w:i w:val="0"/>
          <w:iCs w:val="0"/>
          <w:color w:val="000000" w:themeColor="text1"/>
          <w:sz w:val="24"/>
          <w:szCs w:val="24"/>
        </w:rPr>
        <w:sym w:font="Symbol" w:char="F0E2"/>
      </w:r>
      <w:r>
        <w:rPr>
          <w:rFonts w:ascii="Times New Roman" w:hAnsi="Times New Roman" w:cs="Times New Roman"/>
          <w:i w:val="0"/>
          <w:iCs w:val="0"/>
          <w:color w:val="000000" w:themeColor="text1"/>
          <w:sz w:val="24"/>
          <w:szCs w:val="24"/>
        </w:rPr>
        <w:t xml:space="preserve"> ha</w:t>
      </w:r>
      <w:r w:rsidRPr="00477035">
        <w:rPr>
          <w:rFonts w:ascii="Times New Roman" w:hAnsi="Times New Roman" w:cs="Times New Roman"/>
          <w:i w:val="0"/>
          <w:iCs w:val="0"/>
          <w:color w:val="000000" w:themeColor="text1"/>
          <w:sz w:val="24"/>
          <w:szCs w:val="24"/>
          <w:vertAlign w:val="superscript"/>
        </w:rPr>
        <w:t>-1</w:t>
      </w:r>
      <w:r>
        <w:rPr>
          <w:rFonts w:ascii="Times New Roman" w:hAnsi="Times New Roman" w:cs="Times New Roman"/>
          <w:i w:val="0"/>
          <w:iCs w:val="0"/>
          <w:color w:val="000000" w:themeColor="text1"/>
          <w:sz w:val="24"/>
          <w:szCs w:val="24"/>
        </w:rPr>
        <w:t>)</w:t>
      </w:r>
      <w:r w:rsidRPr="00477035">
        <w:rPr>
          <w:rFonts w:ascii="Times New Roman" w:hAnsi="Times New Roman" w:cs="Times New Roman"/>
          <w:i w:val="0"/>
          <w:iCs w:val="0"/>
          <w:color w:val="000000" w:themeColor="text1"/>
          <w:sz w:val="24"/>
          <w:szCs w:val="24"/>
        </w:rPr>
        <w:t xml:space="preserve"> and IDC severity measured by EI</w:t>
      </w:r>
      <w:r w:rsidR="005E69EF">
        <w:rPr>
          <w:rFonts w:ascii="Times New Roman" w:hAnsi="Times New Roman" w:cs="Times New Roman"/>
          <w:i w:val="0"/>
          <w:iCs w:val="0"/>
          <w:color w:val="000000" w:themeColor="text1"/>
          <w:sz w:val="24"/>
          <w:szCs w:val="24"/>
        </w:rPr>
        <w:t xml:space="preserve"> (Environmental Index)</w:t>
      </w:r>
      <w:r w:rsidRPr="00477035">
        <w:rPr>
          <w:rFonts w:ascii="Times New Roman" w:hAnsi="Times New Roman" w:cs="Times New Roman"/>
          <w:i w:val="0"/>
          <w:iCs w:val="0"/>
          <w:color w:val="000000" w:themeColor="text1"/>
          <w:sz w:val="24"/>
          <w:szCs w:val="24"/>
        </w:rPr>
        <w:t>.</w:t>
      </w:r>
      <w:bookmarkEnd w:id="1"/>
    </w:p>
    <w:p w14:paraId="46E12BCF" w14:textId="475A75DF" w:rsidR="008E331A" w:rsidRDefault="008E331A" w:rsidP="008E331A"/>
    <w:p w14:paraId="7468C566" w14:textId="7269CEA4" w:rsidR="008E331A" w:rsidRDefault="008E331A" w:rsidP="008E331A"/>
    <w:p w14:paraId="56D9781E" w14:textId="77777777" w:rsidR="008E331A" w:rsidRDefault="008E331A" w:rsidP="008E331A">
      <w:pPr>
        <w:keepNext/>
        <w:spacing w:line="360" w:lineRule="auto"/>
        <w:jc w:val="center"/>
      </w:pPr>
      <w:r w:rsidRPr="00A07ED4">
        <w:rPr>
          <w:rFonts w:ascii="Times" w:hAnsi="Times"/>
          <w:b/>
          <w:bCs/>
          <w:noProof/>
        </w:rPr>
        <w:drawing>
          <wp:inline distT="0" distB="0" distL="0" distR="0" wp14:anchorId="4C8C556C" wp14:editId="15483FAE">
            <wp:extent cx="3508202" cy="3403600"/>
            <wp:effectExtent l="0" t="0" r="0" b="0"/>
            <wp:docPr id="5" name="Picture 5"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ox and whisker chart&#10;&#10;Description automatically generated"/>
                    <pic:cNvPicPr/>
                  </pic:nvPicPr>
                  <pic:blipFill>
                    <a:blip r:embed="rId7"/>
                    <a:stretch>
                      <a:fillRect/>
                    </a:stretch>
                  </pic:blipFill>
                  <pic:spPr>
                    <a:xfrm>
                      <a:off x="0" y="0"/>
                      <a:ext cx="3511434" cy="3406736"/>
                    </a:xfrm>
                    <a:prstGeom prst="rect">
                      <a:avLst/>
                    </a:prstGeom>
                  </pic:spPr>
                </pic:pic>
              </a:graphicData>
            </a:graphic>
          </wp:inline>
        </w:drawing>
      </w:r>
    </w:p>
    <w:p w14:paraId="6FE202A5" w14:textId="65C05949" w:rsidR="008E331A" w:rsidRPr="00477035" w:rsidRDefault="008E331A" w:rsidP="008E331A">
      <w:pPr>
        <w:pStyle w:val="Caption"/>
        <w:jc w:val="both"/>
        <w:rPr>
          <w:rFonts w:ascii="Times New Roman" w:hAnsi="Times New Roman" w:cs="Times New Roman"/>
          <w:b/>
          <w:bCs/>
          <w:i w:val="0"/>
          <w:iCs w:val="0"/>
          <w:color w:val="000000" w:themeColor="text1"/>
          <w:sz w:val="24"/>
          <w:szCs w:val="24"/>
        </w:rPr>
      </w:pPr>
      <w:bookmarkStart w:id="2" w:name="_Toc120344895"/>
      <w:r w:rsidRPr="00477035">
        <w:rPr>
          <w:rFonts w:ascii="Times New Roman" w:hAnsi="Times New Roman" w:cs="Times New Roman"/>
          <w:i w:val="0"/>
          <w:iCs w:val="0"/>
          <w:color w:val="000000" w:themeColor="text1"/>
          <w:sz w:val="24"/>
          <w:szCs w:val="24"/>
        </w:rPr>
        <w:t xml:space="preserve">Figure </w:t>
      </w:r>
      <w:r>
        <w:rPr>
          <w:rFonts w:ascii="Times New Roman" w:hAnsi="Times New Roman" w:cs="Times New Roman"/>
          <w:i w:val="0"/>
          <w:iCs w:val="0"/>
          <w:color w:val="000000" w:themeColor="text1"/>
          <w:sz w:val="24"/>
          <w:szCs w:val="24"/>
        </w:rPr>
        <w:t>3.</w:t>
      </w:r>
      <w:r w:rsidRPr="00477035">
        <w:rPr>
          <w:rFonts w:ascii="Times New Roman" w:hAnsi="Times New Roman" w:cs="Times New Roman"/>
          <w:i w:val="0"/>
          <w:iCs w:val="0"/>
          <w:color w:val="000000" w:themeColor="text1"/>
          <w:sz w:val="24"/>
          <w:szCs w:val="24"/>
        </w:rPr>
        <w:t xml:space="preserve"> Distribution of grain yield</w:t>
      </w:r>
      <w:r>
        <w:rPr>
          <w:rFonts w:ascii="Times New Roman" w:hAnsi="Times New Roman" w:cs="Times New Roman"/>
          <w:i w:val="0"/>
          <w:iCs w:val="0"/>
          <w:color w:val="000000" w:themeColor="text1"/>
          <w:sz w:val="24"/>
          <w:szCs w:val="24"/>
        </w:rPr>
        <w:t xml:space="preserve"> (Mg ha</w:t>
      </w:r>
      <w:r w:rsidRPr="008E331A">
        <w:rPr>
          <w:rFonts w:ascii="Times New Roman" w:hAnsi="Times New Roman" w:cs="Times New Roman"/>
          <w:i w:val="0"/>
          <w:iCs w:val="0"/>
          <w:color w:val="000000" w:themeColor="text1"/>
          <w:sz w:val="24"/>
          <w:szCs w:val="24"/>
          <w:vertAlign w:val="superscript"/>
        </w:rPr>
        <w:t>-1</w:t>
      </w:r>
      <w:r>
        <w:rPr>
          <w:rFonts w:ascii="Times New Roman" w:hAnsi="Times New Roman" w:cs="Times New Roman"/>
          <w:i w:val="0"/>
          <w:iCs w:val="0"/>
          <w:color w:val="000000" w:themeColor="text1"/>
          <w:sz w:val="24"/>
          <w:szCs w:val="24"/>
        </w:rPr>
        <w:t>)</w:t>
      </w:r>
      <w:r w:rsidRPr="00477035">
        <w:rPr>
          <w:rFonts w:ascii="Times New Roman" w:hAnsi="Times New Roman" w:cs="Times New Roman"/>
          <w:i w:val="0"/>
          <w:iCs w:val="0"/>
          <w:color w:val="000000" w:themeColor="text1"/>
          <w:sz w:val="24"/>
          <w:szCs w:val="24"/>
        </w:rPr>
        <w:t xml:space="preserve"> as related to Fe-EDDHA rates for both varieties. Numbers inside the boxplots indicate the average grain yield. Black letters on top denote significant differences in grain yield (</w:t>
      </w:r>
      <w:r w:rsidRPr="008E331A">
        <w:rPr>
          <w:rFonts w:ascii="Times New Roman" w:hAnsi="Times New Roman" w:cs="Times New Roman"/>
          <w:color w:val="000000" w:themeColor="text1"/>
          <w:sz w:val="24"/>
          <w:szCs w:val="24"/>
        </w:rPr>
        <w:t>P</w:t>
      </w:r>
      <w:r w:rsidRPr="00477035">
        <w:rPr>
          <w:rFonts w:ascii="Times New Roman" w:hAnsi="Times New Roman" w:cs="Times New Roman"/>
          <w:i w:val="0"/>
          <w:iCs w:val="0"/>
          <w:color w:val="000000" w:themeColor="text1"/>
          <w:sz w:val="24"/>
          <w:szCs w:val="24"/>
        </w:rPr>
        <w:t xml:space="preserve"> &lt; 0.05) across varieties and Fe-EDDHA rates.</w:t>
      </w:r>
      <w:bookmarkEnd w:id="2"/>
    </w:p>
    <w:p w14:paraId="60295BB1" w14:textId="0FBFAC63" w:rsidR="008E331A" w:rsidRDefault="008E331A" w:rsidP="008E331A"/>
    <w:p w14:paraId="474511F4" w14:textId="77777777" w:rsidR="008E331A" w:rsidRPr="008E331A" w:rsidRDefault="008E331A" w:rsidP="008E331A"/>
    <w:p w14:paraId="6EB06473" w14:textId="77777777" w:rsidR="008E331A" w:rsidRDefault="008E331A" w:rsidP="008E331A">
      <w:pPr>
        <w:keepNext/>
        <w:jc w:val="center"/>
      </w:pPr>
      <w:r w:rsidRPr="00497CAF">
        <w:rPr>
          <w:rFonts w:ascii="Times" w:hAnsi="Times"/>
          <w:noProof/>
        </w:rPr>
        <w:drawing>
          <wp:inline distT="0" distB="0" distL="0" distR="0" wp14:anchorId="2D73C243" wp14:editId="7B808C01">
            <wp:extent cx="3232150" cy="2576772"/>
            <wp:effectExtent l="0" t="0" r="0" b="1905"/>
            <wp:docPr id="13" name="Picture 12" descr="Chart, box and whisker chart&#10;&#10;Description automatically generated">
              <a:extLst xmlns:a="http://schemas.openxmlformats.org/drawingml/2006/main">
                <a:ext uri="{FF2B5EF4-FFF2-40B4-BE49-F238E27FC236}">
                  <a16:creationId xmlns:a16="http://schemas.microsoft.com/office/drawing/2014/main" id="{CEC93398-136E-8A83-D868-CEA52DFB7E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Chart, box and whisker chart&#10;&#10;Description automatically generated">
                      <a:extLst>
                        <a:ext uri="{FF2B5EF4-FFF2-40B4-BE49-F238E27FC236}">
                          <a16:creationId xmlns:a16="http://schemas.microsoft.com/office/drawing/2014/main" id="{CEC93398-136E-8A83-D868-CEA52DFB7E4C}"/>
                        </a:ext>
                      </a:extLst>
                    </pic:cNvPr>
                    <pic:cNvPicPr>
                      <a:picLocks noChangeAspect="1"/>
                    </pic:cNvPicPr>
                  </pic:nvPicPr>
                  <pic:blipFill>
                    <a:blip r:embed="rId8"/>
                    <a:stretch>
                      <a:fillRect/>
                    </a:stretch>
                  </pic:blipFill>
                  <pic:spPr>
                    <a:xfrm>
                      <a:off x="0" y="0"/>
                      <a:ext cx="3235506" cy="2579448"/>
                    </a:xfrm>
                    <a:prstGeom prst="rect">
                      <a:avLst/>
                    </a:prstGeom>
                  </pic:spPr>
                </pic:pic>
              </a:graphicData>
            </a:graphic>
          </wp:inline>
        </w:drawing>
      </w:r>
    </w:p>
    <w:p w14:paraId="000A7D40" w14:textId="4249B906" w:rsidR="008E331A" w:rsidRPr="00477035" w:rsidRDefault="008E331A" w:rsidP="008E331A">
      <w:pPr>
        <w:pStyle w:val="Caption"/>
        <w:jc w:val="both"/>
        <w:rPr>
          <w:rFonts w:ascii="Times New Roman" w:hAnsi="Times New Roman" w:cs="Times New Roman"/>
          <w:i w:val="0"/>
          <w:iCs w:val="0"/>
          <w:color w:val="000000" w:themeColor="text1"/>
          <w:sz w:val="24"/>
          <w:szCs w:val="24"/>
        </w:rPr>
      </w:pPr>
      <w:bookmarkStart w:id="3" w:name="_Toc120344896"/>
      <w:r w:rsidRPr="00477035">
        <w:rPr>
          <w:rFonts w:ascii="Times New Roman" w:hAnsi="Times New Roman" w:cs="Times New Roman"/>
          <w:i w:val="0"/>
          <w:iCs w:val="0"/>
          <w:color w:val="000000" w:themeColor="text1"/>
          <w:sz w:val="24"/>
          <w:szCs w:val="24"/>
        </w:rPr>
        <w:t xml:space="preserve">Figure </w:t>
      </w:r>
      <w:r>
        <w:rPr>
          <w:rFonts w:ascii="Times New Roman" w:hAnsi="Times New Roman" w:cs="Times New Roman"/>
          <w:i w:val="0"/>
          <w:iCs w:val="0"/>
          <w:color w:val="000000" w:themeColor="text1"/>
          <w:sz w:val="24"/>
          <w:szCs w:val="24"/>
        </w:rPr>
        <w:t>4.</w:t>
      </w:r>
      <w:r w:rsidRPr="00477035">
        <w:rPr>
          <w:rFonts w:ascii="Times New Roman" w:hAnsi="Times New Roman" w:cs="Times New Roman"/>
          <w:i w:val="0"/>
          <w:iCs w:val="0"/>
          <w:color w:val="000000" w:themeColor="text1"/>
          <w:sz w:val="24"/>
          <w:szCs w:val="24"/>
        </w:rPr>
        <w:t xml:space="preserve"> Distribution of grain yield as related to seeding rates. Numbers inside the boxplots indicate the average grain yield. Black letters on top denote significant differences in grain yield (</w:t>
      </w:r>
      <w:r w:rsidRPr="00A56C65">
        <w:rPr>
          <w:rFonts w:ascii="Times New Roman" w:hAnsi="Times New Roman" w:cs="Times New Roman"/>
          <w:color w:val="000000" w:themeColor="text1"/>
          <w:sz w:val="24"/>
          <w:szCs w:val="24"/>
        </w:rPr>
        <w:t>P</w:t>
      </w:r>
      <w:r w:rsidRPr="00477035">
        <w:rPr>
          <w:rFonts w:ascii="Times New Roman" w:hAnsi="Times New Roman" w:cs="Times New Roman"/>
          <w:i w:val="0"/>
          <w:iCs w:val="0"/>
          <w:color w:val="000000" w:themeColor="text1"/>
          <w:sz w:val="24"/>
          <w:szCs w:val="24"/>
        </w:rPr>
        <w:t xml:space="preserve"> &lt; 0.05) between seeding rates tested.</w:t>
      </w:r>
      <w:bookmarkEnd w:id="3"/>
    </w:p>
    <w:p w14:paraId="72D4CAA9" w14:textId="77777777" w:rsidR="00E80413" w:rsidRPr="00FF0435" w:rsidRDefault="00E80413" w:rsidP="00FF0435">
      <w:pPr>
        <w:spacing w:line="360" w:lineRule="auto"/>
        <w:rPr>
          <w:rFonts w:ascii="Times" w:hAnsi="Times"/>
        </w:rPr>
      </w:pPr>
    </w:p>
    <w:sectPr w:rsidR="00E80413" w:rsidRPr="00FF04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F03C0"/>
    <w:multiLevelType w:val="hybridMultilevel"/>
    <w:tmpl w:val="81483BB8"/>
    <w:lvl w:ilvl="0" w:tplc="2A56763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2C704C"/>
    <w:multiLevelType w:val="hybridMultilevel"/>
    <w:tmpl w:val="690C57A6"/>
    <w:lvl w:ilvl="0" w:tplc="619C22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C02428"/>
    <w:multiLevelType w:val="hybridMultilevel"/>
    <w:tmpl w:val="8514E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9A382E"/>
    <w:multiLevelType w:val="hybridMultilevel"/>
    <w:tmpl w:val="0F524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FA4EB8"/>
    <w:multiLevelType w:val="hybridMultilevel"/>
    <w:tmpl w:val="412E0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7946275">
    <w:abstractNumId w:val="1"/>
  </w:num>
  <w:num w:numId="2" w16cid:durableId="929241373">
    <w:abstractNumId w:val="0"/>
  </w:num>
  <w:num w:numId="3" w16cid:durableId="1859856394">
    <w:abstractNumId w:val="2"/>
  </w:num>
  <w:num w:numId="4" w16cid:durableId="1617521016">
    <w:abstractNumId w:val="4"/>
  </w:num>
  <w:num w:numId="5" w16cid:durableId="19158969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B65"/>
    <w:rsid w:val="00004CEB"/>
    <w:rsid w:val="000676F5"/>
    <w:rsid w:val="000F2D0A"/>
    <w:rsid w:val="001E4C80"/>
    <w:rsid w:val="001F2EC0"/>
    <w:rsid w:val="002326B2"/>
    <w:rsid w:val="003633B3"/>
    <w:rsid w:val="003636CA"/>
    <w:rsid w:val="003A6E8F"/>
    <w:rsid w:val="004305B0"/>
    <w:rsid w:val="004C1802"/>
    <w:rsid w:val="00513D80"/>
    <w:rsid w:val="00530C5E"/>
    <w:rsid w:val="005A73C8"/>
    <w:rsid w:val="005E69EF"/>
    <w:rsid w:val="006154B6"/>
    <w:rsid w:val="00646C4D"/>
    <w:rsid w:val="006977F8"/>
    <w:rsid w:val="00746F48"/>
    <w:rsid w:val="00771A54"/>
    <w:rsid w:val="00781C98"/>
    <w:rsid w:val="007F3E66"/>
    <w:rsid w:val="00820EDB"/>
    <w:rsid w:val="008E331A"/>
    <w:rsid w:val="00901B65"/>
    <w:rsid w:val="009649A6"/>
    <w:rsid w:val="0099772A"/>
    <w:rsid w:val="009A43A5"/>
    <w:rsid w:val="009C3643"/>
    <w:rsid w:val="009D4A62"/>
    <w:rsid w:val="00A314A4"/>
    <w:rsid w:val="00A54A48"/>
    <w:rsid w:val="00A563E2"/>
    <w:rsid w:val="00A56C65"/>
    <w:rsid w:val="00AE0F2B"/>
    <w:rsid w:val="00B62210"/>
    <w:rsid w:val="00B82730"/>
    <w:rsid w:val="00B9534B"/>
    <w:rsid w:val="00BC1FF7"/>
    <w:rsid w:val="00C07DFA"/>
    <w:rsid w:val="00C67969"/>
    <w:rsid w:val="00D3612E"/>
    <w:rsid w:val="00E26CC6"/>
    <w:rsid w:val="00E80413"/>
    <w:rsid w:val="00EA2E2F"/>
    <w:rsid w:val="00EF2EA3"/>
    <w:rsid w:val="00F11B9D"/>
    <w:rsid w:val="00FC6761"/>
    <w:rsid w:val="00FF04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C20B19"/>
  <w15:chartTrackingRefBased/>
  <w15:docId w15:val="{43624F80-A00A-5847-8C8C-24693A107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1B65"/>
    <w:pPr>
      <w:ind w:left="720"/>
      <w:contextualSpacing/>
    </w:pPr>
  </w:style>
  <w:style w:type="paragraph" w:styleId="NormalWeb">
    <w:name w:val="Normal (Web)"/>
    <w:basedOn w:val="Normal"/>
    <w:uiPriority w:val="99"/>
    <w:semiHidden/>
    <w:unhideWhenUsed/>
    <w:rsid w:val="006977F8"/>
    <w:pPr>
      <w:spacing w:before="100" w:beforeAutospacing="1" w:after="100" w:afterAutospacing="1"/>
    </w:pPr>
    <w:rPr>
      <w:rFonts w:ascii="Times New Roman" w:eastAsia="Times New Roman" w:hAnsi="Times New Roman" w:cs="Times New Roman"/>
    </w:rPr>
  </w:style>
  <w:style w:type="paragraph" w:styleId="Caption">
    <w:name w:val="caption"/>
    <w:basedOn w:val="Normal"/>
    <w:next w:val="Normal"/>
    <w:uiPriority w:val="35"/>
    <w:unhideWhenUsed/>
    <w:qFormat/>
    <w:rsid w:val="008E331A"/>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4252697">
      <w:bodyDiv w:val="1"/>
      <w:marLeft w:val="0"/>
      <w:marRight w:val="0"/>
      <w:marTop w:val="0"/>
      <w:marBottom w:val="0"/>
      <w:divBdr>
        <w:top w:val="none" w:sz="0" w:space="0" w:color="auto"/>
        <w:left w:val="none" w:sz="0" w:space="0" w:color="auto"/>
        <w:bottom w:val="none" w:sz="0" w:space="0" w:color="auto"/>
        <w:right w:val="none" w:sz="0" w:space="0" w:color="auto"/>
      </w:divBdr>
    </w:div>
    <w:div w:id="862979592">
      <w:bodyDiv w:val="1"/>
      <w:marLeft w:val="0"/>
      <w:marRight w:val="0"/>
      <w:marTop w:val="0"/>
      <w:marBottom w:val="0"/>
      <w:divBdr>
        <w:top w:val="none" w:sz="0" w:space="0" w:color="auto"/>
        <w:left w:val="none" w:sz="0" w:space="0" w:color="auto"/>
        <w:bottom w:val="none" w:sz="0" w:space="0" w:color="auto"/>
        <w:right w:val="none" w:sz="0" w:space="0" w:color="auto"/>
      </w:divBdr>
    </w:div>
    <w:div w:id="1232929813">
      <w:bodyDiv w:val="1"/>
      <w:marLeft w:val="0"/>
      <w:marRight w:val="0"/>
      <w:marTop w:val="0"/>
      <w:marBottom w:val="0"/>
      <w:divBdr>
        <w:top w:val="none" w:sz="0" w:space="0" w:color="auto"/>
        <w:left w:val="none" w:sz="0" w:space="0" w:color="auto"/>
        <w:bottom w:val="none" w:sz="0" w:space="0" w:color="auto"/>
        <w:right w:val="none" w:sz="0" w:space="0" w:color="auto"/>
      </w:divBdr>
    </w:div>
    <w:div w:id="1373308573">
      <w:bodyDiv w:val="1"/>
      <w:marLeft w:val="0"/>
      <w:marRight w:val="0"/>
      <w:marTop w:val="0"/>
      <w:marBottom w:val="0"/>
      <w:divBdr>
        <w:top w:val="none" w:sz="0" w:space="0" w:color="auto"/>
        <w:left w:val="none" w:sz="0" w:space="0" w:color="auto"/>
        <w:bottom w:val="none" w:sz="0" w:space="0" w:color="auto"/>
        <w:right w:val="none" w:sz="0" w:space="0" w:color="auto"/>
      </w:divBdr>
      <w:divsChild>
        <w:div w:id="403837181">
          <w:marLeft w:val="0"/>
          <w:marRight w:val="0"/>
          <w:marTop w:val="0"/>
          <w:marBottom w:val="0"/>
          <w:divBdr>
            <w:top w:val="none" w:sz="0" w:space="0" w:color="auto"/>
            <w:left w:val="none" w:sz="0" w:space="0" w:color="auto"/>
            <w:bottom w:val="none" w:sz="0" w:space="0" w:color="auto"/>
            <w:right w:val="none" w:sz="0" w:space="0" w:color="auto"/>
          </w:divBdr>
          <w:divsChild>
            <w:div w:id="601646852">
              <w:marLeft w:val="0"/>
              <w:marRight w:val="0"/>
              <w:marTop w:val="0"/>
              <w:marBottom w:val="0"/>
              <w:divBdr>
                <w:top w:val="none" w:sz="0" w:space="0" w:color="auto"/>
                <w:left w:val="none" w:sz="0" w:space="0" w:color="auto"/>
                <w:bottom w:val="none" w:sz="0" w:space="0" w:color="auto"/>
                <w:right w:val="none" w:sz="0" w:space="0" w:color="auto"/>
              </w:divBdr>
              <w:divsChild>
                <w:div w:id="1533347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83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1234</Words>
  <Characters>7040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Maykon J Da Silva</dc:creator>
  <cp:keywords/>
  <dc:description/>
  <cp:lastModifiedBy>Maykon J Da Silva</cp:lastModifiedBy>
  <cp:revision>5</cp:revision>
  <dcterms:created xsi:type="dcterms:W3CDTF">2022-11-28T22:05:00Z</dcterms:created>
  <dcterms:modified xsi:type="dcterms:W3CDTF">2022-11-28T22:06:00Z</dcterms:modified>
</cp:coreProperties>
</file>