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65060" w14:textId="4A4803A3" w:rsidR="0009437E" w:rsidRPr="0009437E" w:rsidRDefault="0009437E" w:rsidP="0009437E">
      <w:pPr>
        <w:rPr>
          <w:rFonts w:ascii="Arial" w:hAnsi="Arial" w:cs="Arial"/>
          <w:sz w:val="28"/>
          <w:szCs w:val="28"/>
        </w:rPr>
      </w:pPr>
      <w:r w:rsidRPr="0009437E">
        <w:rPr>
          <w:rFonts w:ascii="Arial" w:hAnsi="Arial" w:cs="Arial"/>
          <w:sz w:val="24"/>
          <w:szCs w:val="24"/>
        </w:rPr>
        <w:t xml:space="preserve">Two-Part QTL Mapping Reveals Genetic Determinants of </w:t>
      </w:r>
      <w:r w:rsidRPr="0009437E">
        <w:rPr>
          <w:rFonts w:ascii="Arial" w:hAnsi="Arial" w:cs="Arial"/>
          <w:i/>
          <w:iCs/>
          <w:sz w:val="24"/>
          <w:szCs w:val="24"/>
        </w:rPr>
        <w:t xml:space="preserve">F. </w:t>
      </w:r>
      <w:proofErr w:type="spellStart"/>
      <w:r w:rsidRPr="0009437E">
        <w:rPr>
          <w:rFonts w:ascii="Arial" w:hAnsi="Arial" w:cs="Arial"/>
          <w:i/>
          <w:iCs/>
          <w:sz w:val="24"/>
          <w:szCs w:val="24"/>
        </w:rPr>
        <w:t>graminearum</w:t>
      </w:r>
      <w:proofErr w:type="spellEnd"/>
      <w:r w:rsidRPr="0009437E">
        <w:rPr>
          <w:rFonts w:ascii="Arial" w:hAnsi="Arial" w:cs="Arial"/>
          <w:sz w:val="24"/>
          <w:szCs w:val="24"/>
        </w:rPr>
        <w:t xml:space="preserve"> resistance in Soybean</w:t>
      </w:r>
    </w:p>
    <w:p w14:paraId="4BB3B03A" w14:textId="640BE392" w:rsidR="0009437E" w:rsidRPr="0009437E" w:rsidRDefault="0009437E" w:rsidP="0009437E">
      <w:pPr>
        <w:rPr>
          <w:rFonts w:ascii="Arial" w:eastAsia="Times New Roman" w:hAnsi="Arial" w:cs="Arial"/>
          <w:sz w:val="24"/>
          <w:szCs w:val="24"/>
          <w:lang w:eastAsia="zh-CN"/>
        </w:rPr>
      </w:pPr>
      <w:r w:rsidRPr="0009437E">
        <w:rPr>
          <w:rFonts w:ascii="Arial" w:hAnsi="Arial" w:cs="Arial"/>
          <w:sz w:val="24"/>
          <w:szCs w:val="24"/>
        </w:rPr>
        <w:t>Christopher Detranaltes</w:t>
      </w:r>
      <w:r w:rsidRPr="0009437E">
        <w:rPr>
          <w:rFonts w:ascii="Arial" w:hAnsi="Arial" w:cs="Arial"/>
          <w:sz w:val="24"/>
          <w:szCs w:val="24"/>
          <w:vertAlign w:val="superscript"/>
        </w:rPr>
        <w:t>1</w:t>
      </w:r>
      <w:r w:rsidRPr="0009437E">
        <w:rPr>
          <w:rFonts w:ascii="Arial" w:hAnsi="Arial" w:cs="Arial"/>
          <w:sz w:val="24"/>
          <w:szCs w:val="24"/>
        </w:rPr>
        <w:t>, Jianxin Ma</w:t>
      </w:r>
      <w:r w:rsidRPr="0009437E">
        <w:rPr>
          <w:rFonts w:ascii="Arial" w:hAnsi="Arial" w:cs="Arial"/>
          <w:sz w:val="24"/>
          <w:szCs w:val="24"/>
          <w:vertAlign w:val="superscript"/>
        </w:rPr>
        <w:t>1 2</w:t>
      </w:r>
      <w:r w:rsidRPr="0009437E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09437E">
        <w:rPr>
          <w:rFonts w:ascii="Arial" w:hAnsi="Arial" w:cs="Arial"/>
          <w:sz w:val="24"/>
          <w:szCs w:val="24"/>
        </w:rPr>
        <w:t>Guohong</w:t>
      </w:r>
      <w:proofErr w:type="spellEnd"/>
      <w:r w:rsidRPr="0009437E">
        <w:rPr>
          <w:rFonts w:ascii="Arial" w:hAnsi="Arial" w:cs="Arial"/>
          <w:sz w:val="24"/>
          <w:szCs w:val="24"/>
        </w:rPr>
        <w:t xml:space="preserve"> Cai</w:t>
      </w:r>
      <w:r w:rsidRPr="0009437E">
        <w:rPr>
          <w:rFonts w:ascii="Arial" w:hAnsi="Arial" w:cs="Arial"/>
          <w:sz w:val="24"/>
          <w:szCs w:val="24"/>
          <w:vertAlign w:val="superscript"/>
        </w:rPr>
        <w:t xml:space="preserve">1 3 </w:t>
      </w:r>
      <w:r w:rsidRPr="0009437E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 xml:space="preserve">† </w:t>
      </w:r>
    </w:p>
    <w:p w14:paraId="477C8027" w14:textId="77777777" w:rsidR="0009437E" w:rsidRPr="0009437E" w:rsidRDefault="0009437E" w:rsidP="0009437E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9437E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09437E">
        <w:rPr>
          <w:rFonts w:ascii="Arial" w:hAnsi="Arial" w:cs="Arial"/>
          <w:sz w:val="24"/>
          <w:szCs w:val="24"/>
        </w:rPr>
        <w:t>Department of Botany and Plant Pathology, Purdue University, West Lafayette, IN 47907</w:t>
      </w:r>
    </w:p>
    <w:p w14:paraId="0E4D4544" w14:textId="77777777" w:rsidR="0009437E" w:rsidRPr="0009437E" w:rsidRDefault="0009437E" w:rsidP="0009437E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09437E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09437E">
        <w:rPr>
          <w:rFonts w:ascii="Arial" w:hAnsi="Arial" w:cs="Arial"/>
          <w:sz w:val="24"/>
          <w:szCs w:val="24"/>
        </w:rPr>
        <w:t>Department of Agronomy, Purdue University, West Lafayette, IN 47907</w:t>
      </w:r>
    </w:p>
    <w:p w14:paraId="45670729" w14:textId="77777777" w:rsidR="0009437E" w:rsidRPr="0009437E" w:rsidRDefault="0009437E" w:rsidP="0009437E">
      <w:pPr>
        <w:spacing w:after="0" w:line="480" w:lineRule="auto"/>
        <w:rPr>
          <w:rStyle w:val="Hyperlink"/>
          <w:rFonts w:ascii="Arial" w:hAnsi="Arial" w:cs="Arial"/>
          <w:sz w:val="24"/>
          <w:szCs w:val="24"/>
        </w:rPr>
      </w:pPr>
      <w:r w:rsidRPr="0009437E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09437E">
        <w:rPr>
          <w:rFonts w:ascii="Arial" w:hAnsi="Arial" w:cs="Arial"/>
          <w:sz w:val="24"/>
          <w:szCs w:val="24"/>
        </w:rPr>
        <w:t xml:space="preserve">Crop Production and Pest Control Research Unit, USDA, West Lafayette, IN 47907 </w:t>
      </w:r>
      <w:r w:rsidRPr="0009437E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>†</w:t>
      </w:r>
      <w:r w:rsidRPr="0009437E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09437E">
          <w:rPr>
            <w:rStyle w:val="Hyperlink"/>
            <w:rFonts w:ascii="Arial" w:hAnsi="Arial" w:cs="Arial"/>
            <w:sz w:val="24"/>
            <w:szCs w:val="24"/>
          </w:rPr>
          <w:t>Guohong.cai@usda.gov</w:t>
        </w:r>
      </w:hyperlink>
    </w:p>
    <w:p w14:paraId="58F2B0D6" w14:textId="77777777" w:rsidR="006A4783" w:rsidRPr="0009437E" w:rsidRDefault="006A4783">
      <w:pPr>
        <w:rPr>
          <w:rFonts w:ascii="Arial" w:hAnsi="Arial" w:cs="Arial"/>
          <w:sz w:val="24"/>
          <w:szCs w:val="24"/>
        </w:rPr>
      </w:pPr>
    </w:p>
    <w:p w14:paraId="4B3CB02F" w14:textId="6F9EB748" w:rsidR="008F649F" w:rsidRPr="0009437E" w:rsidRDefault="00316591">
      <w:pPr>
        <w:rPr>
          <w:rFonts w:ascii="Arial" w:hAnsi="Arial" w:cs="Arial"/>
          <w:sz w:val="24"/>
          <w:szCs w:val="24"/>
        </w:rPr>
      </w:pPr>
      <w:r w:rsidRPr="0009437E">
        <w:rPr>
          <w:rFonts w:ascii="Arial" w:hAnsi="Arial" w:cs="Arial"/>
          <w:sz w:val="24"/>
          <w:szCs w:val="24"/>
        </w:rPr>
        <w:t xml:space="preserve">Soybean seedling disease (SSD) remains one of the largest causes of soybean yield loss in the United States. Recent surveys have pointed towards the growing predominance of </w:t>
      </w:r>
      <w:r w:rsidRPr="0009437E">
        <w:rPr>
          <w:rFonts w:ascii="Arial" w:hAnsi="Arial" w:cs="Arial"/>
          <w:i/>
          <w:iCs/>
          <w:sz w:val="24"/>
          <w:szCs w:val="24"/>
        </w:rPr>
        <w:t xml:space="preserve">Fusarium </w:t>
      </w:r>
      <w:proofErr w:type="spellStart"/>
      <w:r w:rsidRPr="0009437E">
        <w:rPr>
          <w:rFonts w:ascii="Arial" w:hAnsi="Arial" w:cs="Arial"/>
          <w:i/>
          <w:iCs/>
          <w:sz w:val="24"/>
          <w:szCs w:val="24"/>
        </w:rPr>
        <w:t>graminearum</w:t>
      </w:r>
      <w:proofErr w:type="spellEnd"/>
      <w:r w:rsidRPr="0009437E">
        <w:rPr>
          <w:rFonts w:ascii="Arial" w:hAnsi="Arial" w:cs="Arial"/>
          <w:sz w:val="24"/>
          <w:szCs w:val="24"/>
        </w:rPr>
        <w:t xml:space="preserve"> among the causal agents of SSD. We developed an F</w:t>
      </w:r>
      <w:r w:rsidRPr="0009437E">
        <w:rPr>
          <w:rFonts w:ascii="Arial" w:hAnsi="Arial" w:cs="Arial"/>
          <w:sz w:val="24"/>
          <w:szCs w:val="24"/>
          <w:vertAlign w:val="subscript"/>
        </w:rPr>
        <w:t xml:space="preserve">2:3 </w:t>
      </w:r>
      <w:r w:rsidRPr="0009437E">
        <w:rPr>
          <w:rFonts w:ascii="Arial" w:hAnsi="Arial" w:cs="Arial"/>
          <w:sz w:val="24"/>
          <w:szCs w:val="24"/>
        </w:rPr>
        <w:t>mapping population</w:t>
      </w:r>
      <w:r w:rsidR="009F5C86" w:rsidRPr="0009437E">
        <w:rPr>
          <w:rFonts w:ascii="Arial" w:hAnsi="Arial" w:cs="Arial"/>
          <w:sz w:val="24"/>
          <w:szCs w:val="24"/>
        </w:rPr>
        <w:t xml:space="preserve"> consisting of single seed descent derived progeny</w:t>
      </w:r>
      <w:r w:rsidRPr="0009437E">
        <w:rPr>
          <w:rFonts w:ascii="Arial" w:hAnsi="Arial" w:cs="Arial"/>
          <w:sz w:val="24"/>
          <w:szCs w:val="24"/>
        </w:rPr>
        <w:t xml:space="preserve"> from a cross between </w:t>
      </w:r>
      <w:r w:rsidRPr="0009437E">
        <w:rPr>
          <w:rFonts w:ascii="Arial" w:eastAsia="Times New Roman" w:hAnsi="Arial" w:cs="Arial"/>
          <w:color w:val="000000"/>
          <w:sz w:val="24"/>
          <w:szCs w:val="24"/>
        </w:rPr>
        <w:t>PI 438500</w:t>
      </w:r>
      <w:r w:rsidRPr="0009437E">
        <w:rPr>
          <w:rFonts w:ascii="Arial" w:hAnsi="Arial" w:cs="Arial"/>
          <w:sz w:val="24"/>
          <w:szCs w:val="24"/>
        </w:rPr>
        <w:t xml:space="preserve"> × PI 548631 </w:t>
      </w:r>
      <w:r w:rsidR="00D70B21" w:rsidRPr="0009437E">
        <w:rPr>
          <w:rFonts w:ascii="Arial" w:hAnsi="Arial" w:cs="Arial"/>
          <w:sz w:val="24"/>
          <w:szCs w:val="24"/>
        </w:rPr>
        <w:t>(</w:t>
      </w:r>
      <w:r w:rsidRPr="0009437E">
        <w:rPr>
          <w:rFonts w:ascii="Arial" w:hAnsi="Arial" w:cs="Arial"/>
          <w:sz w:val="24"/>
          <w:szCs w:val="24"/>
        </w:rPr>
        <w:t xml:space="preserve">resistant </w:t>
      </w:r>
      <w:r w:rsidR="00D70B21" w:rsidRPr="0009437E">
        <w:rPr>
          <w:rFonts w:ascii="Arial" w:hAnsi="Arial" w:cs="Arial"/>
          <w:sz w:val="24"/>
          <w:szCs w:val="24"/>
        </w:rPr>
        <w:t xml:space="preserve">× </w:t>
      </w:r>
      <w:r w:rsidRPr="0009437E">
        <w:rPr>
          <w:rFonts w:ascii="Arial" w:hAnsi="Arial" w:cs="Arial"/>
          <w:sz w:val="24"/>
          <w:szCs w:val="24"/>
        </w:rPr>
        <w:t>susceptible</w:t>
      </w:r>
      <w:r w:rsidR="00D70B21" w:rsidRPr="0009437E">
        <w:rPr>
          <w:rFonts w:ascii="Arial" w:hAnsi="Arial" w:cs="Arial"/>
          <w:sz w:val="24"/>
          <w:szCs w:val="24"/>
        </w:rPr>
        <w:t>)</w:t>
      </w:r>
      <w:r w:rsidR="008F6BE4">
        <w:rPr>
          <w:rFonts w:ascii="Arial" w:hAnsi="Arial" w:cs="Arial"/>
          <w:sz w:val="24"/>
          <w:szCs w:val="24"/>
        </w:rPr>
        <w:t xml:space="preserve"> </w:t>
      </w:r>
      <w:r w:rsidR="009F5C86" w:rsidRPr="0009437E">
        <w:rPr>
          <w:rFonts w:ascii="Arial" w:hAnsi="Arial" w:cs="Arial"/>
          <w:sz w:val="24"/>
          <w:szCs w:val="24"/>
        </w:rPr>
        <w:t>and screened them</w:t>
      </w:r>
      <w:r w:rsidR="006A4783" w:rsidRPr="0009437E">
        <w:rPr>
          <w:rFonts w:ascii="Arial" w:hAnsi="Arial" w:cs="Arial"/>
          <w:sz w:val="24"/>
          <w:szCs w:val="24"/>
        </w:rPr>
        <w:t xml:space="preserve"> using a 0-5 visual severity scale</w:t>
      </w:r>
      <w:r w:rsidR="009F5C86" w:rsidRPr="0009437E">
        <w:rPr>
          <w:rFonts w:ascii="Arial" w:hAnsi="Arial" w:cs="Arial"/>
          <w:sz w:val="24"/>
          <w:szCs w:val="24"/>
        </w:rPr>
        <w:t xml:space="preserve"> against a</w:t>
      </w:r>
      <w:r w:rsidR="006A4783" w:rsidRPr="0009437E">
        <w:rPr>
          <w:rFonts w:ascii="Arial" w:hAnsi="Arial" w:cs="Arial"/>
          <w:sz w:val="24"/>
          <w:szCs w:val="24"/>
        </w:rPr>
        <w:t xml:space="preserve"> single</w:t>
      </w:r>
      <w:r w:rsidR="009F5C86" w:rsidRPr="0009437E">
        <w:rPr>
          <w:rFonts w:ascii="Arial" w:hAnsi="Arial" w:cs="Arial"/>
          <w:sz w:val="24"/>
          <w:szCs w:val="24"/>
        </w:rPr>
        <w:t xml:space="preserve"> isolate of </w:t>
      </w:r>
      <w:r w:rsidR="009F5C86" w:rsidRPr="0009437E">
        <w:rPr>
          <w:rFonts w:ascii="Arial" w:hAnsi="Arial" w:cs="Arial"/>
          <w:i/>
          <w:iCs/>
          <w:sz w:val="24"/>
          <w:szCs w:val="24"/>
        </w:rPr>
        <w:t xml:space="preserve">F. </w:t>
      </w:r>
      <w:proofErr w:type="spellStart"/>
      <w:r w:rsidR="009F5C86" w:rsidRPr="0009437E">
        <w:rPr>
          <w:rFonts w:ascii="Arial" w:hAnsi="Arial" w:cs="Arial"/>
          <w:i/>
          <w:iCs/>
          <w:sz w:val="24"/>
          <w:szCs w:val="24"/>
        </w:rPr>
        <w:t>graminearum</w:t>
      </w:r>
      <w:proofErr w:type="spellEnd"/>
      <w:r w:rsidRPr="0009437E">
        <w:rPr>
          <w:rFonts w:ascii="Arial" w:hAnsi="Arial" w:cs="Arial"/>
          <w:sz w:val="24"/>
          <w:szCs w:val="24"/>
        </w:rPr>
        <w:t xml:space="preserve">. </w:t>
      </w:r>
      <w:r w:rsidR="009F5C86" w:rsidRPr="0009437E">
        <w:rPr>
          <w:rFonts w:ascii="Arial" w:hAnsi="Arial" w:cs="Arial"/>
          <w:sz w:val="24"/>
          <w:szCs w:val="24"/>
        </w:rPr>
        <w:t>All plants were genotyped with the BARCSoySNP6K microarray and</w:t>
      </w:r>
      <w:r w:rsidR="0009437E">
        <w:rPr>
          <w:rFonts w:ascii="Arial" w:hAnsi="Arial" w:cs="Arial"/>
          <w:sz w:val="24"/>
          <w:szCs w:val="24"/>
        </w:rPr>
        <w:t xml:space="preserve"> a total of</w:t>
      </w:r>
      <w:r w:rsidR="009F5C86" w:rsidRPr="0009437E">
        <w:rPr>
          <w:rFonts w:ascii="Arial" w:hAnsi="Arial" w:cs="Arial"/>
          <w:sz w:val="24"/>
          <w:szCs w:val="24"/>
        </w:rPr>
        <w:t xml:space="preserve"> 234 </w:t>
      </w:r>
      <w:r w:rsidR="008F6BE4">
        <w:rPr>
          <w:rFonts w:ascii="Arial" w:hAnsi="Arial" w:cs="Arial"/>
          <w:sz w:val="24"/>
          <w:szCs w:val="24"/>
        </w:rPr>
        <w:t xml:space="preserve">screened </w:t>
      </w:r>
      <w:r w:rsidR="009F5C86" w:rsidRPr="0009437E">
        <w:rPr>
          <w:rFonts w:ascii="Arial" w:hAnsi="Arial" w:cs="Arial"/>
          <w:sz w:val="24"/>
          <w:szCs w:val="24"/>
        </w:rPr>
        <w:t xml:space="preserve">progeny yielded high quality genotypic data. </w:t>
      </w:r>
      <w:r w:rsidRPr="0009437E">
        <w:rPr>
          <w:rFonts w:ascii="Arial" w:hAnsi="Arial" w:cs="Arial"/>
          <w:sz w:val="24"/>
          <w:szCs w:val="24"/>
        </w:rPr>
        <w:t>A preliminary two-part model approach, first modelling germination as a binary trait followed by simple interval mapping of surviving seedling</w:t>
      </w:r>
      <w:r w:rsidR="00D70B21" w:rsidRPr="0009437E">
        <w:rPr>
          <w:rFonts w:ascii="Arial" w:hAnsi="Arial" w:cs="Arial"/>
          <w:sz w:val="24"/>
          <w:szCs w:val="24"/>
        </w:rPr>
        <w:t>’</w:t>
      </w:r>
      <w:r w:rsidRPr="0009437E">
        <w:rPr>
          <w:rFonts w:ascii="Arial" w:hAnsi="Arial" w:cs="Arial"/>
          <w:sz w:val="24"/>
          <w:szCs w:val="24"/>
        </w:rPr>
        <w:t xml:space="preserve">s visual severity scores, was applied to identify </w:t>
      </w:r>
      <w:r w:rsidR="00933699">
        <w:rPr>
          <w:rFonts w:ascii="Arial" w:hAnsi="Arial" w:cs="Arial"/>
          <w:sz w:val="24"/>
          <w:szCs w:val="24"/>
        </w:rPr>
        <w:t>quantitative trait loci (</w:t>
      </w:r>
      <w:r w:rsidRPr="0009437E">
        <w:rPr>
          <w:rFonts w:ascii="Arial" w:hAnsi="Arial" w:cs="Arial"/>
          <w:sz w:val="24"/>
          <w:szCs w:val="24"/>
        </w:rPr>
        <w:t>QTL</w:t>
      </w:r>
      <w:r w:rsidR="00933699">
        <w:rPr>
          <w:rFonts w:ascii="Arial" w:hAnsi="Arial" w:cs="Arial"/>
          <w:sz w:val="24"/>
          <w:szCs w:val="24"/>
        </w:rPr>
        <w:t>)</w:t>
      </w:r>
      <w:r w:rsidRPr="0009437E">
        <w:rPr>
          <w:rFonts w:ascii="Arial" w:hAnsi="Arial" w:cs="Arial"/>
          <w:sz w:val="24"/>
          <w:szCs w:val="24"/>
        </w:rPr>
        <w:t xml:space="preserve"> underlying the observed resistance to </w:t>
      </w:r>
      <w:r w:rsidRPr="0009437E">
        <w:rPr>
          <w:rFonts w:ascii="Arial" w:hAnsi="Arial" w:cs="Arial"/>
          <w:i/>
          <w:iCs/>
          <w:sz w:val="24"/>
          <w:szCs w:val="24"/>
        </w:rPr>
        <w:t xml:space="preserve">F. </w:t>
      </w:r>
      <w:proofErr w:type="spellStart"/>
      <w:r w:rsidRPr="0009437E">
        <w:rPr>
          <w:rFonts w:ascii="Arial" w:hAnsi="Arial" w:cs="Arial"/>
          <w:i/>
          <w:iCs/>
          <w:sz w:val="24"/>
          <w:szCs w:val="24"/>
        </w:rPr>
        <w:t>graminearum</w:t>
      </w:r>
      <w:proofErr w:type="spellEnd"/>
      <w:r w:rsidRPr="0009437E">
        <w:rPr>
          <w:rFonts w:ascii="Arial" w:hAnsi="Arial" w:cs="Arial"/>
          <w:sz w:val="24"/>
          <w:szCs w:val="24"/>
        </w:rPr>
        <w:t>. Through this method, two significant QTL were detected</w:t>
      </w:r>
      <w:r w:rsidR="00D70B21" w:rsidRPr="0009437E">
        <w:rPr>
          <w:rFonts w:ascii="Arial" w:hAnsi="Arial" w:cs="Arial"/>
          <w:sz w:val="24"/>
          <w:szCs w:val="24"/>
        </w:rPr>
        <w:t xml:space="preserve"> and </w:t>
      </w:r>
      <w:r w:rsidRPr="0009437E">
        <w:rPr>
          <w:rFonts w:ascii="Arial" w:hAnsi="Arial" w:cs="Arial"/>
          <w:sz w:val="24"/>
          <w:szCs w:val="24"/>
        </w:rPr>
        <w:t xml:space="preserve">localized to chromosome 3 and 17. </w:t>
      </w:r>
      <w:r w:rsidR="00933699">
        <w:rPr>
          <w:rFonts w:ascii="Arial" w:hAnsi="Arial" w:cs="Arial"/>
          <w:sz w:val="24"/>
          <w:szCs w:val="24"/>
        </w:rPr>
        <w:t>Logarithm of the odds (</w:t>
      </w:r>
      <w:r w:rsidRPr="0009437E">
        <w:rPr>
          <w:rFonts w:ascii="Arial" w:hAnsi="Arial" w:cs="Arial"/>
          <w:sz w:val="24"/>
          <w:szCs w:val="24"/>
        </w:rPr>
        <w:t>LOD</w:t>
      </w:r>
      <w:r w:rsidR="00933699">
        <w:rPr>
          <w:rFonts w:ascii="Arial" w:hAnsi="Arial" w:cs="Arial"/>
          <w:sz w:val="24"/>
          <w:szCs w:val="24"/>
        </w:rPr>
        <w:t>)</w:t>
      </w:r>
      <w:r w:rsidRPr="0009437E">
        <w:rPr>
          <w:rFonts w:ascii="Arial" w:hAnsi="Arial" w:cs="Arial"/>
          <w:sz w:val="24"/>
          <w:szCs w:val="24"/>
        </w:rPr>
        <w:t xml:space="preserve"> intervals surrounding the peak markers of each QTL were generated</w:t>
      </w:r>
      <w:r w:rsidR="006A4783" w:rsidRPr="0009437E">
        <w:rPr>
          <w:rFonts w:ascii="Arial" w:hAnsi="Arial" w:cs="Arial"/>
          <w:sz w:val="24"/>
          <w:szCs w:val="24"/>
        </w:rPr>
        <w:t xml:space="preserve"> </w:t>
      </w:r>
      <w:r w:rsidR="00D70B21" w:rsidRPr="0009437E">
        <w:rPr>
          <w:rFonts w:ascii="Arial" w:hAnsi="Arial" w:cs="Arial"/>
          <w:sz w:val="24"/>
          <w:szCs w:val="24"/>
        </w:rPr>
        <w:t xml:space="preserve">indicating the QTL were confidently mapped to 234.2 and 483.1 </w:t>
      </w:r>
      <w:proofErr w:type="spellStart"/>
      <w:r w:rsidR="00D70B21" w:rsidRPr="0009437E">
        <w:rPr>
          <w:rFonts w:ascii="Arial" w:hAnsi="Arial" w:cs="Arial"/>
          <w:sz w:val="24"/>
          <w:szCs w:val="24"/>
        </w:rPr>
        <w:t>kbp</w:t>
      </w:r>
      <w:proofErr w:type="spellEnd"/>
      <w:r w:rsidR="00D70B21" w:rsidRPr="0009437E">
        <w:rPr>
          <w:rFonts w:ascii="Arial" w:hAnsi="Arial" w:cs="Arial"/>
          <w:sz w:val="24"/>
          <w:szCs w:val="24"/>
        </w:rPr>
        <w:t xml:space="preserve"> region</w:t>
      </w:r>
      <w:r w:rsidR="00933699">
        <w:rPr>
          <w:rFonts w:ascii="Arial" w:hAnsi="Arial" w:cs="Arial"/>
          <w:sz w:val="24"/>
          <w:szCs w:val="24"/>
        </w:rPr>
        <w:t>s</w:t>
      </w:r>
      <w:r w:rsidR="00D70B21" w:rsidRPr="0009437E">
        <w:rPr>
          <w:rFonts w:ascii="Arial" w:hAnsi="Arial" w:cs="Arial"/>
          <w:sz w:val="24"/>
          <w:szCs w:val="24"/>
        </w:rPr>
        <w:t xml:space="preserve"> </w:t>
      </w:r>
      <w:r w:rsidR="006A4783" w:rsidRPr="0009437E">
        <w:rPr>
          <w:rFonts w:ascii="Arial" w:hAnsi="Arial" w:cs="Arial"/>
          <w:sz w:val="24"/>
          <w:szCs w:val="24"/>
        </w:rPr>
        <w:t xml:space="preserve">while </w:t>
      </w:r>
      <w:r w:rsidR="009F5C86" w:rsidRPr="0009437E">
        <w:rPr>
          <w:rFonts w:ascii="Arial" w:hAnsi="Arial" w:cs="Arial"/>
          <w:sz w:val="24"/>
          <w:szCs w:val="24"/>
        </w:rPr>
        <w:t>additive effect</w:t>
      </w:r>
      <w:r w:rsidR="006A4783" w:rsidRPr="0009437E">
        <w:rPr>
          <w:rFonts w:ascii="Arial" w:hAnsi="Arial" w:cs="Arial"/>
          <w:sz w:val="24"/>
          <w:szCs w:val="24"/>
        </w:rPr>
        <w:t>s to the measure of visual severity were estimated to be 0.60 and 0.54, respectively. Interestingly, heterozygotes at both loci exhibited a lethal phenotype. Our results contribute to a better understanding of the complex polygenic genetic architecture underlying soybean resistance to SSD.</w:t>
      </w:r>
    </w:p>
    <w:sectPr w:rsidR="008F649F" w:rsidRPr="00094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91"/>
    <w:rsid w:val="0009437E"/>
    <w:rsid w:val="00273BDC"/>
    <w:rsid w:val="00316591"/>
    <w:rsid w:val="003D346E"/>
    <w:rsid w:val="006A4783"/>
    <w:rsid w:val="00817851"/>
    <w:rsid w:val="008F649F"/>
    <w:rsid w:val="008F6BE4"/>
    <w:rsid w:val="00933699"/>
    <w:rsid w:val="009F5C86"/>
    <w:rsid w:val="00A51D08"/>
    <w:rsid w:val="00AB3E09"/>
    <w:rsid w:val="00D70B21"/>
    <w:rsid w:val="00E1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8079"/>
  <w15:chartTrackingRefBased/>
  <w15:docId w15:val="{5DAB779D-1449-4F37-8F3F-81DDDF0D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37E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5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5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5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5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5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5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5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6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65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591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65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591"/>
    <w:pPr>
      <w:ind w:left="720"/>
      <w:contextualSpacing/>
    </w:pPr>
    <w:rPr>
      <w:rFonts w:ascii="Times New Roman" w:hAnsi="Times New Roman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65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5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5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943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7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ohong.cai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Detranaltes, Christopher Evan</dc:creator>
  <cp:keywords/>
  <dc:description/>
  <cp:lastModifiedBy>Detranaltes, Christopher Evan</cp:lastModifiedBy>
  <cp:revision>4</cp:revision>
  <dcterms:created xsi:type="dcterms:W3CDTF">2024-03-12T19:05:00Z</dcterms:created>
  <dcterms:modified xsi:type="dcterms:W3CDTF">2024-03-12T20:16:00Z</dcterms:modified>
</cp:coreProperties>
</file>