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169B6" w14:textId="77777777" w:rsidR="0078579B" w:rsidRPr="00496E43" w:rsidRDefault="0078579B" w:rsidP="006424A3">
      <w:pPr>
        <w:snapToGrid w:val="0"/>
        <w:spacing w:before="120" w:after="120"/>
        <w:rPr>
          <w:rFonts w:ascii="Times New Roman" w:hAnsi="Times New Roman" w:cs="Times New Roman"/>
          <w:b/>
        </w:rPr>
      </w:pPr>
    </w:p>
    <w:p w14:paraId="745797AE" w14:textId="4D6D5C0E" w:rsidR="0078579B" w:rsidRPr="00496E43" w:rsidRDefault="0078579B" w:rsidP="006424A3">
      <w:pPr>
        <w:snapToGrid w:val="0"/>
        <w:spacing w:before="120" w:after="120"/>
        <w:rPr>
          <w:rFonts w:ascii="Times New Roman" w:hAnsi="Times New Roman" w:cs="Times New Roman"/>
          <w:bCs/>
        </w:rPr>
      </w:pPr>
      <w:r w:rsidRPr="00496E43">
        <w:rPr>
          <w:rFonts w:ascii="Times New Roman" w:hAnsi="Times New Roman" w:cs="Times New Roman"/>
          <w:b/>
        </w:rPr>
        <w:t xml:space="preserve">Project Title: </w:t>
      </w:r>
      <w:proofErr w:type="spellStart"/>
      <w:r w:rsidRPr="00496E43">
        <w:rPr>
          <w:rFonts w:ascii="Times New Roman" w:hAnsi="Times New Roman" w:cs="Times New Roman"/>
          <w:bCs/>
        </w:rPr>
        <w:t>SoyRenSeq</w:t>
      </w:r>
      <w:proofErr w:type="spellEnd"/>
      <w:r w:rsidRPr="00496E43">
        <w:rPr>
          <w:rFonts w:ascii="Times New Roman" w:hAnsi="Times New Roman" w:cs="Times New Roman"/>
          <w:bCs/>
        </w:rPr>
        <w:t>: a Novel Approach for Disease Resistance Gene Discovery and Application for Soybean Improvement (Year 2)</w:t>
      </w:r>
    </w:p>
    <w:p w14:paraId="3C870770" w14:textId="1F47F378" w:rsidR="0078579B" w:rsidRPr="00496E43" w:rsidRDefault="0078579B" w:rsidP="00070448">
      <w:pPr>
        <w:snapToGrid w:val="0"/>
        <w:rPr>
          <w:rFonts w:ascii="Times New Roman" w:hAnsi="Times New Roman" w:cs="Times New Roman"/>
          <w:bCs/>
        </w:rPr>
      </w:pPr>
      <w:r w:rsidRPr="00496E43">
        <w:rPr>
          <w:rFonts w:ascii="Times New Roman" w:hAnsi="Times New Roman" w:cs="Times New Roman"/>
          <w:b/>
        </w:rPr>
        <w:t>Investigator:</w:t>
      </w:r>
      <w:r w:rsidRPr="00496E43">
        <w:rPr>
          <w:rFonts w:ascii="Times New Roman" w:hAnsi="Times New Roman" w:cs="Times New Roman"/>
          <w:bCs/>
        </w:rPr>
        <w:t xml:space="preserve"> </w:t>
      </w:r>
      <w:r w:rsidRPr="00496E43">
        <w:rPr>
          <w:rFonts w:ascii="Times New Roman" w:hAnsi="Times New Roman" w:cs="Times New Roman"/>
          <w:bCs/>
        </w:rPr>
        <w:tab/>
      </w:r>
      <w:r w:rsidR="00070448">
        <w:rPr>
          <w:rFonts w:ascii="Times New Roman" w:hAnsi="Times New Roman" w:cs="Times New Roman"/>
          <w:bCs/>
        </w:rPr>
        <w:t>Aaron Lorenz, University of Minnesota</w:t>
      </w:r>
    </w:p>
    <w:p w14:paraId="20CE7AA5" w14:textId="484EB180" w:rsidR="00496E43" w:rsidRPr="00747F60" w:rsidRDefault="00496E43" w:rsidP="006424A3">
      <w:pPr>
        <w:snapToGrid w:val="0"/>
        <w:spacing w:before="120" w:after="120"/>
        <w:rPr>
          <w:rFonts w:ascii="Times New Roman" w:hAnsi="Times New Roman" w:cs="Times New Roman"/>
          <w:b/>
          <w:bCs/>
        </w:rPr>
      </w:pPr>
      <w:r w:rsidRPr="00747F60">
        <w:rPr>
          <w:rFonts w:ascii="Times New Roman" w:hAnsi="Times New Roman" w:cs="Times New Roman"/>
          <w:b/>
          <w:bCs/>
        </w:rPr>
        <w:t>Progress Report:</w:t>
      </w:r>
    </w:p>
    <w:p w14:paraId="19BCC901" w14:textId="2F8F0875" w:rsidR="0078579B" w:rsidRDefault="0078579B" w:rsidP="006424A3">
      <w:pPr>
        <w:snapToGrid w:val="0"/>
        <w:spacing w:before="120" w:after="120"/>
        <w:ind w:left="1350" w:hanging="1350"/>
        <w:rPr>
          <w:rFonts w:ascii="Times New Roman" w:hAnsi="Times New Roman" w:cs="Times New Roman"/>
        </w:rPr>
      </w:pPr>
    </w:p>
    <w:p w14:paraId="5BB1D402" w14:textId="32F5E728" w:rsidR="00D90789" w:rsidRDefault="00D90789" w:rsidP="00D90789">
      <w:pPr>
        <w:snapToGrid w:val="0"/>
        <w:spacing w:before="120" w:after="120"/>
        <w:rPr>
          <w:rFonts w:ascii="Times New Roman" w:hAnsi="Times New Roman" w:cs="Times New Roman"/>
        </w:rPr>
      </w:pPr>
      <w:r>
        <w:rPr>
          <w:rFonts w:ascii="Times New Roman" w:hAnsi="Times New Roman" w:cs="Times New Roman"/>
        </w:rPr>
        <w:t xml:space="preserve">During this past reporting period we have identified sources of resistance, collected seeds, and planned crosses for the summer of 2024. </w:t>
      </w:r>
      <w:r w:rsidR="00BE461A">
        <w:rPr>
          <w:rFonts w:ascii="Times New Roman" w:hAnsi="Times New Roman" w:cs="Times New Roman"/>
        </w:rPr>
        <w:t xml:space="preserve">Below are the identified sources. Seeds were sent to Purdue for </w:t>
      </w:r>
      <w:proofErr w:type="spellStart"/>
      <w:r w:rsidR="00BE461A">
        <w:rPr>
          <w:rFonts w:ascii="Times New Roman" w:hAnsi="Times New Roman" w:cs="Times New Roman"/>
        </w:rPr>
        <w:t>RenSeq</w:t>
      </w:r>
      <w:proofErr w:type="spellEnd"/>
      <w:r w:rsidR="00BE461A">
        <w:rPr>
          <w:rFonts w:ascii="Times New Roman" w:hAnsi="Times New Roman" w:cs="Times New Roman"/>
        </w:rPr>
        <w:t xml:space="preserve"> genotyping. We are awaiting </w:t>
      </w:r>
      <w:proofErr w:type="gramStart"/>
      <w:r w:rsidR="00BE461A">
        <w:rPr>
          <w:rFonts w:ascii="Times New Roman" w:hAnsi="Times New Roman" w:cs="Times New Roman"/>
        </w:rPr>
        <w:t>results</w:t>
      </w:r>
      <w:proofErr w:type="gramEnd"/>
      <w:r w:rsidR="00BE461A">
        <w:rPr>
          <w:rFonts w:ascii="Times New Roman" w:hAnsi="Times New Roman" w:cs="Times New Roman"/>
        </w:rPr>
        <w:t>. Once results are obtained, we will search previously reported QTL regions for candidate genes. The following crosses have been planned for summer of 2024 in case progenies need to be created for future fine mapping and gene validation work.</w:t>
      </w:r>
    </w:p>
    <w:p w14:paraId="25C617FF" w14:textId="77777777" w:rsidR="00BE461A" w:rsidRDefault="00BE461A" w:rsidP="00D90789">
      <w:pPr>
        <w:snapToGrid w:val="0"/>
        <w:spacing w:before="120" w:after="120"/>
        <w:rPr>
          <w:rFonts w:ascii="Times New Roman" w:hAnsi="Times New Roman" w:cs="Times New Roman"/>
        </w:rPr>
      </w:pPr>
    </w:p>
    <w:p w14:paraId="1BFD3924" w14:textId="63E80969" w:rsidR="00BE461A" w:rsidRDefault="00BE461A" w:rsidP="00D90789">
      <w:pPr>
        <w:snapToGrid w:val="0"/>
        <w:spacing w:before="120" w:after="120"/>
        <w:rPr>
          <w:rFonts w:ascii="Times New Roman" w:hAnsi="Times New Roman" w:cs="Times New Roman"/>
        </w:rPr>
      </w:pPr>
      <w:r>
        <w:rPr>
          <w:rFonts w:ascii="Times New Roman" w:hAnsi="Times New Roman" w:cs="Times New Roman"/>
        </w:rPr>
        <w:t>White Mold Crosses</w:t>
      </w:r>
    </w:p>
    <w:p w14:paraId="413919DD" w14:textId="33D8BEA6" w:rsidR="00BE461A" w:rsidRDefault="00BE461A" w:rsidP="00D90789">
      <w:pPr>
        <w:snapToGrid w:val="0"/>
        <w:spacing w:before="120" w:after="1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Minsoy</w:t>
      </w:r>
      <w:proofErr w:type="spellEnd"/>
      <w:r>
        <w:rPr>
          <w:rFonts w:ascii="Times New Roman" w:hAnsi="Times New Roman" w:cs="Times New Roman"/>
        </w:rPr>
        <w:t>’ x ‘Noir1’</w:t>
      </w:r>
    </w:p>
    <w:p w14:paraId="0A18BCAC" w14:textId="0C3A4C09" w:rsidR="00BE461A" w:rsidRDefault="00BE461A" w:rsidP="00D90789">
      <w:pPr>
        <w:snapToGrid w:val="0"/>
        <w:spacing w:before="120" w:after="1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Minsoy</w:t>
      </w:r>
      <w:proofErr w:type="spellEnd"/>
      <w:r>
        <w:rPr>
          <w:rFonts w:ascii="Times New Roman" w:hAnsi="Times New Roman" w:cs="Times New Roman"/>
        </w:rPr>
        <w:t>’ x ‘Corsoy79’</w:t>
      </w:r>
    </w:p>
    <w:p w14:paraId="5E324A71" w14:textId="785B07F1" w:rsidR="00BE461A" w:rsidRDefault="00BE461A" w:rsidP="00D90789">
      <w:pPr>
        <w:snapToGrid w:val="0"/>
        <w:spacing w:before="120" w:after="1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Minsoy</w:t>
      </w:r>
      <w:proofErr w:type="spellEnd"/>
      <w:r>
        <w:rPr>
          <w:rFonts w:ascii="Times New Roman" w:hAnsi="Times New Roman" w:cs="Times New Roman"/>
        </w:rPr>
        <w:t>’ x ‘S19-90’</w:t>
      </w:r>
    </w:p>
    <w:p w14:paraId="2F2FD11C" w14:textId="6D40E672" w:rsidR="00BE461A" w:rsidRDefault="00BE461A" w:rsidP="00D90789">
      <w:pPr>
        <w:snapToGrid w:val="0"/>
        <w:spacing w:before="120" w:after="1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Minsoy</w:t>
      </w:r>
      <w:proofErr w:type="spellEnd"/>
      <w:r>
        <w:rPr>
          <w:rFonts w:ascii="Times New Roman" w:hAnsi="Times New Roman" w:cs="Times New Roman"/>
        </w:rPr>
        <w:t>’ x ‘Vinton 81’</w:t>
      </w:r>
    </w:p>
    <w:p w14:paraId="344100C5" w14:textId="77777777" w:rsidR="00BE461A" w:rsidRDefault="00BE461A" w:rsidP="00D90789">
      <w:pPr>
        <w:snapToGrid w:val="0"/>
        <w:spacing w:before="120" w:after="120"/>
        <w:rPr>
          <w:rFonts w:ascii="Times New Roman" w:hAnsi="Times New Roman" w:cs="Times New Roman"/>
        </w:rPr>
      </w:pPr>
    </w:p>
    <w:p w14:paraId="48D27900" w14:textId="751F7318" w:rsidR="00BE461A" w:rsidRDefault="00BE461A" w:rsidP="00D90789">
      <w:pPr>
        <w:snapToGrid w:val="0"/>
        <w:spacing w:before="120" w:after="120"/>
        <w:rPr>
          <w:rFonts w:ascii="Times New Roman" w:hAnsi="Times New Roman" w:cs="Times New Roman"/>
        </w:rPr>
      </w:pPr>
      <w:r>
        <w:rPr>
          <w:rFonts w:ascii="Times New Roman" w:hAnsi="Times New Roman" w:cs="Times New Roman"/>
        </w:rPr>
        <w:t>Brown Stem Rot Crosses</w:t>
      </w:r>
    </w:p>
    <w:p w14:paraId="2CC2A1F9" w14:textId="2B880DA9" w:rsidR="00BE461A" w:rsidRDefault="00BE461A" w:rsidP="00D90789">
      <w:pPr>
        <w:snapToGrid w:val="0"/>
        <w:spacing w:before="120" w:after="120"/>
        <w:rPr>
          <w:rFonts w:ascii="Times New Roman" w:hAnsi="Times New Roman" w:cs="Times New Roman"/>
        </w:rPr>
      </w:pPr>
      <w:r>
        <w:rPr>
          <w:rFonts w:ascii="Times New Roman" w:hAnsi="Times New Roman" w:cs="Times New Roman"/>
        </w:rPr>
        <w:t>‘Century 84’ x ‘Bell’</w:t>
      </w:r>
    </w:p>
    <w:p w14:paraId="74AE81BC" w14:textId="63754313" w:rsidR="00BE461A" w:rsidRDefault="00BE461A" w:rsidP="00D90789">
      <w:pPr>
        <w:snapToGrid w:val="0"/>
        <w:spacing w:before="120" w:after="120"/>
        <w:rPr>
          <w:rFonts w:ascii="Times New Roman" w:hAnsi="Times New Roman" w:cs="Times New Roman"/>
        </w:rPr>
      </w:pPr>
      <w:r>
        <w:rPr>
          <w:rFonts w:ascii="Times New Roman" w:hAnsi="Times New Roman" w:cs="Times New Roman"/>
        </w:rPr>
        <w:t>‘Century 84’ x</w:t>
      </w:r>
      <w:r>
        <w:rPr>
          <w:rFonts w:ascii="Times New Roman" w:hAnsi="Times New Roman" w:cs="Times New Roman"/>
        </w:rPr>
        <w:t xml:space="preserve"> ‘L84-5873’</w:t>
      </w:r>
    </w:p>
    <w:p w14:paraId="61B19904" w14:textId="6D6F518F" w:rsidR="00BE461A" w:rsidRDefault="00BE461A" w:rsidP="00D90789">
      <w:pPr>
        <w:snapToGrid w:val="0"/>
        <w:spacing w:before="120" w:after="120"/>
        <w:rPr>
          <w:rFonts w:ascii="Times New Roman" w:hAnsi="Times New Roman" w:cs="Times New Roman"/>
        </w:rPr>
      </w:pPr>
      <w:r>
        <w:rPr>
          <w:rFonts w:ascii="Times New Roman" w:hAnsi="Times New Roman" w:cs="Times New Roman"/>
        </w:rPr>
        <w:t>‘Century 84’ x</w:t>
      </w:r>
      <w:r>
        <w:rPr>
          <w:rFonts w:ascii="Times New Roman" w:hAnsi="Times New Roman" w:cs="Times New Roman"/>
        </w:rPr>
        <w:t xml:space="preserve"> ‘</w:t>
      </w:r>
      <w:r w:rsidRPr="00D90789">
        <w:rPr>
          <w:rFonts w:ascii="Times New Roman" w:hAnsi="Times New Roman" w:cs="Times New Roman"/>
        </w:rPr>
        <w:t>PI 84946-2</w:t>
      </w:r>
      <w:r>
        <w:rPr>
          <w:rFonts w:ascii="Times New Roman" w:hAnsi="Times New Roman" w:cs="Times New Roman"/>
        </w:rPr>
        <w:t>’</w:t>
      </w:r>
    </w:p>
    <w:p w14:paraId="30B576C6" w14:textId="1CDFDBB5" w:rsidR="00BE461A" w:rsidRDefault="00BE461A" w:rsidP="00D90789">
      <w:pPr>
        <w:snapToGrid w:val="0"/>
        <w:spacing w:before="120" w:after="120"/>
        <w:rPr>
          <w:rFonts w:ascii="Times New Roman" w:hAnsi="Times New Roman" w:cs="Times New Roman"/>
        </w:rPr>
      </w:pPr>
      <w:r>
        <w:rPr>
          <w:rFonts w:ascii="Times New Roman" w:hAnsi="Times New Roman" w:cs="Times New Roman"/>
        </w:rPr>
        <w:t>‘Century 84’ x</w:t>
      </w:r>
      <w:r>
        <w:rPr>
          <w:rFonts w:ascii="Times New Roman" w:hAnsi="Times New Roman" w:cs="Times New Roman"/>
        </w:rPr>
        <w:t xml:space="preserve"> ‘</w:t>
      </w:r>
      <w:proofErr w:type="spellStart"/>
      <w:r w:rsidRPr="00D90789">
        <w:rPr>
          <w:rFonts w:ascii="Times New Roman" w:hAnsi="Times New Roman" w:cs="Times New Roman"/>
        </w:rPr>
        <w:t>Iwafune</w:t>
      </w:r>
      <w:proofErr w:type="spellEnd"/>
      <w:r w:rsidRPr="00D90789">
        <w:rPr>
          <w:rFonts w:ascii="Times New Roman" w:hAnsi="Times New Roman" w:cs="Times New Roman"/>
        </w:rPr>
        <w:t xml:space="preserve"> Takiya</w:t>
      </w:r>
      <w:r>
        <w:rPr>
          <w:rFonts w:ascii="Times New Roman" w:hAnsi="Times New Roman" w:cs="Times New Roman"/>
        </w:rPr>
        <w:t>’</w:t>
      </w:r>
    </w:p>
    <w:p w14:paraId="37E6D454" w14:textId="2D6C71BC" w:rsidR="00BE461A" w:rsidRDefault="00BE461A" w:rsidP="00D90789">
      <w:pPr>
        <w:snapToGrid w:val="0"/>
        <w:spacing w:before="120" w:after="120"/>
        <w:rPr>
          <w:rFonts w:ascii="Times New Roman" w:hAnsi="Times New Roman" w:cs="Times New Roman"/>
        </w:rPr>
      </w:pPr>
      <w:r>
        <w:rPr>
          <w:rFonts w:ascii="Times New Roman" w:hAnsi="Times New Roman" w:cs="Times New Roman"/>
        </w:rPr>
        <w:t>‘Century 84’ x</w:t>
      </w:r>
      <w:r>
        <w:rPr>
          <w:rFonts w:ascii="Times New Roman" w:hAnsi="Times New Roman" w:cs="Times New Roman"/>
        </w:rPr>
        <w:t xml:space="preserve"> ‘</w:t>
      </w:r>
      <w:r w:rsidRPr="00D90789">
        <w:rPr>
          <w:rFonts w:ascii="Times New Roman" w:hAnsi="Times New Roman" w:cs="Times New Roman"/>
        </w:rPr>
        <w:t>PI 437970</w:t>
      </w:r>
      <w:r>
        <w:rPr>
          <w:rFonts w:ascii="Times New Roman" w:hAnsi="Times New Roman" w:cs="Times New Roman"/>
        </w:rPr>
        <w:t>’</w:t>
      </w:r>
    </w:p>
    <w:p w14:paraId="15279D27" w14:textId="77777777" w:rsidR="00BE461A" w:rsidRDefault="00BE461A" w:rsidP="00D90789">
      <w:pPr>
        <w:snapToGrid w:val="0"/>
        <w:spacing w:before="120" w:after="120"/>
        <w:rPr>
          <w:rFonts w:ascii="Times New Roman" w:hAnsi="Times New Roman" w:cs="Times New Roman"/>
        </w:rPr>
      </w:pPr>
    </w:p>
    <w:p w14:paraId="31927814" w14:textId="5EF02D1C" w:rsidR="00BE461A" w:rsidRDefault="00BE461A" w:rsidP="00D90789">
      <w:pPr>
        <w:snapToGrid w:val="0"/>
        <w:spacing w:before="120" w:after="120"/>
        <w:rPr>
          <w:rFonts w:ascii="Times New Roman" w:hAnsi="Times New Roman" w:cs="Times New Roman"/>
        </w:rPr>
      </w:pPr>
      <w:r>
        <w:rPr>
          <w:rFonts w:ascii="Times New Roman" w:hAnsi="Times New Roman" w:cs="Times New Roman"/>
        </w:rPr>
        <w:t xml:space="preserve">Seed has been packaged for the 2024 crossing block and crosses will be made this </w:t>
      </w:r>
      <w:proofErr w:type="gramStart"/>
      <w:r>
        <w:rPr>
          <w:rFonts w:ascii="Times New Roman" w:hAnsi="Times New Roman" w:cs="Times New Roman"/>
        </w:rPr>
        <w:t>summer</w:t>
      </w:r>
      <w:proofErr w:type="gramEnd"/>
    </w:p>
    <w:p w14:paraId="6AB58903" w14:textId="77777777" w:rsidR="00BE461A" w:rsidRDefault="00BE461A" w:rsidP="00D90789">
      <w:pPr>
        <w:snapToGrid w:val="0"/>
        <w:spacing w:before="120" w:after="120"/>
        <w:rPr>
          <w:rFonts w:ascii="Times New Roman" w:hAnsi="Times New Roman" w:cs="Times New Roman"/>
        </w:rPr>
      </w:pPr>
    </w:p>
    <w:p w14:paraId="72B1F2D0" w14:textId="77777777" w:rsidR="00BE461A" w:rsidRDefault="00BE461A" w:rsidP="00D90789">
      <w:pPr>
        <w:snapToGrid w:val="0"/>
        <w:spacing w:before="120" w:after="120"/>
        <w:rPr>
          <w:rFonts w:ascii="Times New Roman" w:hAnsi="Times New Roman" w:cs="Times New Roman"/>
        </w:rPr>
      </w:pPr>
    </w:p>
    <w:p w14:paraId="033B1A7D" w14:textId="77777777" w:rsidR="00BE461A" w:rsidRDefault="00BE461A" w:rsidP="00D90789">
      <w:pPr>
        <w:snapToGrid w:val="0"/>
        <w:spacing w:before="120" w:after="120"/>
        <w:rPr>
          <w:rFonts w:ascii="Times New Roman" w:hAnsi="Times New Roman" w:cs="Times New Roman"/>
        </w:rPr>
      </w:pPr>
    </w:p>
    <w:p w14:paraId="330584F1" w14:textId="77777777" w:rsidR="00BE461A" w:rsidRDefault="00BE461A" w:rsidP="00D90789">
      <w:pPr>
        <w:snapToGrid w:val="0"/>
        <w:spacing w:before="120" w:after="120"/>
        <w:rPr>
          <w:rFonts w:ascii="Times New Roman" w:hAnsi="Times New Roman" w:cs="Times New Roman"/>
        </w:rPr>
      </w:pPr>
    </w:p>
    <w:p w14:paraId="5A531B4C" w14:textId="77777777" w:rsidR="00BE461A" w:rsidRDefault="00BE461A" w:rsidP="00D90789">
      <w:pPr>
        <w:snapToGrid w:val="0"/>
        <w:spacing w:before="120" w:after="120"/>
        <w:rPr>
          <w:rFonts w:ascii="Times New Roman" w:hAnsi="Times New Roman" w:cs="Times New Roman"/>
        </w:rPr>
      </w:pPr>
    </w:p>
    <w:p w14:paraId="79B8CBF6" w14:textId="77777777" w:rsidR="00BE461A" w:rsidRDefault="00BE461A" w:rsidP="00D90789">
      <w:pPr>
        <w:snapToGrid w:val="0"/>
        <w:spacing w:before="120" w:after="120"/>
        <w:rPr>
          <w:rFonts w:ascii="Times New Roman" w:hAnsi="Times New Roman" w:cs="Times New Roman"/>
        </w:rPr>
      </w:pPr>
    </w:p>
    <w:tbl>
      <w:tblPr>
        <w:tblStyle w:val="TableGrid"/>
        <w:tblpPr w:leftFromText="180" w:rightFromText="180" w:vertAnchor="text" w:horzAnchor="margin" w:tblpXSpec="center" w:tblpY="221"/>
        <w:tblW w:w="10885" w:type="dxa"/>
        <w:tblLook w:val="04A0" w:firstRow="1" w:lastRow="0" w:firstColumn="1" w:lastColumn="0" w:noHBand="0" w:noVBand="1"/>
      </w:tblPr>
      <w:tblGrid>
        <w:gridCol w:w="1975"/>
        <w:gridCol w:w="2250"/>
        <w:gridCol w:w="2525"/>
        <w:gridCol w:w="4135"/>
      </w:tblGrid>
      <w:tr w:rsidR="00D90789" w:rsidRPr="00D90789" w14:paraId="3DC50EB9" w14:textId="77777777" w:rsidTr="00C30EC5">
        <w:trPr>
          <w:trHeight w:val="290"/>
        </w:trPr>
        <w:tc>
          <w:tcPr>
            <w:tcW w:w="1975" w:type="dxa"/>
            <w:noWrap/>
            <w:hideMark/>
          </w:tcPr>
          <w:p w14:paraId="3219C808" w14:textId="77777777" w:rsidR="00D90789" w:rsidRPr="00D90789" w:rsidRDefault="00D90789" w:rsidP="00D90789">
            <w:pPr>
              <w:snapToGrid w:val="0"/>
              <w:spacing w:before="120" w:after="120"/>
              <w:rPr>
                <w:rFonts w:ascii="Times New Roman" w:hAnsi="Times New Roman" w:cs="Times New Roman"/>
                <w:b/>
                <w:bCs/>
              </w:rPr>
            </w:pPr>
            <w:r w:rsidRPr="00D90789">
              <w:rPr>
                <w:rFonts w:ascii="Times New Roman" w:hAnsi="Times New Roman" w:cs="Times New Roman"/>
                <w:b/>
                <w:bCs/>
              </w:rPr>
              <w:lastRenderedPageBreak/>
              <w:t>Lines</w:t>
            </w:r>
          </w:p>
        </w:tc>
        <w:tc>
          <w:tcPr>
            <w:tcW w:w="2250" w:type="dxa"/>
            <w:noWrap/>
            <w:hideMark/>
          </w:tcPr>
          <w:p w14:paraId="221BA443" w14:textId="77777777" w:rsidR="00D90789" w:rsidRPr="00D90789" w:rsidRDefault="00D90789" w:rsidP="00D90789">
            <w:pPr>
              <w:snapToGrid w:val="0"/>
              <w:spacing w:before="120" w:after="120"/>
              <w:rPr>
                <w:rFonts w:ascii="Times New Roman" w:hAnsi="Times New Roman" w:cs="Times New Roman"/>
                <w:b/>
                <w:bCs/>
              </w:rPr>
            </w:pPr>
            <w:r w:rsidRPr="00D90789">
              <w:rPr>
                <w:rFonts w:ascii="Times New Roman" w:hAnsi="Times New Roman" w:cs="Times New Roman"/>
                <w:b/>
                <w:bCs/>
              </w:rPr>
              <w:t>Cross/Pedigree/PI</w:t>
            </w:r>
          </w:p>
        </w:tc>
        <w:tc>
          <w:tcPr>
            <w:tcW w:w="2525" w:type="dxa"/>
            <w:noWrap/>
            <w:hideMark/>
          </w:tcPr>
          <w:p w14:paraId="19797183" w14:textId="524E8766" w:rsidR="00D90789" w:rsidRPr="00D90789" w:rsidRDefault="00D90789" w:rsidP="00D90789">
            <w:pPr>
              <w:snapToGrid w:val="0"/>
              <w:spacing w:before="120" w:after="120"/>
              <w:rPr>
                <w:rFonts w:ascii="Times New Roman" w:hAnsi="Times New Roman" w:cs="Times New Roman"/>
                <w:b/>
                <w:bCs/>
              </w:rPr>
            </w:pPr>
            <w:r>
              <w:rPr>
                <w:rFonts w:ascii="Times New Roman" w:hAnsi="Times New Roman" w:cs="Times New Roman"/>
                <w:b/>
                <w:bCs/>
              </w:rPr>
              <w:t>Trait</w:t>
            </w:r>
          </w:p>
        </w:tc>
        <w:tc>
          <w:tcPr>
            <w:tcW w:w="4135" w:type="dxa"/>
            <w:noWrap/>
            <w:hideMark/>
          </w:tcPr>
          <w:p w14:paraId="630479E4" w14:textId="28EAE0DA" w:rsidR="00D90789" w:rsidRPr="00D90789" w:rsidRDefault="00D90789" w:rsidP="00D90789">
            <w:pPr>
              <w:snapToGrid w:val="0"/>
              <w:spacing w:before="120" w:after="120"/>
              <w:rPr>
                <w:rFonts w:ascii="Times New Roman" w:hAnsi="Times New Roman" w:cs="Times New Roman"/>
                <w:b/>
                <w:bCs/>
              </w:rPr>
            </w:pPr>
            <w:r>
              <w:rPr>
                <w:rFonts w:ascii="Times New Roman" w:hAnsi="Times New Roman" w:cs="Times New Roman"/>
                <w:b/>
                <w:bCs/>
              </w:rPr>
              <w:t>Literature/source notes</w:t>
            </w:r>
          </w:p>
        </w:tc>
      </w:tr>
      <w:tr w:rsidR="00D90789" w:rsidRPr="00D90789" w14:paraId="498A1D06" w14:textId="77777777" w:rsidTr="00C30EC5">
        <w:trPr>
          <w:trHeight w:val="290"/>
        </w:trPr>
        <w:tc>
          <w:tcPr>
            <w:tcW w:w="1975" w:type="dxa"/>
            <w:noWrap/>
            <w:hideMark/>
          </w:tcPr>
          <w:p w14:paraId="4BD2A274"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Bell</w:t>
            </w:r>
          </w:p>
        </w:tc>
        <w:tc>
          <w:tcPr>
            <w:tcW w:w="2250" w:type="dxa"/>
            <w:noWrap/>
            <w:hideMark/>
          </w:tcPr>
          <w:p w14:paraId="6AAF0E69"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PI 540554 </w:t>
            </w:r>
          </w:p>
        </w:tc>
        <w:tc>
          <w:tcPr>
            <w:tcW w:w="2525" w:type="dxa"/>
            <w:noWrap/>
            <w:hideMark/>
          </w:tcPr>
          <w:p w14:paraId="58C8BCEB"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Brown Stem Rot</w:t>
            </w:r>
          </w:p>
        </w:tc>
        <w:tc>
          <w:tcPr>
            <w:tcW w:w="4135" w:type="dxa"/>
            <w:noWrap/>
            <w:hideMark/>
          </w:tcPr>
          <w:p w14:paraId="280456FE"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2D4FB5B3" w14:textId="77777777" w:rsidTr="00C30EC5">
        <w:trPr>
          <w:trHeight w:val="290"/>
        </w:trPr>
        <w:tc>
          <w:tcPr>
            <w:tcW w:w="1975" w:type="dxa"/>
            <w:noWrap/>
            <w:hideMark/>
          </w:tcPr>
          <w:p w14:paraId="52884559"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L84-5873</w:t>
            </w:r>
          </w:p>
        </w:tc>
        <w:tc>
          <w:tcPr>
            <w:tcW w:w="2250" w:type="dxa"/>
            <w:noWrap/>
            <w:hideMark/>
          </w:tcPr>
          <w:p w14:paraId="50D93CD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PI 557535 </w:t>
            </w:r>
          </w:p>
        </w:tc>
        <w:tc>
          <w:tcPr>
            <w:tcW w:w="2525" w:type="dxa"/>
            <w:noWrap/>
            <w:hideMark/>
          </w:tcPr>
          <w:p w14:paraId="38FF4E28"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Brown Stem Rot</w:t>
            </w:r>
          </w:p>
        </w:tc>
        <w:tc>
          <w:tcPr>
            <w:tcW w:w="4135" w:type="dxa"/>
            <w:noWrap/>
            <w:hideMark/>
          </w:tcPr>
          <w:p w14:paraId="356636C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0CE9D0D3" w14:textId="77777777" w:rsidTr="00C30EC5">
        <w:trPr>
          <w:trHeight w:val="290"/>
        </w:trPr>
        <w:tc>
          <w:tcPr>
            <w:tcW w:w="1975" w:type="dxa"/>
            <w:noWrap/>
            <w:hideMark/>
          </w:tcPr>
          <w:p w14:paraId="65FA6C37" w14:textId="77777777" w:rsidR="00D90789" w:rsidRPr="00D90789" w:rsidRDefault="00D90789" w:rsidP="00D90789">
            <w:pPr>
              <w:snapToGrid w:val="0"/>
              <w:spacing w:before="120" w:after="120"/>
              <w:rPr>
                <w:rFonts w:ascii="Times New Roman" w:hAnsi="Times New Roman" w:cs="Times New Roman"/>
              </w:rPr>
            </w:pPr>
          </w:p>
        </w:tc>
        <w:tc>
          <w:tcPr>
            <w:tcW w:w="2250" w:type="dxa"/>
            <w:noWrap/>
            <w:hideMark/>
          </w:tcPr>
          <w:p w14:paraId="5316722A"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84946-2</w:t>
            </w:r>
          </w:p>
        </w:tc>
        <w:tc>
          <w:tcPr>
            <w:tcW w:w="2525" w:type="dxa"/>
            <w:noWrap/>
            <w:hideMark/>
          </w:tcPr>
          <w:p w14:paraId="1F269C96"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Brown Stem Rot</w:t>
            </w:r>
          </w:p>
        </w:tc>
        <w:tc>
          <w:tcPr>
            <w:tcW w:w="4135" w:type="dxa"/>
            <w:noWrap/>
            <w:hideMark/>
          </w:tcPr>
          <w:p w14:paraId="2751EC7A"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24815CC6" w14:textId="77777777" w:rsidTr="00C30EC5">
        <w:trPr>
          <w:trHeight w:val="290"/>
        </w:trPr>
        <w:tc>
          <w:tcPr>
            <w:tcW w:w="1975" w:type="dxa"/>
            <w:noWrap/>
            <w:hideMark/>
          </w:tcPr>
          <w:p w14:paraId="00FCF397" w14:textId="77777777" w:rsidR="00D90789" w:rsidRPr="00D90789" w:rsidRDefault="00D90789" w:rsidP="00D90789">
            <w:pPr>
              <w:snapToGrid w:val="0"/>
              <w:spacing w:before="120" w:after="120"/>
              <w:rPr>
                <w:rFonts w:ascii="Times New Roman" w:hAnsi="Times New Roman" w:cs="Times New Roman"/>
              </w:rPr>
            </w:pPr>
            <w:proofErr w:type="spellStart"/>
            <w:r w:rsidRPr="00D90789">
              <w:rPr>
                <w:rFonts w:ascii="Times New Roman" w:hAnsi="Times New Roman" w:cs="Times New Roman"/>
              </w:rPr>
              <w:t>Iwafune</w:t>
            </w:r>
            <w:proofErr w:type="spellEnd"/>
            <w:r w:rsidRPr="00D90789">
              <w:rPr>
                <w:rFonts w:ascii="Times New Roman" w:hAnsi="Times New Roman" w:cs="Times New Roman"/>
              </w:rPr>
              <w:t xml:space="preserve"> Takiya</w:t>
            </w:r>
          </w:p>
        </w:tc>
        <w:tc>
          <w:tcPr>
            <w:tcW w:w="2250" w:type="dxa"/>
            <w:noWrap/>
            <w:hideMark/>
          </w:tcPr>
          <w:p w14:paraId="03199F88"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86150</w:t>
            </w:r>
          </w:p>
        </w:tc>
        <w:tc>
          <w:tcPr>
            <w:tcW w:w="2525" w:type="dxa"/>
            <w:noWrap/>
            <w:hideMark/>
          </w:tcPr>
          <w:p w14:paraId="0909D650"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Brown Stem Rot</w:t>
            </w:r>
          </w:p>
        </w:tc>
        <w:tc>
          <w:tcPr>
            <w:tcW w:w="4135" w:type="dxa"/>
            <w:noWrap/>
            <w:hideMark/>
          </w:tcPr>
          <w:p w14:paraId="596F78FD"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5E9C1A95" w14:textId="77777777" w:rsidTr="00C30EC5">
        <w:trPr>
          <w:trHeight w:val="290"/>
        </w:trPr>
        <w:tc>
          <w:tcPr>
            <w:tcW w:w="1975" w:type="dxa"/>
            <w:noWrap/>
            <w:hideMark/>
          </w:tcPr>
          <w:p w14:paraId="11D0D0A7" w14:textId="77777777" w:rsidR="00D90789" w:rsidRPr="00D90789" w:rsidRDefault="00D90789" w:rsidP="00D90789">
            <w:pPr>
              <w:snapToGrid w:val="0"/>
              <w:spacing w:before="120" w:after="120"/>
              <w:rPr>
                <w:rFonts w:ascii="Times New Roman" w:hAnsi="Times New Roman" w:cs="Times New Roman"/>
              </w:rPr>
            </w:pPr>
          </w:p>
        </w:tc>
        <w:tc>
          <w:tcPr>
            <w:tcW w:w="2250" w:type="dxa"/>
            <w:noWrap/>
            <w:hideMark/>
          </w:tcPr>
          <w:p w14:paraId="12E15D67"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437970</w:t>
            </w:r>
          </w:p>
        </w:tc>
        <w:tc>
          <w:tcPr>
            <w:tcW w:w="2525" w:type="dxa"/>
            <w:noWrap/>
            <w:hideMark/>
          </w:tcPr>
          <w:p w14:paraId="6AC8FDE0"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Brown Stem Rot, Rbs3 genotype</w:t>
            </w:r>
          </w:p>
        </w:tc>
        <w:tc>
          <w:tcPr>
            <w:tcW w:w="4135" w:type="dxa"/>
            <w:noWrap/>
            <w:hideMark/>
          </w:tcPr>
          <w:p w14:paraId="3BC062D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2C35D58D" w14:textId="77777777" w:rsidTr="00C30EC5">
        <w:trPr>
          <w:trHeight w:val="290"/>
        </w:trPr>
        <w:tc>
          <w:tcPr>
            <w:tcW w:w="1975" w:type="dxa"/>
            <w:noWrap/>
            <w:hideMark/>
          </w:tcPr>
          <w:p w14:paraId="25B4AF7B"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MN1606</w:t>
            </w:r>
          </w:p>
        </w:tc>
        <w:tc>
          <w:tcPr>
            <w:tcW w:w="2250" w:type="dxa"/>
            <w:noWrap/>
            <w:hideMark/>
          </w:tcPr>
          <w:p w14:paraId="1FBCC3FF" w14:textId="77777777" w:rsidR="00D90789" w:rsidRPr="00D90789" w:rsidRDefault="00D90789" w:rsidP="00D90789">
            <w:pPr>
              <w:snapToGrid w:val="0"/>
              <w:spacing w:before="120" w:after="120"/>
              <w:rPr>
                <w:rFonts w:ascii="Times New Roman" w:hAnsi="Times New Roman" w:cs="Times New Roman"/>
              </w:rPr>
            </w:pPr>
          </w:p>
        </w:tc>
        <w:tc>
          <w:tcPr>
            <w:tcW w:w="2525" w:type="dxa"/>
            <w:noWrap/>
            <w:hideMark/>
          </w:tcPr>
          <w:p w14:paraId="27B7DDF6"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SDS</w:t>
            </w:r>
          </w:p>
        </w:tc>
        <w:tc>
          <w:tcPr>
            <w:tcW w:w="4135" w:type="dxa"/>
            <w:noWrap/>
            <w:hideMark/>
          </w:tcPr>
          <w:p w14:paraId="53CAF56A" w14:textId="77777777" w:rsidR="00D90789" w:rsidRPr="00D90789" w:rsidRDefault="00D90789" w:rsidP="00D90789">
            <w:pPr>
              <w:snapToGrid w:val="0"/>
              <w:spacing w:before="120" w:after="120"/>
              <w:rPr>
                <w:rFonts w:ascii="Times New Roman" w:hAnsi="Times New Roman" w:cs="Times New Roman"/>
              </w:rPr>
            </w:pPr>
          </w:p>
        </w:tc>
      </w:tr>
      <w:tr w:rsidR="00D90789" w:rsidRPr="00D90789" w14:paraId="66AE072D" w14:textId="77777777" w:rsidTr="00C30EC5">
        <w:trPr>
          <w:trHeight w:val="290"/>
        </w:trPr>
        <w:tc>
          <w:tcPr>
            <w:tcW w:w="1975" w:type="dxa"/>
            <w:noWrap/>
            <w:hideMark/>
          </w:tcPr>
          <w:p w14:paraId="284E473C"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Noir 1</w:t>
            </w:r>
          </w:p>
        </w:tc>
        <w:tc>
          <w:tcPr>
            <w:tcW w:w="2250" w:type="dxa"/>
            <w:noWrap/>
            <w:hideMark/>
          </w:tcPr>
          <w:p w14:paraId="5E0F876F"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PI 290136 </w:t>
            </w:r>
          </w:p>
        </w:tc>
        <w:tc>
          <w:tcPr>
            <w:tcW w:w="2525" w:type="dxa"/>
            <w:noWrap/>
            <w:hideMark/>
          </w:tcPr>
          <w:p w14:paraId="14CBA7D6"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white mold</w:t>
            </w:r>
          </w:p>
        </w:tc>
        <w:tc>
          <w:tcPr>
            <w:tcW w:w="4135" w:type="dxa"/>
            <w:noWrap/>
            <w:hideMark/>
          </w:tcPr>
          <w:p w14:paraId="63F26F8B"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Parents of a mapping population or RILs we previously used to map some white mold QTL, including a unique and strong-effect QTL on chr 7</w:t>
            </w:r>
          </w:p>
        </w:tc>
      </w:tr>
      <w:tr w:rsidR="00D90789" w:rsidRPr="00D90789" w14:paraId="030ABC67" w14:textId="77777777" w:rsidTr="00C30EC5">
        <w:trPr>
          <w:trHeight w:val="290"/>
        </w:trPr>
        <w:tc>
          <w:tcPr>
            <w:tcW w:w="1975" w:type="dxa"/>
            <w:noWrap/>
            <w:hideMark/>
          </w:tcPr>
          <w:p w14:paraId="3D5647D4"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Corsoy79</w:t>
            </w:r>
          </w:p>
        </w:tc>
        <w:tc>
          <w:tcPr>
            <w:tcW w:w="2250" w:type="dxa"/>
            <w:noWrap/>
            <w:hideMark/>
          </w:tcPr>
          <w:p w14:paraId="320E5ADF"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PI 518668 </w:t>
            </w:r>
          </w:p>
        </w:tc>
        <w:tc>
          <w:tcPr>
            <w:tcW w:w="2525" w:type="dxa"/>
            <w:noWrap/>
            <w:hideMark/>
          </w:tcPr>
          <w:p w14:paraId="6BC0E218"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white mold</w:t>
            </w:r>
          </w:p>
        </w:tc>
        <w:tc>
          <w:tcPr>
            <w:tcW w:w="4135" w:type="dxa"/>
            <w:noWrap/>
          </w:tcPr>
          <w:p w14:paraId="61AE9EB0" w14:textId="579BBC6F" w:rsidR="00D90789" w:rsidRPr="00D90789" w:rsidRDefault="00D90789" w:rsidP="00D90789">
            <w:pPr>
              <w:snapToGrid w:val="0"/>
              <w:spacing w:before="120" w:after="120"/>
              <w:rPr>
                <w:rFonts w:ascii="Times New Roman" w:hAnsi="Times New Roman" w:cs="Times New Roman"/>
              </w:rPr>
            </w:pPr>
          </w:p>
        </w:tc>
      </w:tr>
      <w:tr w:rsidR="00D90789" w:rsidRPr="00D90789" w14:paraId="62D2D6ED" w14:textId="77777777" w:rsidTr="00C30EC5">
        <w:trPr>
          <w:trHeight w:val="290"/>
        </w:trPr>
        <w:tc>
          <w:tcPr>
            <w:tcW w:w="1975" w:type="dxa"/>
            <w:noWrap/>
            <w:hideMark/>
          </w:tcPr>
          <w:p w14:paraId="4DEA7590"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Vinton 81</w:t>
            </w:r>
          </w:p>
        </w:tc>
        <w:tc>
          <w:tcPr>
            <w:tcW w:w="2250" w:type="dxa"/>
            <w:noWrap/>
            <w:hideMark/>
          </w:tcPr>
          <w:p w14:paraId="36ACED5B"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PI 548625 </w:t>
            </w:r>
          </w:p>
        </w:tc>
        <w:tc>
          <w:tcPr>
            <w:tcW w:w="2525" w:type="dxa"/>
            <w:noWrap/>
            <w:hideMark/>
          </w:tcPr>
          <w:p w14:paraId="231A96F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white mold</w:t>
            </w:r>
          </w:p>
        </w:tc>
        <w:tc>
          <w:tcPr>
            <w:tcW w:w="4135" w:type="dxa"/>
            <w:noWrap/>
          </w:tcPr>
          <w:p w14:paraId="4E1DA86A" w14:textId="0C98BFED" w:rsidR="00D90789" w:rsidRPr="00D90789" w:rsidRDefault="00D90789" w:rsidP="00D90789">
            <w:pPr>
              <w:snapToGrid w:val="0"/>
              <w:spacing w:before="120" w:after="120"/>
              <w:rPr>
                <w:rFonts w:ascii="Times New Roman" w:hAnsi="Times New Roman" w:cs="Times New Roman"/>
              </w:rPr>
            </w:pPr>
          </w:p>
        </w:tc>
      </w:tr>
      <w:tr w:rsidR="00D90789" w:rsidRPr="00D90789" w14:paraId="533BE832" w14:textId="77777777" w:rsidTr="00C30EC5">
        <w:trPr>
          <w:trHeight w:val="290"/>
        </w:trPr>
        <w:tc>
          <w:tcPr>
            <w:tcW w:w="1975" w:type="dxa"/>
            <w:noWrap/>
            <w:hideMark/>
          </w:tcPr>
          <w:p w14:paraId="4D8C3BEE"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S19-90</w:t>
            </w:r>
          </w:p>
        </w:tc>
        <w:tc>
          <w:tcPr>
            <w:tcW w:w="2250" w:type="dxa"/>
            <w:noWrap/>
            <w:hideMark/>
          </w:tcPr>
          <w:p w14:paraId="17E400A4" w14:textId="77777777" w:rsidR="00D90789" w:rsidRPr="00D90789" w:rsidRDefault="00D90789" w:rsidP="00D90789">
            <w:pPr>
              <w:snapToGrid w:val="0"/>
              <w:spacing w:before="120" w:after="120"/>
              <w:rPr>
                <w:rFonts w:ascii="Times New Roman" w:hAnsi="Times New Roman" w:cs="Times New Roman"/>
              </w:rPr>
            </w:pPr>
          </w:p>
        </w:tc>
        <w:tc>
          <w:tcPr>
            <w:tcW w:w="2525" w:type="dxa"/>
            <w:noWrap/>
            <w:hideMark/>
          </w:tcPr>
          <w:p w14:paraId="20F94BA0"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Resistance to white mold</w:t>
            </w:r>
          </w:p>
        </w:tc>
        <w:tc>
          <w:tcPr>
            <w:tcW w:w="4135" w:type="dxa"/>
            <w:noWrap/>
            <w:hideMark/>
          </w:tcPr>
          <w:p w14:paraId="16D70DDF" w14:textId="5B07932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 xml:space="preserve">This is a very common resistant check in the literature. </w:t>
            </w:r>
          </w:p>
        </w:tc>
      </w:tr>
      <w:tr w:rsidR="00D90789" w:rsidRPr="00D90789" w14:paraId="230C87DE" w14:textId="77777777" w:rsidTr="00C30EC5">
        <w:trPr>
          <w:trHeight w:val="290"/>
        </w:trPr>
        <w:tc>
          <w:tcPr>
            <w:tcW w:w="1975" w:type="dxa"/>
            <w:noWrap/>
            <w:hideMark/>
          </w:tcPr>
          <w:p w14:paraId="3C47AB3E"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Century 84</w:t>
            </w:r>
          </w:p>
        </w:tc>
        <w:tc>
          <w:tcPr>
            <w:tcW w:w="2250" w:type="dxa"/>
            <w:noWrap/>
            <w:hideMark/>
          </w:tcPr>
          <w:p w14:paraId="248144A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548529 (?)</w:t>
            </w:r>
          </w:p>
        </w:tc>
        <w:tc>
          <w:tcPr>
            <w:tcW w:w="2525" w:type="dxa"/>
            <w:noWrap/>
            <w:hideMark/>
          </w:tcPr>
          <w:p w14:paraId="0E32F64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Susceptible to Brown stem rot</w:t>
            </w:r>
          </w:p>
        </w:tc>
        <w:tc>
          <w:tcPr>
            <w:tcW w:w="4135" w:type="dxa"/>
            <w:noWrap/>
            <w:hideMark/>
          </w:tcPr>
          <w:p w14:paraId="541E2209"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Rincker et al. 2016 Plant Genome</w:t>
            </w:r>
          </w:p>
        </w:tc>
      </w:tr>
      <w:tr w:rsidR="00D90789" w:rsidRPr="00D90789" w14:paraId="40ACDC7A" w14:textId="77777777" w:rsidTr="00C30EC5">
        <w:trPr>
          <w:trHeight w:val="290"/>
        </w:trPr>
        <w:tc>
          <w:tcPr>
            <w:tcW w:w="1975" w:type="dxa"/>
            <w:noWrap/>
            <w:hideMark/>
          </w:tcPr>
          <w:p w14:paraId="32C505E6"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Williams 82</w:t>
            </w:r>
          </w:p>
        </w:tc>
        <w:tc>
          <w:tcPr>
            <w:tcW w:w="2250" w:type="dxa"/>
            <w:noWrap/>
            <w:hideMark/>
          </w:tcPr>
          <w:p w14:paraId="4B800F83"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518671 (?)</w:t>
            </w:r>
          </w:p>
        </w:tc>
        <w:tc>
          <w:tcPr>
            <w:tcW w:w="2525" w:type="dxa"/>
            <w:noWrap/>
            <w:hideMark/>
          </w:tcPr>
          <w:p w14:paraId="0ADFEEF5"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Susceptible to white mold</w:t>
            </w:r>
          </w:p>
        </w:tc>
        <w:tc>
          <w:tcPr>
            <w:tcW w:w="4135" w:type="dxa"/>
            <w:noWrap/>
          </w:tcPr>
          <w:p w14:paraId="4BDEE2BA" w14:textId="77A03199" w:rsidR="00D90789" w:rsidRPr="00D90789" w:rsidRDefault="00D90789" w:rsidP="00D90789">
            <w:pPr>
              <w:snapToGrid w:val="0"/>
              <w:spacing w:before="120" w:after="120"/>
              <w:rPr>
                <w:rFonts w:ascii="Times New Roman" w:hAnsi="Times New Roman" w:cs="Times New Roman"/>
              </w:rPr>
            </w:pPr>
          </w:p>
        </w:tc>
      </w:tr>
      <w:tr w:rsidR="00D90789" w:rsidRPr="00D90789" w14:paraId="3B5068E4" w14:textId="77777777" w:rsidTr="00C30EC5">
        <w:trPr>
          <w:trHeight w:val="290"/>
        </w:trPr>
        <w:tc>
          <w:tcPr>
            <w:tcW w:w="1975" w:type="dxa"/>
            <w:noWrap/>
            <w:hideMark/>
          </w:tcPr>
          <w:p w14:paraId="4293052B" w14:textId="77777777" w:rsidR="00D90789" w:rsidRPr="00D90789" w:rsidRDefault="00D90789" w:rsidP="00D90789">
            <w:pPr>
              <w:snapToGrid w:val="0"/>
              <w:spacing w:before="120" w:after="120"/>
              <w:rPr>
                <w:rFonts w:ascii="Times New Roman" w:hAnsi="Times New Roman" w:cs="Times New Roman"/>
              </w:rPr>
            </w:pPr>
            <w:proofErr w:type="spellStart"/>
            <w:r w:rsidRPr="00D90789">
              <w:rPr>
                <w:rFonts w:ascii="Times New Roman" w:hAnsi="Times New Roman" w:cs="Times New Roman"/>
              </w:rPr>
              <w:t>Minsoy</w:t>
            </w:r>
            <w:proofErr w:type="spellEnd"/>
          </w:p>
        </w:tc>
        <w:tc>
          <w:tcPr>
            <w:tcW w:w="2250" w:type="dxa"/>
            <w:noWrap/>
            <w:hideMark/>
          </w:tcPr>
          <w:p w14:paraId="1D3A1C17"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PI 548389 (?)</w:t>
            </w:r>
          </w:p>
        </w:tc>
        <w:tc>
          <w:tcPr>
            <w:tcW w:w="2525" w:type="dxa"/>
            <w:noWrap/>
            <w:hideMark/>
          </w:tcPr>
          <w:p w14:paraId="59544D2F"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Susceptible to white mold</w:t>
            </w:r>
          </w:p>
        </w:tc>
        <w:tc>
          <w:tcPr>
            <w:tcW w:w="4135" w:type="dxa"/>
            <w:noWrap/>
            <w:hideMark/>
          </w:tcPr>
          <w:p w14:paraId="1221F212" w14:textId="77777777" w:rsidR="00D90789" w:rsidRPr="00D90789" w:rsidRDefault="00D90789" w:rsidP="00D90789">
            <w:pPr>
              <w:snapToGrid w:val="0"/>
              <w:spacing w:before="120" w:after="120"/>
              <w:rPr>
                <w:rFonts w:ascii="Times New Roman" w:hAnsi="Times New Roman" w:cs="Times New Roman"/>
              </w:rPr>
            </w:pPr>
            <w:r w:rsidRPr="00D90789">
              <w:rPr>
                <w:rFonts w:ascii="Times New Roman" w:hAnsi="Times New Roman" w:cs="Times New Roman"/>
              </w:rPr>
              <w:t>Parents of a mapping population or RILs we previously used to map some white mold QTL, including a unique and strong-effect QTL on chr 7</w:t>
            </w:r>
          </w:p>
        </w:tc>
      </w:tr>
    </w:tbl>
    <w:p w14:paraId="161BEF9C" w14:textId="77777777" w:rsidR="00A279FA" w:rsidRPr="00496E43" w:rsidRDefault="00A279FA" w:rsidP="00747F60">
      <w:pPr>
        <w:snapToGrid w:val="0"/>
        <w:spacing w:before="120" w:after="120"/>
        <w:jc w:val="both"/>
        <w:rPr>
          <w:rFonts w:ascii="Times New Roman" w:hAnsi="Times New Roman" w:cs="Times New Roman"/>
        </w:rPr>
      </w:pPr>
    </w:p>
    <w:sectPr w:rsidR="00A279FA" w:rsidRPr="00496E43" w:rsidSect="00C30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3DFF"/>
    <w:multiLevelType w:val="hybridMultilevel"/>
    <w:tmpl w:val="14045540"/>
    <w:lvl w:ilvl="0" w:tplc="F8C06D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504E77"/>
    <w:multiLevelType w:val="multilevel"/>
    <w:tmpl w:val="E37C8E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51070100">
    <w:abstractNumId w:val="0"/>
  </w:num>
  <w:num w:numId="2" w16cid:durableId="1448237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E1"/>
    <w:rsid w:val="000607BD"/>
    <w:rsid w:val="00070448"/>
    <w:rsid w:val="0014378C"/>
    <w:rsid w:val="001A3AFD"/>
    <w:rsid w:val="002D20E0"/>
    <w:rsid w:val="003C2958"/>
    <w:rsid w:val="003E60C8"/>
    <w:rsid w:val="00496E43"/>
    <w:rsid w:val="005D7FDA"/>
    <w:rsid w:val="005E5107"/>
    <w:rsid w:val="00632865"/>
    <w:rsid w:val="006424A3"/>
    <w:rsid w:val="00747F60"/>
    <w:rsid w:val="00774E8C"/>
    <w:rsid w:val="0078579B"/>
    <w:rsid w:val="00804DDE"/>
    <w:rsid w:val="0083540A"/>
    <w:rsid w:val="008A7D87"/>
    <w:rsid w:val="00911415"/>
    <w:rsid w:val="00913C9E"/>
    <w:rsid w:val="00A279FA"/>
    <w:rsid w:val="00B43CB7"/>
    <w:rsid w:val="00B712E1"/>
    <w:rsid w:val="00BC16E8"/>
    <w:rsid w:val="00BE461A"/>
    <w:rsid w:val="00C20D61"/>
    <w:rsid w:val="00C30EC5"/>
    <w:rsid w:val="00C56DB0"/>
    <w:rsid w:val="00C57C97"/>
    <w:rsid w:val="00D133AC"/>
    <w:rsid w:val="00D90789"/>
    <w:rsid w:val="00D9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3579"/>
  <w15:docId w15:val="{F0D0998E-3CE1-2A48-A127-90336CF8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2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2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2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2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2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2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2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2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2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2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2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2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2E1"/>
    <w:rPr>
      <w:rFonts w:eastAsiaTheme="majorEastAsia" w:cstheme="majorBidi"/>
      <w:color w:val="272727" w:themeColor="text1" w:themeTint="D8"/>
    </w:rPr>
  </w:style>
  <w:style w:type="paragraph" w:styleId="Title">
    <w:name w:val="Title"/>
    <w:basedOn w:val="Normal"/>
    <w:next w:val="Normal"/>
    <w:link w:val="TitleChar"/>
    <w:uiPriority w:val="10"/>
    <w:qFormat/>
    <w:rsid w:val="00B712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2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2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12E1"/>
    <w:rPr>
      <w:i/>
      <w:iCs/>
      <w:color w:val="404040" w:themeColor="text1" w:themeTint="BF"/>
    </w:rPr>
  </w:style>
  <w:style w:type="paragraph" w:styleId="ListParagraph">
    <w:name w:val="List Paragraph"/>
    <w:basedOn w:val="Normal"/>
    <w:uiPriority w:val="34"/>
    <w:qFormat/>
    <w:rsid w:val="00B712E1"/>
    <w:pPr>
      <w:ind w:left="720"/>
      <w:contextualSpacing/>
    </w:pPr>
  </w:style>
  <w:style w:type="character" w:styleId="IntenseEmphasis">
    <w:name w:val="Intense Emphasis"/>
    <w:basedOn w:val="DefaultParagraphFont"/>
    <w:uiPriority w:val="21"/>
    <w:qFormat/>
    <w:rsid w:val="00B712E1"/>
    <w:rPr>
      <w:i/>
      <w:iCs/>
      <w:color w:val="0F4761" w:themeColor="accent1" w:themeShade="BF"/>
    </w:rPr>
  </w:style>
  <w:style w:type="paragraph" w:styleId="IntenseQuote">
    <w:name w:val="Intense Quote"/>
    <w:basedOn w:val="Normal"/>
    <w:next w:val="Normal"/>
    <w:link w:val="IntenseQuoteChar"/>
    <w:uiPriority w:val="30"/>
    <w:qFormat/>
    <w:rsid w:val="00B71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2E1"/>
    <w:rPr>
      <w:i/>
      <w:iCs/>
      <w:color w:val="0F4761" w:themeColor="accent1" w:themeShade="BF"/>
    </w:rPr>
  </w:style>
  <w:style w:type="character" w:styleId="IntenseReference">
    <w:name w:val="Intense Reference"/>
    <w:basedOn w:val="DefaultParagraphFont"/>
    <w:uiPriority w:val="32"/>
    <w:qFormat/>
    <w:rsid w:val="00B712E1"/>
    <w:rPr>
      <w:b/>
      <w:bCs/>
      <w:smallCaps/>
      <w:color w:val="0F4761" w:themeColor="accent1" w:themeShade="BF"/>
      <w:spacing w:val="5"/>
    </w:rPr>
  </w:style>
  <w:style w:type="character" w:styleId="Hyperlink">
    <w:name w:val="Hyperlink"/>
    <w:basedOn w:val="DefaultParagraphFont"/>
    <w:uiPriority w:val="99"/>
    <w:unhideWhenUsed/>
    <w:rsid w:val="00D133AC"/>
    <w:rPr>
      <w:color w:val="467886" w:themeColor="hyperlink"/>
      <w:u w:val="single"/>
    </w:rPr>
  </w:style>
  <w:style w:type="character" w:styleId="UnresolvedMention">
    <w:name w:val="Unresolved Mention"/>
    <w:basedOn w:val="DefaultParagraphFont"/>
    <w:uiPriority w:val="99"/>
    <w:semiHidden/>
    <w:unhideWhenUsed/>
    <w:rsid w:val="00D133AC"/>
    <w:rPr>
      <w:color w:val="605E5C"/>
      <w:shd w:val="clear" w:color="auto" w:fill="E1DFDD"/>
    </w:rPr>
  </w:style>
  <w:style w:type="table" w:styleId="TableGrid">
    <w:name w:val="Table Grid"/>
    <w:basedOn w:val="TableNormal"/>
    <w:uiPriority w:val="39"/>
    <w:rsid w:val="00D90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122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Bhattacharyya, Madan K [AGRON]</dc:creator>
  <cp:keywords/>
  <dc:description/>
  <cp:lastModifiedBy>Aaron J Lorenz</cp:lastModifiedBy>
  <cp:revision>4</cp:revision>
  <cp:lastPrinted>2024-03-29T23:03:00Z</cp:lastPrinted>
  <dcterms:created xsi:type="dcterms:W3CDTF">2024-04-01T15:57:00Z</dcterms:created>
  <dcterms:modified xsi:type="dcterms:W3CDTF">2024-04-02T01:18:00Z</dcterms:modified>
</cp:coreProperties>
</file>