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9683A2" w14:textId="43047F0F" w:rsidR="005065F6" w:rsidRPr="00AB3A60" w:rsidRDefault="005065F6" w:rsidP="005065F6">
      <w:pPr>
        <w:jc w:val="center"/>
        <w:rPr>
          <w:rFonts w:ascii="Calibri" w:hAnsi="Calibri" w:cs="Calibri"/>
          <w:sz w:val="22"/>
          <w:szCs w:val="22"/>
        </w:rPr>
      </w:pPr>
      <w:r w:rsidRPr="00AB3A60">
        <w:rPr>
          <w:rFonts w:ascii="Calibri" w:hAnsi="Calibri" w:cs="Calibri"/>
          <w:sz w:val="22"/>
          <w:szCs w:val="22"/>
        </w:rPr>
        <w:t xml:space="preserve">Maryland Soybean Board Progress </w:t>
      </w:r>
      <w:r w:rsidR="00641B2E" w:rsidRPr="00AB3A60">
        <w:rPr>
          <w:rFonts w:ascii="Calibri" w:hAnsi="Calibri" w:cs="Calibri"/>
          <w:sz w:val="22"/>
          <w:szCs w:val="22"/>
        </w:rPr>
        <w:t>R</w:t>
      </w:r>
      <w:r w:rsidRPr="00AB3A60">
        <w:rPr>
          <w:rFonts w:ascii="Calibri" w:hAnsi="Calibri" w:cs="Calibri"/>
          <w:sz w:val="22"/>
          <w:szCs w:val="22"/>
        </w:rPr>
        <w:t>eport (08/01/2024)</w:t>
      </w:r>
    </w:p>
    <w:p w14:paraId="203BE995" w14:textId="26360FB5" w:rsidR="005065F6" w:rsidRPr="00AB3A60" w:rsidRDefault="005065F6" w:rsidP="005065F6">
      <w:pPr>
        <w:jc w:val="right"/>
        <w:rPr>
          <w:rFonts w:ascii="Calibri" w:hAnsi="Calibri" w:cs="Calibri"/>
          <w:sz w:val="22"/>
          <w:szCs w:val="22"/>
        </w:rPr>
      </w:pPr>
      <w:r w:rsidRPr="00AB3A60">
        <w:rPr>
          <w:rFonts w:ascii="Calibri" w:hAnsi="Calibri" w:cs="Calibri"/>
          <w:sz w:val="22"/>
          <w:szCs w:val="22"/>
        </w:rPr>
        <w:t>Hood College – Daehwan Kim</w:t>
      </w:r>
    </w:p>
    <w:p w14:paraId="5AD3D464" w14:textId="77777777" w:rsidR="005065F6" w:rsidRPr="00AB3A60" w:rsidRDefault="005065F6" w:rsidP="005065F6">
      <w:pPr>
        <w:rPr>
          <w:rFonts w:ascii="Calibri" w:hAnsi="Calibri" w:cs="Calibri"/>
          <w:sz w:val="22"/>
          <w:szCs w:val="22"/>
        </w:rPr>
      </w:pPr>
    </w:p>
    <w:p w14:paraId="7DDCA629" w14:textId="38151582" w:rsidR="005065F6" w:rsidRPr="00AB3A60" w:rsidRDefault="005065F6" w:rsidP="00AB3A60">
      <w:pPr>
        <w:jc w:val="both"/>
        <w:rPr>
          <w:rFonts w:ascii="Calibri" w:hAnsi="Calibri" w:cs="Calibri"/>
          <w:sz w:val="22"/>
          <w:szCs w:val="22"/>
        </w:rPr>
      </w:pPr>
      <w:r w:rsidRPr="00AB3A60">
        <w:rPr>
          <w:rFonts w:ascii="Calibri" w:hAnsi="Calibri" w:cs="Calibri"/>
          <w:sz w:val="22"/>
          <w:szCs w:val="22"/>
        </w:rPr>
        <w:t>Brief Overview</w:t>
      </w:r>
      <w:r w:rsidR="00641B2E" w:rsidRPr="00AB3A60">
        <w:rPr>
          <w:rFonts w:ascii="Calibri" w:hAnsi="Calibri" w:cs="Calibri"/>
          <w:sz w:val="22"/>
          <w:szCs w:val="22"/>
        </w:rPr>
        <w:t xml:space="preserve">: Agricultural residues, soybean waste in this work, are potential low-cost feedstocks to produce biomolecules such as biofuels, energies, and lactic acid from this renewable resource. This research </w:t>
      </w:r>
      <w:r w:rsidR="00AB3A60" w:rsidRPr="00AB3A60">
        <w:rPr>
          <w:rFonts w:ascii="Calibri" w:hAnsi="Calibri" w:cs="Calibri"/>
          <w:sz w:val="22"/>
          <w:szCs w:val="22"/>
        </w:rPr>
        <w:t>explores the reaction conditions to cost-effectively deconstruct plant materials' crystalline structure and</w:t>
      </w:r>
      <w:r w:rsidR="00641B2E" w:rsidRPr="00AB3A60">
        <w:rPr>
          <w:rFonts w:ascii="Calibri" w:hAnsi="Calibri" w:cs="Calibri"/>
          <w:sz w:val="22"/>
          <w:szCs w:val="22"/>
        </w:rPr>
        <w:t xml:space="preserve"> ferment the extracted sugars </w:t>
      </w:r>
      <w:r w:rsidR="00F11565" w:rsidRPr="00AB3A60">
        <w:rPr>
          <w:rFonts w:ascii="Calibri" w:hAnsi="Calibri" w:cs="Calibri"/>
          <w:sz w:val="22"/>
          <w:szCs w:val="22"/>
        </w:rPr>
        <w:t>in</w:t>
      </w:r>
      <w:r w:rsidR="00641B2E" w:rsidRPr="00AB3A60">
        <w:rPr>
          <w:rFonts w:ascii="Calibri" w:hAnsi="Calibri" w:cs="Calibri"/>
          <w:sz w:val="22"/>
          <w:szCs w:val="22"/>
        </w:rPr>
        <w:t>to value-added products, mainly lactic acid.</w:t>
      </w:r>
    </w:p>
    <w:p w14:paraId="2205316C" w14:textId="7D38CA9F" w:rsidR="00AB3A60" w:rsidRPr="00AB3A60" w:rsidRDefault="00AB3A60" w:rsidP="00AB3A60">
      <w:pPr>
        <w:jc w:val="both"/>
        <w:rPr>
          <w:rFonts w:ascii="Calibri" w:hAnsi="Calibri" w:cs="Calibri"/>
          <w:sz w:val="22"/>
          <w:szCs w:val="22"/>
        </w:rPr>
      </w:pPr>
      <w:r w:rsidRPr="00AB3A60">
        <w:rPr>
          <w:rFonts w:ascii="Calibri" w:hAnsi="Calibri" w:cs="Calibri"/>
          <w:sz w:val="22"/>
          <w:szCs w:val="22"/>
        </w:rPr>
        <w:t>Key beneficiaries: Farmers, Customers, Industry</w:t>
      </w:r>
    </w:p>
    <w:p w14:paraId="622D2707" w14:textId="5104A607" w:rsidR="00AB3A60" w:rsidRPr="00AB3A60" w:rsidRDefault="00AB3A60" w:rsidP="00AB3A60">
      <w:pPr>
        <w:jc w:val="both"/>
        <w:rPr>
          <w:rFonts w:ascii="Calibri" w:hAnsi="Calibri" w:cs="Calibri"/>
          <w:sz w:val="22"/>
          <w:szCs w:val="22"/>
        </w:rPr>
      </w:pPr>
      <w:r w:rsidRPr="00AB3A60">
        <w:rPr>
          <w:rFonts w:ascii="Calibri" w:hAnsi="Calibri" w:cs="Calibri"/>
          <w:sz w:val="22"/>
          <w:szCs w:val="22"/>
        </w:rPr>
        <w:t>Project Summary: As the production of soybeans has increased, the resulting byproducts of soybeans generated during its processing have also increased. In general, 1 ton of soybean residues (at 10% moisture content) are generated with 820 kg of soybean (30 bushels) production, which is lower than corn or grain sorghum (40 bushels, 1,090 kg) but higher than wheat (20 bushels, 545 kg) (Wortmann et al., 2012). Some soybean straw is potentially utilized as agricultural fertilizer, animal feedstock, and energy resource for rural energy; however high lignin (&gt;20% w/w in straw) and anti-nutritional components in waste restrict their direct use. For better utilization of soybean wastes, an efficient pretreatment step is required to alleviate biomass recalcitrance because of the complex crystalline structure between cellulose-hemicellulose-lignin in the lignocellulosic biomass, including soybean straw (Kim et al., 2022, 2018). It is well-established that a pretreatment process can facilitate biomass saccharification by solubilizing hemicellulose and/or lignin and disrupting the crystalline structure of cellulose (Cao et al., 2015; Kim et al., 2016). Previous studies with different pretreatments such as supercritical water (</w:t>
      </w:r>
      <w:proofErr w:type="spellStart"/>
      <w:r w:rsidRPr="00AB3A60">
        <w:rPr>
          <w:rFonts w:ascii="Calibri" w:hAnsi="Calibri" w:cs="Calibri"/>
          <w:sz w:val="22"/>
          <w:szCs w:val="22"/>
        </w:rPr>
        <w:t>Vedovatto</w:t>
      </w:r>
      <w:proofErr w:type="spellEnd"/>
      <w:r w:rsidRPr="00AB3A60">
        <w:rPr>
          <w:rFonts w:ascii="Calibri" w:hAnsi="Calibri" w:cs="Calibri"/>
          <w:sz w:val="22"/>
          <w:szCs w:val="22"/>
        </w:rPr>
        <w:t xml:space="preserve"> et al., 2021), ball milling (Liu et al., 2016), and alkaline and acid pretreatments (Qing et al., 2017) were shown to disrupt the crystalline structure of soybean straw and enhance its enzymatic hydrolysis. Unutilized soybean residuals are often discarded/burned onto land or water which causes environmental issues with their high biochemical oxygen demand and toxic compounds; therefore, effective utilization of these residues is required (Liu et al., 2015).</w:t>
      </w:r>
    </w:p>
    <w:p w14:paraId="7B518D67" w14:textId="06C22C61" w:rsidR="005065F6" w:rsidRPr="00AB3A60" w:rsidRDefault="005065F6" w:rsidP="00AB3A60">
      <w:pPr>
        <w:jc w:val="both"/>
        <w:rPr>
          <w:rFonts w:ascii="Calibri" w:hAnsi="Calibri" w:cs="Calibri"/>
          <w:sz w:val="22"/>
          <w:szCs w:val="22"/>
        </w:rPr>
      </w:pPr>
      <w:r w:rsidRPr="00AB3A60">
        <w:rPr>
          <w:rFonts w:ascii="Calibri" w:hAnsi="Calibri" w:cs="Calibri"/>
          <w:sz w:val="22"/>
          <w:szCs w:val="22"/>
        </w:rPr>
        <w:t xml:space="preserve">Objectives: This project investigates the feasibility of using an agricultural </w:t>
      </w:r>
      <w:r w:rsidR="005F15E1" w:rsidRPr="00AB3A60">
        <w:rPr>
          <w:rFonts w:ascii="Calibri" w:hAnsi="Calibri" w:cs="Calibri"/>
          <w:sz w:val="22"/>
          <w:szCs w:val="22"/>
        </w:rPr>
        <w:t>feedstock</w:t>
      </w:r>
      <w:r w:rsidRPr="00AB3A60">
        <w:rPr>
          <w:rFonts w:ascii="Calibri" w:hAnsi="Calibri" w:cs="Calibri"/>
          <w:sz w:val="22"/>
          <w:szCs w:val="22"/>
        </w:rPr>
        <w:t xml:space="preserve">, soybean </w:t>
      </w:r>
      <w:r w:rsidR="005F15E1" w:rsidRPr="00AB3A60">
        <w:rPr>
          <w:rFonts w:ascii="Calibri" w:hAnsi="Calibri" w:cs="Calibri"/>
          <w:sz w:val="22"/>
          <w:szCs w:val="22"/>
        </w:rPr>
        <w:t xml:space="preserve">waste, to produce lactic acid. </w:t>
      </w:r>
      <w:r w:rsidR="00914A2F" w:rsidRPr="00AB3A60">
        <w:rPr>
          <w:rFonts w:ascii="Calibri" w:hAnsi="Calibri" w:cs="Calibri"/>
          <w:sz w:val="22"/>
          <w:szCs w:val="22"/>
        </w:rPr>
        <w:t>The pretreatment</w:t>
      </w:r>
      <w:r w:rsidR="005F15E1" w:rsidRPr="00AB3A60">
        <w:rPr>
          <w:rFonts w:ascii="Calibri" w:hAnsi="Calibri" w:cs="Calibri"/>
          <w:sz w:val="22"/>
          <w:szCs w:val="22"/>
        </w:rPr>
        <w:t xml:space="preserve"> of soybean straw </w:t>
      </w:r>
      <w:r w:rsidR="00AB3A60" w:rsidRPr="00AB3A60">
        <w:rPr>
          <w:rFonts w:ascii="Calibri" w:hAnsi="Calibri" w:cs="Calibri"/>
          <w:sz w:val="22"/>
          <w:szCs w:val="22"/>
        </w:rPr>
        <w:t>affects solubilizing hemicellulose and lignin, disrupting cellulose structure</w:t>
      </w:r>
      <w:r w:rsidR="005F15E1" w:rsidRPr="00AB3A60">
        <w:rPr>
          <w:rFonts w:ascii="Calibri" w:hAnsi="Calibri" w:cs="Calibri"/>
          <w:sz w:val="22"/>
          <w:szCs w:val="22"/>
        </w:rPr>
        <w:t xml:space="preserve"> that increases sugar yields by allowing more enzyme accessibility. </w:t>
      </w:r>
      <w:r w:rsidR="00914A2F" w:rsidRPr="00AB3A60">
        <w:rPr>
          <w:rFonts w:ascii="Calibri" w:hAnsi="Calibri" w:cs="Calibri"/>
          <w:sz w:val="22"/>
          <w:szCs w:val="22"/>
        </w:rPr>
        <w:t xml:space="preserve">The following enzymatic hydrolysis of oligosaccharides in the pretreated solids into monomeric sugars with co-fermentation to lactic acid will be explored. A genetically engineered strain of </w:t>
      </w:r>
      <w:r w:rsidR="00914A2F" w:rsidRPr="00AB3A60">
        <w:rPr>
          <w:rFonts w:ascii="Calibri" w:hAnsi="Calibri" w:cs="Calibri"/>
          <w:i/>
          <w:iCs/>
          <w:sz w:val="22"/>
          <w:szCs w:val="22"/>
        </w:rPr>
        <w:t xml:space="preserve">Lactobacillus </w:t>
      </w:r>
      <w:proofErr w:type="spellStart"/>
      <w:r w:rsidR="00914A2F" w:rsidRPr="00AB3A60">
        <w:rPr>
          <w:rFonts w:ascii="Calibri" w:hAnsi="Calibri" w:cs="Calibri"/>
          <w:i/>
          <w:iCs/>
          <w:sz w:val="22"/>
          <w:szCs w:val="22"/>
        </w:rPr>
        <w:t>pentosus</w:t>
      </w:r>
      <w:proofErr w:type="spellEnd"/>
      <w:r w:rsidR="00914A2F" w:rsidRPr="00AB3A60">
        <w:rPr>
          <w:rFonts w:ascii="Calibri" w:hAnsi="Calibri" w:cs="Calibri"/>
          <w:sz w:val="22"/>
          <w:szCs w:val="22"/>
        </w:rPr>
        <w:t xml:space="preserve"> will be employed to improve the yield of soluble 5-</w:t>
      </w:r>
      <w:r w:rsidR="00641B2E" w:rsidRPr="00AB3A60">
        <w:rPr>
          <w:rFonts w:ascii="Calibri" w:hAnsi="Calibri" w:cs="Calibri"/>
          <w:sz w:val="22"/>
          <w:szCs w:val="22"/>
        </w:rPr>
        <w:t>c</w:t>
      </w:r>
      <w:r w:rsidR="00914A2F" w:rsidRPr="00AB3A60">
        <w:rPr>
          <w:rFonts w:ascii="Calibri" w:hAnsi="Calibri" w:cs="Calibri"/>
          <w:sz w:val="22"/>
          <w:szCs w:val="22"/>
        </w:rPr>
        <w:t xml:space="preserve">arbon and 6-carbon sugars. </w:t>
      </w:r>
    </w:p>
    <w:p w14:paraId="39AC8FF7" w14:textId="3B4E4295" w:rsidR="00AB3A60" w:rsidRPr="00AB3A60" w:rsidRDefault="00AB3A60" w:rsidP="00AB3A60">
      <w:pPr>
        <w:jc w:val="both"/>
        <w:rPr>
          <w:rFonts w:ascii="Calibri" w:hAnsi="Calibri" w:cs="Calibri"/>
          <w:sz w:val="22"/>
          <w:szCs w:val="22"/>
        </w:rPr>
      </w:pPr>
      <w:r w:rsidRPr="00AB3A60">
        <w:rPr>
          <w:rFonts w:ascii="Calibri" w:hAnsi="Calibri" w:cs="Calibri"/>
          <w:sz w:val="22"/>
          <w:szCs w:val="22"/>
        </w:rPr>
        <w:t xml:space="preserve">Project deliverables: Screening enzyme candidates and determination of the best enzyme mixture: It has been shown that low enzyme loadings are available to release monomeric sugars from </w:t>
      </w:r>
      <w:r w:rsidR="009D1F3F">
        <w:rPr>
          <w:rFonts w:ascii="Calibri" w:hAnsi="Calibri" w:cs="Calibri"/>
          <w:sz w:val="22"/>
          <w:szCs w:val="22"/>
        </w:rPr>
        <w:t>low-lignin</w:t>
      </w:r>
      <w:r w:rsidRPr="00AB3A60">
        <w:rPr>
          <w:rFonts w:ascii="Calibri" w:hAnsi="Calibri" w:cs="Calibri"/>
          <w:sz w:val="22"/>
          <w:szCs w:val="22"/>
        </w:rPr>
        <w:t xml:space="preserve"> agricultural biomass such as corn pericarp (Kim et al., 2017) or pretreated lignocellulosic materials using liquid hot water (Cao et al., 2015; Kim, 2018; Kim et al., 2016). The physical properties of the pretreated cellulose or low lignin sample were shown to be altered and mechanisms were proposed that led to a leveling in particle size during enzyme hydrolysis of lignin-free, microcrystalline cellulose. This approach </w:t>
      </w:r>
      <w:r w:rsidRPr="00AB3A60">
        <w:rPr>
          <w:rFonts w:ascii="Calibri" w:hAnsi="Calibri" w:cs="Calibri"/>
          <w:sz w:val="22"/>
          <w:szCs w:val="22"/>
        </w:rPr>
        <w:lastRenderedPageBreak/>
        <w:t>utilized enzyme mixtures that carried out hydrolysis for hours and suggested that enzyme penetration of the cellulose or polysaccharide</w:t>
      </w:r>
    </w:p>
    <w:p w14:paraId="2C1BC0E9" w14:textId="77777777" w:rsidR="00AB3A60" w:rsidRPr="00AB3A60" w:rsidRDefault="00AB3A60" w:rsidP="00AB3A60">
      <w:pPr>
        <w:jc w:val="both"/>
        <w:rPr>
          <w:rFonts w:ascii="Calibri" w:hAnsi="Calibri" w:cs="Calibri"/>
          <w:sz w:val="22"/>
          <w:szCs w:val="22"/>
        </w:rPr>
      </w:pPr>
      <w:r w:rsidRPr="00AB3A60">
        <w:rPr>
          <w:rFonts w:ascii="Calibri" w:hAnsi="Calibri" w:cs="Calibri"/>
          <w:sz w:val="22"/>
          <w:szCs w:val="22"/>
        </w:rPr>
        <w:t xml:space="preserve">was the likely mechanism. The mixture of cellulase and </w:t>
      </w:r>
      <w:proofErr w:type="spellStart"/>
      <w:r w:rsidRPr="00AB3A60">
        <w:rPr>
          <w:rFonts w:ascii="Calibri" w:hAnsi="Calibri" w:cs="Calibri"/>
          <w:sz w:val="22"/>
          <w:szCs w:val="22"/>
        </w:rPr>
        <w:t>hemicellulase</w:t>
      </w:r>
      <w:proofErr w:type="spellEnd"/>
      <w:r w:rsidRPr="00AB3A60">
        <w:rPr>
          <w:rFonts w:ascii="Calibri" w:hAnsi="Calibri" w:cs="Calibri"/>
          <w:sz w:val="22"/>
          <w:szCs w:val="22"/>
        </w:rPr>
        <w:t xml:space="preserve"> preparation is effective in cleaving the linkage of polysaccharide and cellulose at low enzyme loadings. The highest yield of sugars is the objective of this research and will be recovered and fermented into lactic acid. The PI, Dr. Kim, and his lab have significant experience with enzyme activity measurement and formulation for different applications. Cellulase and ß-glucosidase activities will be measured using procedures from the International Union of Pure and Applied Chemistry (IUPAC). All other enzyme activities will be measured following previous reports in the literature (Dien et al., 2008; Kim et al., 2017).</w:t>
      </w:r>
    </w:p>
    <w:p w14:paraId="635E1255" w14:textId="7018A65B" w:rsidR="00AB3A60" w:rsidRPr="00AB3A60" w:rsidRDefault="00AB3A60" w:rsidP="00AB3A60">
      <w:pPr>
        <w:jc w:val="both"/>
        <w:rPr>
          <w:rFonts w:ascii="Calibri" w:hAnsi="Calibri" w:cs="Calibri"/>
          <w:sz w:val="22"/>
          <w:szCs w:val="22"/>
        </w:rPr>
      </w:pPr>
      <w:r w:rsidRPr="00AB3A60">
        <w:rPr>
          <w:rFonts w:ascii="Calibri" w:hAnsi="Calibri" w:cs="Calibri"/>
          <w:sz w:val="22"/>
          <w:szCs w:val="22"/>
        </w:rPr>
        <w:t>Optimization of lactic acid production: Over the years, the PIs’ group has developed several methods to enhance enzymatic saccharification yields and subsequent microbial fermentations for lactic acid production. In addition to measuring the properties of soybean straw hydrolysate and increasing the lactic acid yield, we are interested in understanding the co-fermentation of C5 and C6 monomeric sugars using the co-fermenting L. pentose strain. We intend to use the conditions identified for the raw material preparation described above. We will optimize the enzyme saccharification and microbial fermentation in the flask levels. The microbial fermentation of the C5 and C6 sugars will be accomplished for fermentation processing. The pre-cultured L. pentose strain will be added before fermentation; the consumption and production of sugars and lactic acid will be monitored and determined using HPLC promptly.</w:t>
      </w:r>
    </w:p>
    <w:p w14:paraId="60CD6CE3" w14:textId="3A622CD1" w:rsidR="00641B2E" w:rsidRDefault="00641B2E" w:rsidP="00AB3A60">
      <w:pPr>
        <w:jc w:val="both"/>
        <w:rPr>
          <w:rFonts w:ascii="Calibri" w:hAnsi="Calibri" w:cs="Calibri"/>
          <w:color w:val="000000" w:themeColor="text1"/>
          <w:sz w:val="22"/>
          <w:szCs w:val="22"/>
        </w:rPr>
      </w:pPr>
      <w:r w:rsidRPr="00AB3A60">
        <w:rPr>
          <w:rFonts w:ascii="Calibri" w:hAnsi="Calibri" w:cs="Calibri"/>
          <w:sz w:val="22"/>
          <w:szCs w:val="22"/>
        </w:rPr>
        <w:t>Benefit</w:t>
      </w:r>
      <w:r w:rsidR="00F11565" w:rsidRPr="00AB3A60">
        <w:rPr>
          <w:rFonts w:ascii="Calibri" w:hAnsi="Calibri" w:cs="Calibri"/>
          <w:sz w:val="22"/>
          <w:szCs w:val="22"/>
        </w:rPr>
        <w:t>s</w:t>
      </w:r>
      <w:r w:rsidRPr="00AB3A60">
        <w:rPr>
          <w:rFonts w:ascii="Calibri" w:hAnsi="Calibri" w:cs="Calibri"/>
          <w:sz w:val="22"/>
          <w:szCs w:val="22"/>
        </w:rPr>
        <w:t xml:space="preserve"> to Soybean Farmers:</w:t>
      </w:r>
      <w:r w:rsidR="00ED624F" w:rsidRPr="00AB3A60">
        <w:rPr>
          <w:rFonts w:ascii="Calibri" w:hAnsi="Calibri" w:cs="Calibri"/>
          <w:sz w:val="22"/>
          <w:szCs w:val="22"/>
        </w:rPr>
        <w:t xml:space="preserve"> Our interests </w:t>
      </w:r>
      <w:r w:rsidR="00AB3A60" w:rsidRPr="00AB3A60">
        <w:rPr>
          <w:rFonts w:ascii="Calibri" w:hAnsi="Calibri" w:cs="Calibri"/>
          <w:sz w:val="22"/>
          <w:szCs w:val="22"/>
        </w:rPr>
        <w:t>complement</w:t>
      </w:r>
      <w:r w:rsidR="00ED624F" w:rsidRPr="00AB3A60">
        <w:rPr>
          <w:rFonts w:ascii="Calibri" w:hAnsi="Calibri" w:cs="Calibri"/>
          <w:sz w:val="22"/>
          <w:szCs w:val="22"/>
        </w:rPr>
        <w:t xml:space="preserve"> those of the soybean grower and industries closely related to soybean processing and production. We try to convert the lignocellulosic materials into simple sugars for subsequent fermentation or chemical conversion to biochemicals and bioproducts (e.g., lactic acid). </w:t>
      </w:r>
      <w:r w:rsidR="00ED624F" w:rsidRPr="00AB3A60">
        <w:rPr>
          <w:rFonts w:ascii="Calibri" w:hAnsi="Calibri" w:cs="Calibri"/>
          <w:color w:val="000000" w:themeColor="text1"/>
          <w:sz w:val="22"/>
          <w:szCs w:val="22"/>
        </w:rPr>
        <w:t>We believe that soybean biorefineries with diversified product portfolios offer great potential for Maryland soybean farmers and sugar producers to capture the added value and obtain a higher return on investment while achieving energy and economic goals simultaneously.</w:t>
      </w:r>
    </w:p>
    <w:p w14:paraId="3416AB8F" w14:textId="77777777" w:rsidR="00FF3C0F" w:rsidRDefault="00FF3C0F" w:rsidP="00AB3A60">
      <w:pPr>
        <w:jc w:val="both"/>
        <w:rPr>
          <w:rFonts w:ascii="Calibri" w:hAnsi="Calibri" w:cs="Calibri"/>
          <w:sz w:val="22"/>
          <w:szCs w:val="22"/>
        </w:rPr>
      </w:pPr>
    </w:p>
    <w:p w14:paraId="1BFCE99A" w14:textId="77777777" w:rsidR="00FF3C0F" w:rsidRDefault="00FF3C0F" w:rsidP="00AB3A60">
      <w:pPr>
        <w:jc w:val="both"/>
        <w:rPr>
          <w:rFonts w:ascii="Calibri" w:hAnsi="Calibri" w:cs="Calibri"/>
          <w:sz w:val="22"/>
          <w:szCs w:val="22"/>
        </w:rPr>
      </w:pPr>
    </w:p>
    <w:p w14:paraId="54180509" w14:textId="77777777" w:rsidR="00FF3C0F" w:rsidRDefault="00FF3C0F" w:rsidP="00AB3A60">
      <w:pPr>
        <w:jc w:val="both"/>
        <w:rPr>
          <w:rFonts w:ascii="Calibri" w:hAnsi="Calibri" w:cs="Calibri"/>
          <w:sz w:val="22"/>
          <w:szCs w:val="22"/>
        </w:rPr>
      </w:pPr>
    </w:p>
    <w:p w14:paraId="0BB1114F" w14:textId="77777777" w:rsidR="00FF3C0F" w:rsidRDefault="00FF3C0F" w:rsidP="00AB3A60">
      <w:pPr>
        <w:jc w:val="both"/>
        <w:rPr>
          <w:rFonts w:ascii="Calibri" w:hAnsi="Calibri" w:cs="Calibri"/>
          <w:sz w:val="22"/>
          <w:szCs w:val="22"/>
        </w:rPr>
      </w:pPr>
    </w:p>
    <w:p w14:paraId="2DEA8C93" w14:textId="77777777" w:rsidR="00FF3C0F" w:rsidRDefault="00FF3C0F" w:rsidP="00AB3A60">
      <w:pPr>
        <w:jc w:val="both"/>
        <w:rPr>
          <w:rFonts w:ascii="Calibri" w:hAnsi="Calibri" w:cs="Calibri"/>
          <w:sz w:val="22"/>
          <w:szCs w:val="22"/>
        </w:rPr>
      </w:pPr>
    </w:p>
    <w:p w14:paraId="4A84350C" w14:textId="77777777" w:rsidR="00FF3C0F" w:rsidRDefault="00FF3C0F" w:rsidP="00AB3A60">
      <w:pPr>
        <w:jc w:val="both"/>
        <w:rPr>
          <w:rFonts w:ascii="Calibri" w:hAnsi="Calibri" w:cs="Calibri"/>
          <w:sz w:val="22"/>
          <w:szCs w:val="22"/>
        </w:rPr>
      </w:pPr>
    </w:p>
    <w:p w14:paraId="427272CA" w14:textId="77777777" w:rsidR="00FF3C0F" w:rsidRDefault="00FF3C0F" w:rsidP="00AB3A60">
      <w:pPr>
        <w:jc w:val="both"/>
        <w:rPr>
          <w:rFonts w:ascii="Calibri" w:hAnsi="Calibri" w:cs="Calibri"/>
          <w:sz w:val="22"/>
          <w:szCs w:val="22"/>
        </w:rPr>
      </w:pPr>
    </w:p>
    <w:p w14:paraId="160EFC06" w14:textId="77777777" w:rsidR="00FF3C0F" w:rsidRDefault="00FF3C0F" w:rsidP="00AB3A60">
      <w:pPr>
        <w:jc w:val="both"/>
        <w:rPr>
          <w:rFonts w:ascii="Calibri" w:hAnsi="Calibri" w:cs="Calibri"/>
          <w:sz w:val="22"/>
          <w:szCs w:val="22"/>
        </w:rPr>
      </w:pPr>
    </w:p>
    <w:p w14:paraId="5A48E7F1" w14:textId="77777777" w:rsidR="00FF3C0F" w:rsidRDefault="00FF3C0F" w:rsidP="00AB3A60">
      <w:pPr>
        <w:jc w:val="both"/>
        <w:rPr>
          <w:rFonts w:ascii="Calibri" w:hAnsi="Calibri" w:cs="Calibri"/>
          <w:sz w:val="22"/>
          <w:szCs w:val="22"/>
        </w:rPr>
      </w:pPr>
    </w:p>
    <w:p w14:paraId="5277040C" w14:textId="77777777" w:rsidR="00FF3C0F" w:rsidRDefault="00FF3C0F" w:rsidP="00AB3A60">
      <w:pPr>
        <w:jc w:val="both"/>
        <w:rPr>
          <w:rFonts w:ascii="Calibri" w:hAnsi="Calibri" w:cs="Calibri"/>
          <w:sz w:val="22"/>
          <w:szCs w:val="22"/>
        </w:rPr>
      </w:pPr>
    </w:p>
    <w:p w14:paraId="3628DFEC" w14:textId="1B660E1B" w:rsidR="00FF3C0F" w:rsidRPr="0013720C" w:rsidRDefault="00FF3C0F" w:rsidP="00AB3A60">
      <w:pPr>
        <w:jc w:val="both"/>
        <w:rPr>
          <w:rFonts w:ascii="Calibri" w:hAnsi="Calibri" w:cs="Calibri"/>
          <w:b/>
          <w:bCs/>
          <w:color w:val="0070C0"/>
          <w:sz w:val="22"/>
          <w:szCs w:val="22"/>
        </w:rPr>
      </w:pPr>
      <w:r w:rsidRPr="0013720C">
        <w:rPr>
          <w:rFonts w:ascii="Calibri" w:hAnsi="Calibri" w:cs="Calibri"/>
          <w:b/>
          <w:bCs/>
          <w:color w:val="0070C0"/>
          <w:sz w:val="22"/>
          <w:szCs w:val="22"/>
        </w:rPr>
        <w:lastRenderedPageBreak/>
        <w:t xml:space="preserve">Preliminary work of soybean compositional </w:t>
      </w:r>
      <w:r w:rsidR="008D05B9" w:rsidRPr="0013720C">
        <w:rPr>
          <w:rFonts w:ascii="Calibri" w:hAnsi="Calibri" w:cs="Calibri"/>
          <w:b/>
          <w:bCs/>
          <w:color w:val="0070C0"/>
          <w:sz w:val="22"/>
          <w:szCs w:val="22"/>
        </w:rPr>
        <w:t>analysis</w:t>
      </w:r>
    </w:p>
    <w:p w14:paraId="42FD588F" w14:textId="673F4FFA" w:rsidR="002303AB" w:rsidRDefault="005B4091" w:rsidP="0013720C">
      <w:pPr>
        <w:pStyle w:val="RSCB04AHeadingSection"/>
        <w:spacing w:before="0"/>
        <w:ind w:firstLine="720"/>
        <w:jc w:val="both"/>
        <w:rPr>
          <w:rFonts w:ascii="Calibri" w:hAnsi="Calibri" w:cs="Calibri"/>
          <w:b w:val="0"/>
          <w:bCs/>
          <w:color w:val="0070C0"/>
          <w:sz w:val="22"/>
        </w:rPr>
      </w:pPr>
      <w:r w:rsidRPr="005B4091">
        <w:rPr>
          <w:rFonts w:ascii="Calibri" w:hAnsi="Calibri" w:cs="Calibri"/>
          <w:b w:val="0"/>
          <w:bCs/>
          <w:color w:val="0070C0"/>
          <w:sz w:val="22"/>
        </w:rPr>
        <w:t xml:space="preserve">For the soybean waste research, soybeans cultivated and harvested in 2019 at Peace and Plenty Farm in Rocky Ridge, MD (USA), were generously donated after the seeds were separated. The raw hulls were oven-dried at 50°C overnight, processed using a Wiley mill, and sieved through a 30-mesh sieve (0.595 mm). The ground samples were then collected and stored in a dry oven for future use, and their moisture content, which was below 4%, was measured using a Halogen moisture analyzer (Mettler Toledo HB 43, Columbia, OH, USA) before testing. The chemical composition of the soybean hull was determined following biomass compositional analysis procedures provided by the National Renewable Energy Laboratory (NREL). The production of monomeric sugars, </w:t>
      </w:r>
      <w:r>
        <w:rPr>
          <w:rFonts w:ascii="Calibri" w:hAnsi="Calibri" w:cs="Calibri"/>
          <w:b w:val="0"/>
          <w:bCs/>
          <w:color w:val="0070C0"/>
          <w:sz w:val="22"/>
        </w:rPr>
        <w:t xml:space="preserve">and </w:t>
      </w:r>
      <w:r w:rsidRPr="005B4091">
        <w:rPr>
          <w:rFonts w:ascii="Calibri" w:hAnsi="Calibri" w:cs="Calibri"/>
          <w:b w:val="0"/>
          <w:bCs/>
          <w:color w:val="0070C0"/>
          <w:sz w:val="22"/>
        </w:rPr>
        <w:t xml:space="preserve">acetic acid in hydrolyzed samples, ethanol, and other soluble molecules from the fermentation step were analyzed by HPLC. The HPLC analysis was performed using a Bio-Rad </w:t>
      </w:r>
      <w:proofErr w:type="spellStart"/>
      <w:r w:rsidRPr="005B4091">
        <w:rPr>
          <w:rFonts w:ascii="Calibri" w:hAnsi="Calibri" w:cs="Calibri"/>
          <w:b w:val="0"/>
          <w:bCs/>
          <w:color w:val="0070C0"/>
          <w:sz w:val="22"/>
        </w:rPr>
        <w:t>Aminex</w:t>
      </w:r>
      <w:proofErr w:type="spellEnd"/>
      <w:r w:rsidRPr="005B4091">
        <w:rPr>
          <w:rFonts w:ascii="Calibri" w:hAnsi="Calibri" w:cs="Calibri"/>
          <w:b w:val="0"/>
          <w:bCs/>
          <w:color w:val="0070C0"/>
          <w:sz w:val="22"/>
        </w:rPr>
        <w:t xml:space="preserve"> HPX-87H ion exchange column (300 mm x 7.8 mm, Bio-Rad Laboratories Inc., Hercules, CA), a Milton Roy mini pump (Milton Roy Co., </w:t>
      </w:r>
      <w:proofErr w:type="spellStart"/>
      <w:r w:rsidRPr="005B4091">
        <w:rPr>
          <w:rFonts w:ascii="Calibri" w:hAnsi="Calibri" w:cs="Calibri"/>
          <w:b w:val="0"/>
          <w:bCs/>
          <w:color w:val="0070C0"/>
          <w:sz w:val="22"/>
        </w:rPr>
        <w:t>Ivyland</w:t>
      </w:r>
      <w:proofErr w:type="spellEnd"/>
      <w:r w:rsidRPr="005B4091">
        <w:rPr>
          <w:rFonts w:ascii="Calibri" w:hAnsi="Calibri" w:cs="Calibri"/>
          <w:b w:val="0"/>
          <w:bCs/>
          <w:color w:val="0070C0"/>
          <w:sz w:val="22"/>
        </w:rPr>
        <w:t>, PA), a Waters 717 plus autosampler, and a Waters 2414 refractive index detector (Waters Corp., Milford, MA) connected to Empower 2 Chromatography Data Software (Waters Corp., Milford, MA). The column was maintained at 60°C, with a mobile phase flow rate of 0.6 mL/min of 5 mM sulfuric acid</w:t>
      </w:r>
      <w:r>
        <w:rPr>
          <w:rFonts w:ascii="Calibri" w:hAnsi="Calibri" w:cs="Calibri"/>
          <w:b w:val="0"/>
          <w:bCs/>
          <w:color w:val="0070C0"/>
          <w:sz w:val="22"/>
        </w:rPr>
        <w:t>.</w:t>
      </w:r>
      <w:r w:rsidR="002303AB" w:rsidRPr="002303AB">
        <w:rPr>
          <w:rFonts w:ascii="Calibri" w:hAnsi="Calibri" w:cs="Calibri"/>
          <w:b w:val="0"/>
          <w:bCs/>
          <w:color w:val="0070C0"/>
          <w:sz w:val="22"/>
        </w:rPr>
        <w:t xml:space="preserve"> </w:t>
      </w:r>
    </w:p>
    <w:p w14:paraId="54F60DE2" w14:textId="77777777" w:rsidR="002303AB" w:rsidRPr="002303AB" w:rsidRDefault="002303AB" w:rsidP="002303AB">
      <w:pPr>
        <w:pStyle w:val="RSCB04AHeadingSection"/>
        <w:spacing w:before="0"/>
        <w:jc w:val="both"/>
        <w:rPr>
          <w:rFonts w:ascii="Calibri" w:hAnsi="Calibri" w:cs="Calibri"/>
          <w:b w:val="0"/>
          <w:bCs/>
          <w:color w:val="0070C0"/>
          <w:sz w:val="22"/>
        </w:rPr>
      </w:pPr>
    </w:p>
    <w:p w14:paraId="1587F7BF" w14:textId="4365520C" w:rsidR="002303AB" w:rsidRPr="002303AB" w:rsidRDefault="002303AB" w:rsidP="002303AB">
      <w:pPr>
        <w:pStyle w:val="RSCB06BHeadingSub-Section"/>
        <w:jc w:val="both"/>
        <w:rPr>
          <w:rFonts w:ascii="Calibri" w:hAnsi="Calibri" w:cs="Calibri"/>
          <w:b w:val="0"/>
          <w:color w:val="0070C0"/>
          <w:sz w:val="22"/>
          <w:lang w:val="en-US"/>
        </w:rPr>
      </w:pPr>
      <w:r w:rsidRPr="002303AB">
        <w:rPr>
          <w:rFonts w:ascii="Calibri" w:hAnsi="Calibri" w:cs="Calibri"/>
          <w:b w:val="0"/>
          <w:color w:val="0070C0"/>
          <w:sz w:val="22"/>
          <w:lang w:val="en-US"/>
        </w:rPr>
        <w:t xml:space="preserve">Table </w:t>
      </w:r>
      <w:r w:rsidRPr="002303AB">
        <w:rPr>
          <w:rFonts w:ascii="Calibri" w:hAnsi="Calibri" w:cs="Calibri"/>
          <w:b w:val="0"/>
          <w:color w:val="0070C0"/>
          <w:sz w:val="22"/>
          <w:lang w:val="en-US"/>
        </w:rPr>
        <w:t>1</w:t>
      </w:r>
      <w:r w:rsidRPr="002303AB">
        <w:rPr>
          <w:rFonts w:ascii="Calibri" w:hAnsi="Calibri" w:cs="Calibri"/>
          <w:b w:val="0"/>
          <w:color w:val="0070C0"/>
          <w:sz w:val="22"/>
          <w:lang w:val="en-US"/>
        </w:rPr>
        <w:t xml:space="preserve">. Chemical composition of soybean hull and its comparisons with </w:t>
      </w:r>
      <w:r w:rsidR="00B66C69" w:rsidRPr="002303AB">
        <w:rPr>
          <w:rFonts w:ascii="Calibri" w:hAnsi="Calibri" w:cs="Calibri"/>
          <w:b w:val="0"/>
          <w:color w:val="0070C0"/>
          <w:sz w:val="22"/>
          <w:lang w:val="en-US"/>
        </w:rPr>
        <w:t>another</w:t>
      </w:r>
      <w:r w:rsidRPr="002303AB">
        <w:rPr>
          <w:rFonts w:ascii="Calibri" w:hAnsi="Calibri" w:cs="Calibri"/>
          <w:b w:val="0"/>
          <w:color w:val="0070C0"/>
          <w:sz w:val="22"/>
          <w:lang w:val="en-US"/>
        </w:rPr>
        <w:t xml:space="preserve"> lignocellulosic feedstock.</w:t>
      </w:r>
    </w:p>
    <w:tbl>
      <w:tblPr>
        <w:tblStyle w:val="TableGrid"/>
        <w:tblW w:w="9316" w:type="dxa"/>
        <w:tblLayout w:type="fixed"/>
        <w:tblLook w:val="04A0" w:firstRow="1" w:lastRow="0" w:firstColumn="1" w:lastColumn="0" w:noHBand="0" w:noVBand="1"/>
      </w:tblPr>
      <w:tblGrid>
        <w:gridCol w:w="2347"/>
        <w:gridCol w:w="1099"/>
        <w:gridCol w:w="1542"/>
        <w:gridCol w:w="2540"/>
        <w:gridCol w:w="1788"/>
      </w:tblGrid>
      <w:tr w:rsidR="002303AB" w:rsidRPr="002303AB" w14:paraId="110E9D14" w14:textId="77777777" w:rsidTr="0013720C">
        <w:trPr>
          <w:trHeight w:val="419"/>
        </w:trPr>
        <w:tc>
          <w:tcPr>
            <w:tcW w:w="2347" w:type="dxa"/>
            <w:tcBorders>
              <w:top w:val="single" w:sz="4" w:space="0" w:color="auto"/>
              <w:left w:val="nil"/>
              <w:bottom w:val="nil"/>
              <w:right w:val="nil"/>
            </w:tcBorders>
            <w:vAlign w:val="center"/>
          </w:tcPr>
          <w:p w14:paraId="1C38052C" w14:textId="37B9C6D8" w:rsidR="002303AB" w:rsidRPr="002303AB" w:rsidRDefault="002303AB" w:rsidP="0013720C">
            <w:pPr>
              <w:pStyle w:val="RSCB06BHeadingSub-Section"/>
              <w:rPr>
                <w:rFonts w:ascii="Calibri" w:hAnsi="Calibri" w:cs="Calibri"/>
                <w:b w:val="0"/>
                <w:color w:val="0070C0"/>
                <w:sz w:val="22"/>
                <w:lang w:val="en-US"/>
              </w:rPr>
            </w:pPr>
          </w:p>
        </w:tc>
        <w:tc>
          <w:tcPr>
            <w:tcW w:w="6969" w:type="dxa"/>
            <w:gridSpan w:val="4"/>
            <w:tcBorders>
              <w:top w:val="single" w:sz="4" w:space="0" w:color="auto"/>
              <w:left w:val="nil"/>
              <w:bottom w:val="single" w:sz="4" w:space="0" w:color="auto"/>
              <w:right w:val="nil"/>
            </w:tcBorders>
            <w:vAlign w:val="center"/>
          </w:tcPr>
          <w:p w14:paraId="2C2B37F6" w14:textId="77777777" w:rsidR="002303AB" w:rsidRPr="002303AB" w:rsidRDefault="002303AB" w:rsidP="0013720C">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Composition (%)</w:t>
            </w:r>
          </w:p>
        </w:tc>
      </w:tr>
      <w:tr w:rsidR="002303AB" w:rsidRPr="002303AB" w14:paraId="07072413" w14:textId="77777777" w:rsidTr="0013720C">
        <w:trPr>
          <w:trHeight w:val="419"/>
        </w:trPr>
        <w:tc>
          <w:tcPr>
            <w:tcW w:w="2347" w:type="dxa"/>
            <w:tcBorders>
              <w:top w:val="nil"/>
              <w:left w:val="nil"/>
              <w:bottom w:val="single" w:sz="4" w:space="0" w:color="auto"/>
              <w:right w:val="nil"/>
            </w:tcBorders>
            <w:vAlign w:val="center"/>
          </w:tcPr>
          <w:p w14:paraId="78ACD164" w14:textId="77777777" w:rsidR="002303AB" w:rsidRPr="002303AB" w:rsidRDefault="002303AB" w:rsidP="0013720C">
            <w:pPr>
              <w:pStyle w:val="RSCB06BHeadingSub-Section"/>
              <w:rPr>
                <w:rFonts w:ascii="Calibri" w:hAnsi="Calibri" w:cs="Calibri"/>
                <w:b w:val="0"/>
                <w:color w:val="0070C0"/>
                <w:sz w:val="22"/>
                <w:lang w:val="en-US"/>
              </w:rPr>
            </w:pPr>
            <w:r w:rsidRPr="002303AB">
              <w:rPr>
                <w:rFonts w:ascii="Calibri" w:hAnsi="Calibri" w:cs="Calibri"/>
                <w:b w:val="0"/>
                <w:color w:val="0070C0"/>
                <w:sz w:val="22"/>
                <w:lang w:val="en-US"/>
              </w:rPr>
              <w:t>Biomass</w:t>
            </w:r>
          </w:p>
        </w:tc>
        <w:tc>
          <w:tcPr>
            <w:tcW w:w="1099" w:type="dxa"/>
            <w:tcBorders>
              <w:top w:val="single" w:sz="4" w:space="0" w:color="auto"/>
              <w:left w:val="nil"/>
              <w:bottom w:val="single" w:sz="4" w:space="0" w:color="auto"/>
              <w:right w:val="nil"/>
            </w:tcBorders>
            <w:vAlign w:val="center"/>
          </w:tcPr>
          <w:p w14:paraId="18E9F453" w14:textId="77777777" w:rsidR="002303AB" w:rsidRPr="002303AB" w:rsidRDefault="002303AB" w:rsidP="0013720C">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Cellulose</w:t>
            </w:r>
          </w:p>
        </w:tc>
        <w:tc>
          <w:tcPr>
            <w:tcW w:w="1542" w:type="dxa"/>
            <w:tcBorders>
              <w:top w:val="single" w:sz="4" w:space="0" w:color="auto"/>
              <w:left w:val="nil"/>
              <w:bottom w:val="single" w:sz="4" w:space="0" w:color="auto"/>
              <w:right w:val="nil"/>
            </w:tcBorders>
            <w:vAlign w:val="center"/>
          </w:tcPr>
          <w:p w14:paraId="624EC587" w14:textId="77777777" w:rsidR="002303AB" w:rsidRPr="002303AB" w:rsidRDefault="002303AB" w:rsidP="0013720C">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Hemicellulose</w:t>
            </w:r>
          </w:p>
        </w:tc>
        <w:tc>
          <w:tcPr>
            <w:tcW w:w="2540" w:type="dxa"/>
            <w:tcBorders>
              <w:top w:val="single" w:sz="4" w:space="0" w:color="auto"/>
              <w:left w:val="nil"/>
              <w:bottom w:val="single" w:sz="4" w:space="0" w:color="auto"/>
              <w:right w:val="nil"/>
            </w:tcBorders>
            <w:vAlign w:val="center"/>
          </w:tcPr>
          <w:p w14:paraId="02FCC0C9" w14:textId="77777777" w:rsidR="002303AB" w:rsidRPr="002303AB" w:rsidRDefault="002303AB" w:rsidP="0013720C">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Lignin</w:t>
            </w:r>
          </w:p>
        </w:tc>
        <w:tc>
          <w:tcPr>
            <w:tcW w:w="1786" w:type="dxa"/>
            <w:tcBorders>
              <w:top w:val="single" w:sz="4" w:space="0" w:color="auto"/>
              <w:left w:val="nil"/>
              <w:bottom w:val="single" w:sz="4" w:space="0" w:color="auto"/>
              <w:right w:val="nil"/>
            </w:tcBorders>
            <w:vAlign w:val="center"/>
          </w:tcPr>
          <w:p w14:paraId="357C9259" w14:textId="77777777" w:rsidR="002303AB" w:rsidRPr="002303AB" w:rsidRDefault="002303AB" w:rsidP="0013720C">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Ref.</w:t>
            </w:r>
          </w:p>
        </w:tc>
      </w:tr>
      <w:tr w:rsidR="002303AB" w:rsidRPr="002303AB" w14:paraId="01604542" w14:textId="77777777" w:rsidTr="00B66C69">
        <w:trPr>
          <w:trHeight w:val="419"/>
        </w:trPr>
        <w:tc>
          <w:tcPr>
            <w:tcW w:w="2347" w:type="dxa"/>
            <w:tcBorders>
              <w:top w:val="single" w:sz="4" w:space="0" w:color="auto"/>
              <w:left w:val="nil"/>
              <w:bottom w:val="nil"/>
              <w:right w:val="nil"/>
            </w:tcBorders>
            <w:vAlign w:val="center"/>
          </w:tcPr>
          <w:p w14:paraId="37FF98D0" w14:textId="77777777" w:rsidR="002303AB" w:rsidRPr="002303AB" w:rsidRDefault="002303AB" w:rsidP="00813414">
            <w:pPr>
              <w:pStyle w:val="RSCB06BHeadingSub-Section"/>
              <w:rPr>
                <w:rFonts w:ascii="Calibri" w:hAnsi="Calibri" w:cs="Calibri"/>
                <w:b w:val="0"/>
                <w:color w:val="0070C0"/>
                <w:sz w:val="22"/>
                <w:lang w:val="en-US"/>
              </w:rPr>
            </w:pPr>
            <w:r w:rsidRPr="002303AB">
              <w:rPr>
                <w:rFonts w:ascii="Calibri" w:hAnsi="Calibri" w:cs="Calibri"/>
                <w:b w:val="0"/>
                <w:color w:val="0070C0"/>
                <w:sz w:val="22"/>
                <w:lang w:val="en-US"/>
              </w:rPr>
              <w:t>Soybean hull</w:t>
            </w:r>
          </w:p>
        </w:tc>
        <w:tc>
          <w:tcPr>
            <w:tcW w:w="1099" w:type="dxa"/>
            <w:tcBorders>
              <w:top w:val="single" w:sz="4" w:space="0" w:color="auto"/>
              <w:left w:val="nil"/>
              <w:bottom w:val="nil"/>
              <w:right w:val="nil"/>
            </w:tcBorders>
            <w:vAlign w:val="center"/>
          </w:tcPr>
          <w:p w14:paraId="639627F8"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48.2</w:t>
            </w:r>
          </w:p>
        </w:tc>
        <w:tc>
          <w:tcPr>
            <w:tcW w:w="1542" w:type="dxa"/>
            <w:tcBorders>
              <w:top w:val="single" w:sz="4" w:space="0" w:color="auto"/>
              <w:left w:val="nil"/>
              <w:bottom w:val="nil"/>
              <w:right w:val="nil"/>
            </w:tcBorders>
            <w:vAlign w:val="center"/>
          </w:tcPr>
          <w:p w14:paraId="12884F15"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20.8</w:t>
            </w:r>
          </w:p>
        </w:tc>
        <w:tc>
          <w:tcPr>
            <w:tcW w:w="2540" w:type="dxa"/>
            <w:tcBorders>
              <w:top w:val="single" w:sz="4" w:space="0" w:color="auto"/>
              <w:left w:val="nil"/>
              <w:bottom w:val="nil"/>
              <w:right w:val="nil"/>
            </w:tcBorders>
            <w:vAlign w:val="center"/>
          </w:tcPr>
          <w:p w14:paraId="124E8105"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6.8</w:t>
            </w:r>
          </w:p>
        </w:tc>
        <w:tc>
          <w:tcPr>
            <w:tcW w:w="1786" w:type="dxa"/>
            <w:tcBorders>
              <w:top w:val="single" w:sz="4" w:space="0" w:color="auto"/>
              <w:left w:val="nil"/>
              <w:bottom w:val="nil"/>
              <w:right w:val="nil"/>
            </w:tcBorders>
            <w:vAlign w:val="center"/>
          </w:tcPr>
          <w:p w14:paraId="68B84C9E" w14:textId="77777777" w:rsidR="002303AB" w:rsidRPr="002303AB" w:rsidRDefault="002303AB" w:rsidP="00813414">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Current work</w:t>
            </w:r>
          </w:p>
        </w:tc>
      </w:tr>
      <w:tr w:rsidR="002303AB" w:rsidRPr="002303AB" w14:paraId="03382865" w14:textId="77777777" w:rsidTr="00B66C69">
        <w:trPr>
          <w:trHeight w:val="419"/>
        </w:trPr>
        <w:tc>
          <w:tcPr>
            <w:tcW w:w="2347" w:type="dxa"/>
            <w:tcBorders>
              <w:top w:val="nil"/>
              <w:left w:val="nil"/>
              <w:bottom w:val="nil"/>
              <w:right w:val="nil"/>
            </w:tcBorders>
            <w:vAlign w:val="center"/>
          </w:tcPr>
          <w:p w14:paraId="654DB21E" w14:textId="77777777" w:rsidR="002303AB" w:rsidRPr="002303AB" w:rsidRDefault="002303AB" w:rsidP="00813414">
            <w:pPr>
              <w:pStyle w:val="RSCB06BHeadingSub-Section"/>
              <w:rPr>
                <w:rFonts w:ascii="Calibri" w:hAnsi="Calibri" w:cs="Calibri"/>
                <w:b w:val="0"/>
                <w:color w:val="0070C0"/>
                <w:sz w:val="22"/>
                <w:lang w:val="en-US"/>
              </w:rPr>
            </w:pPr>
            <w:r w:rsidRPr="002303AB">
              <w:rPr>
                <w:rFonts w:ascii="Calibri" w:hAnsi="Calibri" w:cs="Calibri"/>
                <w:b w:val="0"/>
                <w:color w:val="0070C0"/>
                <w:sz w:val="22"/>
                <w:lang w:val="en-US"/>
              </w:rPr>
              <w:t>Soybean straw</w:t>
            </w:r>
          </w:p>
        </w:tc>
        <w:tc>
          <w:tcPr>
            <w:tcW w:w="1099" w:type="dxa"/>
            <w:tcBorders>
              <w:top w:val="nil"/>
              <w:left w:val="nil"/>
              <w:bottom w:val="nil"/>
              <w:right w:val="nil"/>
            </w:tcBorders>
            <w:vAlign w:val="center"/>
          </w:tcPr>
          <w:p w14:paraId="70B70B21"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27.2</w:t>
            </w:r>
          </w:p>
        </w:tc>
        <w:tc>
          <w:tcPr>
            <w:tcW w:w="1542" w:type="dxa"/>
            <w:tcBorders>
              <w:top w:val="nil"/>
              <w:left w:val="nil"/>
              <w:bottom w:val="nil"/>
              <w:right w:val="nil"/>
            </w:tcBorders>
            <w:vAlign w:val="center"/>
          </w:tcPr>
          <w:p w14:paraId="3932DB50"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13.0</w:t>
            </w:r>
          </w:p>
        </w:tc>
        <w:tc>
          <w:tcPr>
            <w:tcW w:w="2540" w:type="dxa"/>
            <w:tcBorders>
              <w:top w:val="nil"/>
              <w:left w:val="nil"/>
              <w:bottom w:val="nil"/>
              <w:right w:val="nil"/>
            </w:tcBorders>
            <w:vAlign w:val="center"/>
          </w:tcPr>
          <w:p w14:paraId="6F145C4F"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26.9</w:t>
            </w:r>
          </w:p>
        </w:tc>
        <w:tc>
          <w:tcPr>
            <w:tcW w:w="1786" w:type="dxa"/>
            <w:tcBorders>
              <w:top w:val="nil"/>
              <w:left w:val="nil"/>
              <w:bottom w:val="nil"/>
              <w:right w:val="nil"/>
            </w:tcBorders>
            <w:vAlign w:val="center"/>
          </w:tcPr>
          <w:p w14:paraId="7B263124" w14:textId="2B577664" w:rsidR="002303AB" w:rsidRPr="002303AB" w:rsidRDefault="002303AB" w:rsidP="00813414">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 xml:space="preserve">Kim et al., </w:t>
            </w:r>
            <w:r w:rsidRPr="002303AB">
              <w:rPr>
                <w:rFonts w:ascii="Calibri" w:hAnsi="Calibri" w:cs="Calibri"/>
                <w:b w:val="0"/>
                <w:color w:val="0070C0"/>
                <w:sz w:val="22"/>
                <w:lang w:val="en-US"/>
              </w:rPr>
              <w:t>2022</w:t>
            </w:r>
          </w:p>
        </w:tc>
      </w:tr>
      <w:tr w:rsidR="002303AB" w:rsidRPr="002303AB" w14:paraId="6AC9CE0B" w14:textId="77777777" w:rsidTr="00B66C69">
        <w:trPr>
          <w:trHeight w:val="419"/>
        </w:trPr>
        <w:tc>
          <w:tcPr>
            <w:tcW w:w="2347" w:type="dxa"/>
            <w:tcBorders>
              <w:top w:val="nil"/>
              <w:left w:val="nil"/>
              <w:bottom w:val="nil"/>
              <w:right w:val="nil"/>
            </w:tcBorders>
            <w:vAlign w:val="center"/>
          </w:tcPr>
          <w:p w14:paraId="1C7256FA" w14:textId="77777777" w:rsidR="002303AB" w:rsidRPr="002303AB" w:rsidRDefault="002303AB" w:rsidP="00813414">
            <w:pPr>
              <w:pStyle w:val="RSCB06BHeadingSub-Section"/>
              <w:rPr>
                <w:rFonts w:ascii="Calibri" w:hAnsi="Calibri" w:cs="Calibri"/>
                <w:b w:val="0"/>
                <w:color w:val="0070C0"/>
                <w:sz w:val="22"/>
                <w:lang w:val="en-US"/>
              </w:rPr>
            </w:pPr>
            <w:r w:rsidRPr="002303AB">
              <w:rPr>
                <w:rFonts w:ascii="Calibri" w:hAnsi="Calibri" w:cs="Calibri"/>
                <w:b w:val="0"/>
                <w:color w:val="0070C0"/>
                <w:sz w:val="22"/>
                <w:lang w:val="en-US"/>
              </w:rPr>
              <w:t>Hemp stem</w:t>
            </w:r>
          </w:p>
        </w:tc>
        <w:tc>
          <w:tcPr>
            <w:tcW w:w="1099" w:type="dxa"/>
            <w:tcBorders>
              <w:top w:val="nil"/>
              <w:left w:val="nil"/>
              <w:bottom w:val="nil"/>
              <w:right w:val="nil"/>
            </w:tcBorders>
            <w:vAlign w:val="center"/>
          </w:tcPr>
          <w:p w14:paraId="697F75B5"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39.6</w:t>
            </w:r>
          </w:p>
        </w:tc>
        <w:tc>
          <w:tcPr>
            <w:tcW w:w="1542" w:type="dxa"/>
            <w:tcBorders>
              <w:top w:val="nil"/>
              <w:left w:val="nil"/>
              <w:bottom w:val="nil"/>
              <w:right w:val="nil"/>
            </w:tcBorders>
            <w:vAlign w:val="center"/>
          </w:tcPr>
          <w:p w14:paraId="59D39D22"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22.3</w:t>
            </w:r>
          </w:p>
        </w:tc>
        <w:tc>
          <w:tcPr>
            <w:tcW w:w="2540" w:type="dxa"/>
            <w:tcBorders>
              <w:top w:val="nil"/>
              <w:left w:val="nil"/>
              <w:bottom w:val="nil"/>
              <w:right w:val="nil"/>
            </w:tcBorders>
            <w:vAlign w:val="center"/>
          </w:tcPr>
          <w:p w14:paraId="26400F46"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26.0</w:t>
            </w:r>
          </w:p>
        </w:tc>
        <w:tc>
          <w:tcPr>
            <w:tcW w:w="1786" w:type="dxa"/>
            <w:tcBorders>
              <w:top w:val="nil"/>
              <w:left w:val="nil"/>
              <w:bottom w:val="nil"/>
              <w:right w:val="nil"/>
            </w:tcBorders>
            <w:vAlign w:val="center"/>
          </w:tcPr>
          <w:p w14:paraId="0296B5D1" w14:textId="5BAB5FF0" w:rsidR="002303AB" w:rsidRPr="002303AB" w:rsidRDefault="002303AB" w:rsidP="00813414">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Kim et al.,</w:t>
            </w:r>
            <w:r w:rsidRPr="002303AB">
              <w:rPr>
                <w:rFonts w:ascii="Calibri" w:hAnsi="Calibri" w:cs="Calibri"/>
                <w:b w:val="0"/>
                <w:color w:val="0070C0"/>
                <w:sz w:val="22"/>
                <w:lang w:val="en-US"/>
              </w:rPr>
              <w:t xml:space="preserve"> </w:t>
            </w:r>
            <w:r w:rsidRPr="002303AB">
              <w:rPr>
                <w:rFonts w:ascii="Calibri" w:hAnsi="Calibri" w:cs="Calibri"/>
                <w:b w:val="0"/>
                <w:color w:val="0070C0"/>
                <w:sz w:val="22"/>
                <w:lang w:val="en-US"/>
              </w:rPr>
              <w:t>2021</w:t>
            </w:r>
          </w:p>
        </w:tc>
      </w:tr>
      <w:tr w:rsidR="002303AB" w:rsidRPr="002303AB" w14:paraId="3605C5B6" w14:textId="77777777" w:rsidTr="00B66C69">
        <w:trPr>
          <w:trHeight w:val="419"/>
        </w:trPr>
        <w:tc>
          <w:tcPr>
            <w:tcW w:w="2347" w:type="dxa"/>
            <w:tcBorders>
              <w:top w:val="nil"/>
              <w:left w:val="nil"/>
              <w:bottom w:val="nil"/>
              <w:right w:val="nil"/>
            </w:tcBorders>
            <w:vAlign w:val="center"/>
          </w:tcPr>
          <w:p w14:paraId="5AF261E6" w14:textId="77777777" w:rsidR="002303AB" w:rsidRPr="002303AB" w:rsidRDefault="002303AB" w:rsidP="00813414">
            <w:pPr>
              <w:pStyle w:val="RSCB06BHeadingSub-Section"/>
              <w:rPr>
                <w:rFonts w:ascii="Calibri" w:hAnsi="Calibri" w:cs="Calibri"/>
                <w:b w:val="0"/>
                <w:color w:val="0070C0"/>
                <w:sz w:val="22"/>
                <w:lang w:val="en-US"/>
              </w:rPr>
            </w:pPr>
            <w:r w:rsidRPr="002303AB">
              <w:rPr>
                <w:rFonts w:ascii="Calibri" w:hAnsi="Calibri" w:cs="Calibri"/>
                <w:b w:val="0"/>
                <w:color w:val="0070C0"/>
                <w:sz w:val="22"/>
                <w:lang w:val="en-US"/>
              </w:rPr>
              <w:t>Hemp Branch</w:t>
            </w:r>
          </w:p>
        </w:tc>
        <w:tc>
          <w:tcPr>
            <w:tcW w:w="1099" w:type="dxa"/>
            <w:tcBorders>
              <w:top w:val="nil"/>
              <w:left w:val="nil"/>
              <w:bottom w:val="nil"/>
              <w:right w:val="nil"/>
            </w:tcBorders>
            <w:vAlign w:val="center"/>
          </w:tcPr>
          <w:p w14:paraId="1FA2A6AC"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26.0</w:t>
            </w:r>
          </w:p>
        </w:tc>
        <w:tc>
          <w:tcPr>
            <w:tcW w:w="1542" w:type="dxa"/>
            <w:tcBorders>
              <w:top w:val="nil"/>
              <w:left w:val="nil"/>
              <w:bottom w:val="nil"/>
              <w:right w:val="nil"/>
            </w:tcBorders>
            <w:vAlign w:val="center"/>
          </w:tcPr>
          <w:p w14:paraId="3DE0E076"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12.0</w:t>
            </w:r>
          </w:p>
        </w:tc>
        <w:tc>
          <w:tcPr>
            <w:tcW w:w="2540" w:type="dxa"/>
            <w:tcBorders>
              <w:top w:val="nil"/>
              <w:left w:val="nil"/>
              <w:bottom w:val="nil"/>
              <w:right w:val="nil"/>
            </w:tcBorders>
            <w:vAlign w:val="center"/>
          </w:tcPr>
          <w:p w14:paraId="770FEFBF"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30.6</w:t>
            </w:r>
          </w:p>
        </w:tc>
        <w:tc>
          <w:tcPr>
            <w:tcW w:w="1786" w:type="dxa"/>
            <w:tcBorders>
              <w:top w:val="nil"/>
              <w:left w:val="nil"/>
              <w:bottom w:val="nil"/>
              <w:right w:val="nil"/>
            </w:tcBorders>
            <w:vAlign w:val="center"/>
          </w:tcPr>
          <w:p w14:paraId="396D6D45" w14:textId="1E8E1388" w:rsidR="002303AB" w:rsidRPr="002303AB" w:rsidRDefault="002303AB" w:rsidP="00813414">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Kim et al.,</w:t>
            </w:r>
            <w:r w:rsidRPr="002303AB">
              <w:rPr>
                <w:rFonts w:ascii="Calibri" w:hAnsi="Calibri" w:cs="Calibri"/>
                <w:b w:val="0"/>
                <w:color w:val="0070C0"/>
                <w:sz w:val="22"/>
                <w:lang w:val="en-US"/>
              </w:rPr>
              <w:t xml:space="preserve"> </w:t>
            </w:r>
            <w:r w:rsidRPr="002303AB">
              <w:rPr>
                <w:rFonts w:ascii="Calibri" w:hAnsi="Calibri" w:cs="Calibri"/>
                <w:b w:val="0"/>
                <w:color w:val="0070C0"/>
                <w:sz w:val="22"/>
                <w:lang w:val="en-US"/>
              </w:rPr>
              <w:t>2021</w:t>
            </w:r>
          </w:p>
        </w:tc>
      </w:tr>
      <w:tr w:rsidR="002303AB" w:rsidRPr="002303AB" w14:paraId="7F71171F" w14:textId="77777777" w:rsidTr="00B66C69">
        <w:trPr>
          <w:trHeight w:val="419"/>
        </w:trPr>
        <w:tc>
          <w:tcPr>
            <w:tcW w:w="2347" w:type="dxa"/>
            <w:tcBorders>
              <w:top w:val="nil"/>
              <w:left w:val="nil"/>
              <w:bottom w:val="nil"/>
              <w:right w:val="nil"/>
            </w:tcBorders>
            <w:vAlign w:val="center"/>
          </w:tcPr>
          <w:p w14:paraId="167EA233" w14:textId="77777777" w:rsidR="002303AB" w:rsidRPr="002303AB" w:rsidRDefault="002303AB" w:rsidP="00813414">
            <w:pPr>
              <w:pStyle w:val="RSCB06BHeadingSub-Section"/>
              <w:rPr>
                <w:rFonts w:ascii="Calibri" w:hAnsi="Calibri" w:cs="Calibri"/>
                <w:b w:val="0"/>
                <w:color w:val="0070C0"/>
                <w:sz w:val="22"/>
                <w:lang w:val="en-US"/>
              </w:rPr>
            </w:pPr>
            <w:r w:rsidRPr="002303AB">
              <w:rPr>
                <w:rFonts w:ascii="Calibri" w:hAnsi="Calibri" w:cs="Calibri"/>
                <w:b w:val="0"/>
                <w:color w:val="0070C0"/>
                <w:sz w:val="22"/>
                <w:lang w:val="en-US"/>
              </w:rPr>
              <w:t>Sugarcane bagasse</w:t>
            </w:r>
          </w:p>
        </w:tc>
        <w:tc>
          <w:tcPr>
            <w:tcW w:w="1099" w:type="dxa"/>
            <w:tcBorders>
              <w:top w:val="nil"/>
              <w:left w:val="nil"/>
              <w:bottom w:val="nil"/>
              <w:right w:val="nil"/>
            </w:tcBorders>
            <w:vAlign w:val="center"/>
          </w:tcPr>
          <w:p w14:paraId="13213228"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36.4-45.9</w:t>
            </w:r>
          </w:p>
        </w:tc>
        <w:tc>
          <w:tcPr>
            <w:tcW w:w="1542" w:type="dxa"/>
            <w:tcBorders>
              <w:top w:val="nil"/>
              <w:left w:val="nil"/>
              <w:bottom w:val="nil"/>
              <w:right w:val="nil"/>
            </w:tcBorders>
            <w:vAlign w:val="center"/>
          </w:tcPr>
          <w:p w14:paraId="7B8DE1C6"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17.9-20.2</w:t>
            </w:r>
          </w:p>
        </w:tc>
        <w:tc>
          <w:tcPr>
            <w:tcW w:w="2540" w:type="dxa"/>
            <w:tcBorders>
              <w:top w:val="nil"/>
              <w:left w:val="nil"/>
              <w:bottom w:val="nil"/>
              <w:right w:val="nil"/>
            </w:tcBorders>
            <w:vAlign w:val="center"/>
          </w:tcPr>
          <w:p w14:paraId="0D1B6072"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26.1-26.9</w:t>
            </w:r>
          </w:p>
        </w:tc>
        <w:tc>
          <w:tcPr>
            <w:tcW w:w="1786" w:type="dxa"/>
            <w:tcBorders>
              <w:top w:val="nil"/>
              <w:left w:val="nil"/>
              <w:bottom w:val="nil"/>
              <w:right w:val="nil"/>
            </w:tcBorders>
            <w:vAlign w:val="center"/>
          </w:tcPr>
          <w:p w14:paraId="6E4F9E19" w14:textId="3E356DF7" w:rsidR="002303AB" w:rsidRPr="002303AB" w:rsidRDefault="002303AB" w:rsidP="00813414">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Azar</w:t>
            </w:r>
            <w:r w:rsidRPr="002303AB">
              <w:rPr>
                <w:rFonts w:ascii="Calibri" w:hAnsi="Calibri" w:cs="Calibri"/>
                <w:b w:val="0"/>
                <w:color w:val="0070C0"/>
                <w:sz w:val="22"/>
                <w:lang w:val="en-US"/>
              </w:rPr>
              <w:t xml:space="preserve"> et al.,</w:t>
            </w:r>
            <w:r w:rsidRPr="002303AB">
              <w:rPr>
                <w:rFonts w:ascii="Calibri" w:hAnsi="Calibri" w:cs="Calibri"/>
                <w:b w:val="0"/>
                <w:color w:val="0070C0"/>
                <w:sz w:val="22"/>
                <w:lang w:val="en-US"/>
              </w:rPr>
              <w:t xml:space="preserve"> 2022 Bordignon</w:t>
            </w:r>
            <w:r w:rsidRPr="002303AB">
              <w:rPr>
                <w:rFonts w:ascii="Calibri" w:hAnsi="Calibri" w:cs="Calibri"/>
                <w:b w:val="0"/>
                <w:color w:val="0070C0"/>
                <w:sz w:val="22"/>
                <w:lang w:val="en-US"/>
              </w:rPr>
              <w:t xml:space="preserve"> et al., </w:t>
            </w:r>
            <w:r w:rsidRPr="002303AB">
              <w:rPr>
                <w:rFonts w:ascii="Calibri" w:hAnsi="Calibri" w:cs="Calibri"/>
                <w:b w:val="0"/>
                <w:color w:val="0070C0"/>
                <w:sz w:val="22"/>
                <w:lang w:val="en-US"/>
              </w:rPr>
              <w:t>2022</w:t>
            </w:r>
          </w:p>
        </w:tc>
      </w:tr>
      <w:tr w:rsidR="002303AB" w:rsidRPr="002303AB" w14:paraId="50337C5D" w14:textId="77777777" w:rsidTr="00B66C69">
        <w:trPr>
          <w:trHeight w:val="419"/>
        </w:trPr>
        <w:tc>
          <w:tcPr>
            <w:tcW w:w="2347" w:type="dxa"/>
            <w:tcBorders>
              <w:top w:val="nil"/>
              <w:left w:val="nil"/>
              <w:bottom w:val="nil"/>
              <w:right w:val="nil"/>
            </w:tcBorders>
            <w:vAlign w:val="center"/>
          </w:tcPr>
          <w:p w14:paraId="3090EBC9" w14:textId="77777777" w:rsidR="002303AB" w:rsidRPr="002303AB" w:rsidRDefault="002303AB" w:rsidP="00813414">
            <w:pPr>
              <w:pStyle w:val="RSCB06BHeadingSub-Section"/>
              <w:rPr>
                <w:rFonts w:ascii="Calibri" w:hAnsi="Calibri" w:cs="Calibri"/>
                <w:b w:val="0"/>
                <w:color w:val="0070C0"/>
                <w:sz w:val="22"/>
                <w:lang w:val="en-US"/>
              </w:rPr>
            </w:pPr>
            <w:r w:rsidRPr="002303AB">
              <w:rPr>
                <w:rFonts w:ascii="Calibri" w:hAnsi="Calibri" w:cs="Calibri"/>
                <w:b w:val="0"/>
                <w:color w:val="0070C0"/>
                <w:sz w:val="22"/>
                <w:lang w:val="en-US"/>
              </w:rPr>
              <w:t>Corn pericarp</w:t>
            </w:r>
          </w:p>
        </w:tc>
        <w:tc>
          <w:tcPr>
            <w:tcW w:w="1099" w:type="dxa"/>
            <w:tcBorders>
              <w:top w:val="nil"/>
              <w:left w:val="nil"/>
              <w:bottom w:val="nil"/>
              <w:right w:val="nil"/>
            </w:tcBorders>
            <w:vAlign w:val="center"/>
          </w:tcPr>
          <w:p w14:paraId="42B24AAC"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22.5</w:t>
            </w:r>
          </w:p>
        </w:tc>
        <w:tc>
          <w:tcPr>
            <w:tcW w:w="1542" w:type="dxa"/>
            <w:tcBorders>
              <w:top w:val="nil"/>
              <w:left w:val="nil"/>
              <w:bottom w:val="nil"/>
              <w:right w:val="nil"/>
            </w:tcBorders>
            <w:vAlign w:val="center"/>
          </w:tcPr>
          <w:p w14:paraId="4CE77B5B"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23.7</w:t>
            </w:r>
          </w:p>
        </w:tc>
        <w:tc>
          <w:tcPr>
            <w:tcW w:w="2540" w:type="dxa"/>
            <w:tcBorders>
              <w:top w:val="nil"/>
              <w:left w:val="nil"/>
              <w:bottom w:val="nil"/>
              <w:right w:val="nil"/>
            </w:tcBorders>
            <w:vAlign w:val="center"/>
          </w:tcPr>
          <w:p w14:paraId="677427D9"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4.7</w:t>
            </w:r>
          </w:p>
        </w:tc>
        <w:tc>
          <w:tcPr>
            <w:tcW w:w="1786" w:type="dxa"/>
            <w:tcBorders>
              <w:top w:val="nil"/>
              <w:left w:val="nil"/>
              <w:bottom w:val="nil"/>
              <w:right w:val="nil"/>
            </w:tcBorders>
            <w:vAlign w:val="center"/>
          </w:tcPr>
          <w:p w14:paraId="6E29AF35" w14:textId="7E07DBB7" w:rsidR="002303AB" w:rsidRPr="002303AB" w:rsidRDefault="002303AB" w:rsidP="00813414">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Kim</w:t>
            </w:r>
            <w:r w:rsidRPr="002303AB">
              <w:rPr>
                <w:rFonts w:ascii="Calibri" w:hAnsi="Calibri" w:cs="Calibri"/>
                <w:b w:val="0"/>
                <w:color w:val="0070C0"/>
                <w:sz w:val="22"/>
                <w:lang w:val="en-US"/>
              </w:rPr>
              <w:t xml:space="preserve"> et al.,</w:t>
            </w:r>
            <w:r w:rsidRPr="002303AB">
              <w:rPr>
                <w:rFonts w:ascii="Calibri" w:hAnsi="Calibri" w:cs="Calibri"/>
                <w:b w:val="0"/>
                <w:color w:val="0070C0"/>
                <w:sz w:val="22"/>
                <w:lang w:val="en-US"/>
              </w:rPr>
              <w:t xml:space="preserve"> 2017</w:t>
            </w:r>
          </w:p>
        </w:tc>
      </w:tr>
      <w:tr w:rsidR="002303AB" w:rsidRPr="002303AB" w14:paraId="332EA3CA" w14:textId="77777777" w:rsidTr="00B66C69">
        <w:trPr>
          <w:trHeight w:val="419"/>
        </w:trPr>
        <w:tc>
          <w:tcPr>
            <w:tcW w:w="2347" w:type="dxa"/>
            <w:tcBorders>
              <w:top w:val="nil"/>
              <w:left w:val="nil"/>
              <w:bottom w:val="single" w:sz="4" w:space="0" w:color="auto"/>
              <w:right w:val="nil"/>
            </w:tcBorders>
            <w:vAlign w:val="center"/>
          </w:tcPr>
          <w:p w14:paraId="6236DC37" w14:textId="77777777" w:rsidR="002303AB" w:rsidRPr="002303AB" w:rsidRDefault="002303AB" w:rsidP="00813414">
            <w:pPr>
              <w:pStyle w:val="RSCB06BHeadingSub-Section"/>
              <w:rPr>
                <w:rFonts w:ascii="Calibri" w:hAnsi="Calibri" w:cs="Calibri"/>
                <w:b w:val="0"/>
                <w:color w:val="0070C0"/>
                <w:sz w:val="22"/>
                <w:lang w:val="en-US"/>
              </w:rPr>
            </w:pPr>
            <w:r w:rsidRPr="002303AB">
              <w:rPr>
                <w:rFonts w:ascii="Calibri" w:hAnsi="Calibri" w:cs="Calibri"/>
                <w:b w:val="0"/>
                <w:color w:val="0070C0"/>
                <w:sz w:val="22"/>
                <w:lang w:val="en-US"/>
              </w:rPr>
              <w:t>Corn stover</w:t>
            </w:r>
          </w:p>
        </w:tc>
        <w:tc>
          <w:tcPr>
            <w:tcW w:w="1099" w:type="dxa"/>
            <w:tcBorders>
              <w:top w:val="nil"/>
              <w:left w:val="nil"/>
              <w:bottom w:val="single" w:sz="4" w:space="0" w:color="auto"/>
              <w:right w:val="nil"/>
            </w:tcBorders>
            <w:vAlign w:val="center"/>
          </w:tcPr>
          <w:p w14:paraId="6DAB216A"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37.0</w:t>
            </w:r>
          </w:p>
        </w:tc>
        <w:tc>
          <w:tcPr>
            <w:tcW w:w="1542" w:type="dxa"/>
            <w:tcBorders>
              <w:top w:val="nil"/>
              <w:left w:val="nil"/>
              <w:bottom w:val="single" w:sz="4" w:space="0" w:color="auto"/>
              <w:right w:val="nil"/>
            </w:tcBorders>
            <w:vAlign w:val="center"/>
          </w:tcPr>
          <w:p w14:paraId="592DCDE0"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22.7-29.0</w:t>
            </w:r>
          </w:p>
        </w:tc>
        <w:tc>
          <w:tcPr>
            <w:tcW w:w="2540" w:type="dxa"/>
            <w:tcBorders>
              <w:top w:val="nil"/>
              <w:left w:val="nil"/>
              <w:bottom w:val="single" w:sz="4" w:space="0" w:color="auto"/>
              <w:right w:val="nil"/>
            </w:tcBorders>
            <w:vAlign w:val="center"/>
          </w:tcPr>
          <w:p w14:paraId="4D3FF9A5" w14:textId="77777777" w:rsidR="002303AB" w:rsidRPr="002303AB" w:rsidRDefault="002303AB" w:rsidP="002303AB">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18.0-18.6</w:t>
            </w:r>
          </w:p>
        </w:tc>
        <w:tc>
          <w:tcPr>
            <w:tcW w:w="1786" w:type="dxa"/>
            <w:tcBorders>
              <w:top w:val="nil"/>
              <w:left w:val="nil"/>
              <w:bottom w:val="single" w:sz="4" w:space="0" w:color="auto"/>
              <w:right w:val="nil"/>
            </w:tcBorders>
            <w:vAlign w:val="center"/>
          </w:tcPr>
          <w:p w14:paraId="2A58FEAB" w14:textId="1C5DC3ED" w:rsidR="002303AB" w:rsidRPr="002303AB" w:rsidRDefault="002303AB" w:rsidP="00813414">
            <w:pPr>
              <w:pStyle w:val="RSCB06BHeadingSub-Section"/>
              <w:jc w:val="center"/>
              <w:rPr>
                <w:rFonts w:ascii="Calibri" w:hAnsi="Calibri" w:cs="Calibri"/>
                <w:b w:val="0"/>
                <w:color w:val="0070C0"/>
                <w:sz w:val="22"/>
                <w:lang w:val="en-US"/>
              </w:rPr>
            </w:pPr>
            <w:r w:rsidRPr="002303AB">
              <w:rPr>
                <w:rFonts w:ascii="Calibri" w:hAnsi="Calibri" w:cs="Calibri"/>
                <w:b w:val="0"/>
                <w:color w:val="0070C0"/>
                <w:sz w:val="22"/>
                <w:lang w:val="en-US"/>
              </w:rPr>
              <w:t>Cao</w:t>
            </w:r>
            <w:r w:rsidRPr="002303AB">
              <w:rPr>
                <w:rFonts w:ascii="Calibri" w:hAnsi="Calibri" w:cs="Calibri"/>
                <w:b w:val="0"/>
                <w:color w:val="0070C0"/>
                <w:sz w:val="22"/>
                <w:lang w:val="en-US"/>
              </w:rPr>
              <w:t xml:space="preserve"> et al., </w:t>
            </w:r>
            <w:r w:rsidRPr="002303AB">
              <w:rPr>
                <w:rFonts w:ascii="Calibri" w:hAnsi="Calibri" w:cs="Calibri"/>
                <w:b w:val="0"/>
                <w:color w:val="0070C0"/>
                <w:sz w:val="22"/>
                <w:lang w:val="en-US"/>
              </w:rPr>
              <w:t>2015, Kim</w:t>
            </w:r>
            <w:r w:rsidRPr="002303AB">
              <w:rPr>
                <w:rFonts w:ascii="Calibri" w:hAnsi="Calibri" w:cs="Calibri"/>
                <w:b w:val="0"/>
                <w:color w:val="0070C0"/>
                <w:sz w:val="22"/>
                <w:lang w:val="en-US"/>
              </w:rPr>
              <w:t xml:space="preserve"> et al.,</w:t>
            </w:r>
            <w:r w:rsidRPr="002303AB">
              <w:rPr>
                <w:rFonts w:ascii="Calibri" w:hAnsi="Calibri" w:cs="Calibri"/>
                <w:b w:val="0"/>
                <w:color w:val="0070C0"/>
                <w:sz w:val="22"/>
                <w:lang w:val="en-US"/>
              </w:rPr>
              <w:t xml:space="preserve"> 2016</w:t>
            </w:r>
          </w:p>
        </w:tc>
      </w:tr>
    </w:tbl>
    <w:p w14:paraId="3D7EE894" w14:textId="73FF2D44" w:rsidR="00FF3C0F" w:rsidRPr="0013720C" w:rsidRDefault="00FF3C0F" w:rsidP="00AB3A60">
      <w:pPr>
        <w:jc w:val="both"/>
        <w:rPr>
          <w:rFonts w:ascii="Calibri" w:hAnsi="Calibri" w:cs="Calibri"/>
          <w:color w:val="0070C0"/>
          <w:sz w:val="22"/>
          <w:szCs w:val="22"/>
        </w:rPr>
      </w:pPr>
    </w:p>
    <w:p w14:paraId="68D66BE5" w14:textId="64AF7DC9" w:rsidR="00B66C69" w:rsidRPr="0013720C" w:rsidRDefault="00B66C69" w:rsidP="0013720C">
      <w:pPr>
        <w:ind w:firstLine="720"/>
        <w:jc w:val="both"/>
        <w:rPr>
          <w:rFonts w:ascii="Calibri" w:hAnsi="Calibri" w:cs="Calibri"/>
          <w:color w:val="0070C0"/>
          <w:sz w:val="22"/>
          <w:szCs w:val="22"/>
        </w:rPr>
      </w:pPr>
      <w:r w:rsidRPr="0013720C">
        <w:rPr>
          <w:rFonts w:ascii="Calibri" w:hAnsi="Calibri" w:cs="Calibri"/>
          <w:color w:val="0070C0"/>
          <w:sz w:val="22"/>
          <w:szCs w:val="22"/>
        </w:rPr>
        <w:t xml:space="preserve">Soybean residues, such as hulls and </w:t>
      </w:r>
      <w:r w:rsidRPr="0013720C">
        <w:rPr>
          <w:rFonts w:ascii="Calibri" w:hAnsi="Calibri" w:cs="Calibri"/>
          <w:color w:val="0070C0"/>
          <w:sz w:val="22"/>
          <w:szCs w:val="22"/>
        </w:rPr>
        <w:t>straws</w:t>
      </w:r>
      <w:r w:rsidRPr="0013720C">
        <w:rPr>
          <w:rFonts w:ascii="Calibri" w:hAnsi="Calibri" w:cs="Calibri"/>
          <w:color w:val="0070C0"/>
          <w:sz w:val="22"/>
          <w:szCs w:val="22"/>
        </w:rPr>
        <w:t>, are key by-products typically generated during soybean harvesting and grain processing. Due to their high cellulose and hemicellulose content, they are considered promising resources for renewable energy and sugar platform industries. However, an effective pretreatment is needed to overcome the inherent recalcitrance of the biomass, which is caused by the intricate crystalline structure formed by cellulose, hemicellulose, and lignin in lignocellulosic materials. Pretreatment is known to improve biomass saccharification by breaking down hemicellulose and/or lignin, disrupting the cellulose's crystalline structure, and increasing enzyme accessibility to enhance conversion yields. Previous studies have demonstrated that various pretreatment methods, such as supercritical water, ball milling, alkaline, and acid treatments, can effectively break the crystalline structure of soybean residues and boost enzymatic hydrolysis.</w:t>
      </w:r>
    </w:p>
    <w:p w14:paraId="71540F5D" w14:textId="58D31988" w:rsidR="00B66C69" w:rsidRDefault="0013720C" w:rsidP="0013720C">
      <w:pPr>
        <w:ind w:firstLine="720"/>
        <w:jc w:val="both"/>
        <w:rPr>
          <w:rFonts w:ascii="Calibri" w:hAnsi="Calibri" w:cs="Calibri"/>
          <w:color w:val="0070C0"/>
          <w:sz w:val="22"/>
          <w:szCs w:val="22"/>
        </w:rPr>
      </w:pPr>
      <w:r w:rsidRPr="0013720C">
        <w:rPr>
          <w:rFonts w:ascii="Calibri" w:hAnsi="Calibri" w:cs="Calibri"/>
          <w:color w:val="0070C0"/>
          <w:sz w:val="22"/>
          <w:szCs w:val="22"/>
        </w:rPr>
        <w:lastRenderedPageBreak/>
        <w:t>The soybean hull, as analyzed using NREL methods, has a low lignin content (4.8%) and a high polysaccharide fraction (48.2% cellulose and 19.5% hemicellulose), along with other minor components such as 2.0% acetate, 0.9% ash, and 5.3% extractives</w:t>
      </w:r>
      <w:r w:rsidR="005B4091">
        <w:rPr>
          <w:rFonts w:ascii="Calibri" w:hAnsi="Calibri" w:cs="Calibri"/>
          <w:color w:val="0070C0"/>
          <w:sz w:val="22"/>
          <w:szCs w:val="22"/>
        </w:rPr>
        <w:t xml:space="preserve"> (Table 1)</w:t>
      </w:r>
      <w:r w:rsidRPr="0013720C">
        <w:rPr>
          <w:rFonts w:ascii="Calibri" w:hAnsi="Calibri" w:cs="Calibri"/>
          <w:color w:val="0070C0"/>
          <w:sz w:val="22"/>
          <w:szCs w:val="22"/>
        </w:rPr>
        <w:t xml:space="preserve">. This cellulose content is higher, and the hemicellulose content is similar, compared to previous studies. Typically, the chemical composition of soybean hulls ranges from 29-51% cellulose and 10-25% hemicellulose, though these values can vary depending on seed type, geographic region, cultivation conditions, and the dehulling or biorefinery processes used. The composition found in this study aligns with other non-edible agricultural wastes and woody plants like corn stover, sugarcane bagasse, hemp waste, corn pericarp, and hardwood. </w:t>
      </w:r>
      <w:r>
        <w:rPr>
          <w:rFonts w:ascii="Calibri" w:hAnsi="Calibri" w:cs="Calibri"/>
          <w:color w:val="0070C0"/>
          <w:sz w:val="22"/>
          <w:szCs w:val="22"/>
        </w:rPr>
        <w:t>Since there is less lignin content in the soybean hull, the current work will examine further valorization of carbohydrate content in soybean hull without pretreatment. Further enzymatic hydrolysis of soybean hull and its morphological changes before/after hydrolysis, cellulose conversion to fermentable sugars, and subsequent microbial fermentation of hydrolysates will be tested and analyzed.</w:t>
      </w:r>
    </w:p>
    <w:p w14:paraId="39A68B7C" w14:textId="77777777" w:rsidR="0013720C" w:rsidRPr="0013720C" w:rsidRDefault="0013720C" w:rsidP="0013720C">
      <w:pPr>
        <w:ind w:firstLine="720"/>
        <w:jc w:val="both"/>
        <w:rPr>
          <w:rFonts w:ascii="Calibri" w:hAnsi="Calibri" w:cs="Calibri"/>
          <w:color w:val="0070C0"/>
          <w:sz w:val="22"/>
          <w:szCs w:val="22"/>
        </w:rPr>
      </w:pPr>
    </w:p>
    <w:sectPr w:rsidR="0013720C" w:rsidRPr="001372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M0sTA3NzUzNLMwsTRR0lEKTi0uzszPAykwrAUAIHQOPywAAAA="/>
  </w:docVars>
  <w:rsids>
    <w:rsidRoot w:val="005065F6"/>
    <w:rsid w:val="0013720C"/>
    <w:rsid w:val="001F0851"/>
    <w:rsid w:val="002303AB"/>
    <w:rsid w:val="00395174"/>
    <w:rsid w:val="005065F6"/>
    <w:rsid w:val="005B4091"/>
    <w:rsid w:val="005F15E1"/>
    <w:rsid w:val="00641B2E"/>
    <w:rsid w:val="008D05B9"/>
    <w:rsid w:val="00914A2F"/>
    <w:rsid w:val="009D1F3F"/>
    <w:rsid w:val="00A91AED"/>
    <w:rsid w:val="00AB3A60"/>
    <w:rsid w:val="00B66C69"/>
    <w:rsid w:val="00D013A6"/>
    <w:rsid w:val="00ED624F"/>
    <w:rsid w:val="00F11565"/>
    <w:rsid w:val="00FF3C0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8F1B8F"/>
  <w15:chartTrackingRefBased/>
  <w15:docId w15:val="{8B4C2129-30B7-4FCD-B98A-0C4CF68C5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65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65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65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65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65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65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65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65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65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5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65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65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65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65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65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65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65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65F6"/>
    <w:rPr>
      <w:rFonts w:eastAsiaTheme="majorEastAsia" w:cstheme="majorBidi"/>
      <w:color w:val="272727" w:themeColor="text1" w:themeTint="D8"/>
    </w:rPr>
  </w:style>
  <w:style w:type="paragraph" w:styleId="Title">
    <w:name w:val="Title"/>
    <w:basedOn w:val="Normal"/>
    <w:next w:val="Normal"/>
    <w:link w:val="TitleChar"/>
    <w:uiPriority w:val="10"/>
    <w:qFormat/>
    <w:rsid w:val="005065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65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65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65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65F6"/>
    <w:pPr>
      <w:spacing w:before="160"/>
      <w:jc w:val="center"/>
    </w:pPr>
    <w:rPr>
      <w:i/>
      <w:iCs/>
      <w:color w:val="404040" w:themeColor="text1" w:themeTint="BF"/>
    </w:rPr>
  </w:style>
  <w:style w:type="character" w:customStyle="1" w:styleId="QuoteChar">
    <w:name w:val="Quote Char"/>
    <w:basedOn w:val="DefaultParagraphFont"/>
    <w:link w:val="Quote"/>
    <w:uiPriority w:val="29"/>
    <w:rsid w:val="005065F6"/>
    <w:rPr>
      <w:i/>
      <w:iCs/>
      <w:color w:val="404040" w:themeColor="text1" w:themeTint="BF"/>
    </w:rPr>
  </w:style>
  <w:style w:type="paragraph" w:styleId="ListParagraph">
    <w:name w:val="List Paragraph"/>
    <w:basedOn w:val="Normal"/>
    <w:uiPriority w:val="34"/>
    <w:qFormat/>
    <w:rsid w:val="005065F6"/>
    <w:pPr>
      <w:ind w:left="720"/>
      <w:contextualSpacing/>
    </w:pPr>
  </w:style>
  <w:style w:type="character" w:styleId="IntenseEmphasis">
    <w:name w:val="Intense Emphasis"/>
    <w:basedOn w:val="DefaultParagraphFont"/>
    <w:uiPriority w:val="21"/>
    <w:qFormat/>
    <w:rsid w:val="005065F6"/>
    <w:rPr>
      <w:i/>
      <w:iCs/>
      <w:color w:val="0F4761" w:themeColor="accent1" w:themeShade="BF"/>
    </w:rPr>
  </w:style>
  <w:style w:type="paragraph" w:styleId="IntenseQuote">
    <w:name w:val="Intense Quote"/>
    <w:basedOn w:val="Normal"/>
    <w:next w:val="Normal"/>
    <w:link w:val="IntenseQuoteChar"/>
    <w:uiPriority w:val="30"/>
    <w:qFormat/>
    <w:rsid w:val="005065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65F6"/>
    <w:rPr>
      <w:i/>
      <w:iCs/>
      <w:color w:val="0F4761" w:themeColor="accent1" w:themeShade="BF"/>
    </w:rPr>
  </w:style>
  <w:style w:type="character" w:styleId="IntenseReference">
    <w:name w:val="Intense Reference"/>
    <w:basedOn w:val="DefaultParagraphFont"/>
    <w:uiPriority w:val="32"/>
    <w:qFormat/>
    <w:rsid w:val="005065F6"/>
    <w:rPr>
      <w:b/>
      <w:bCs/>
      <w:smallCaps/>
      <w:color w:val="0F4761" w:themeColor="accent1" w:themeShade="BF"/>
      <w:spacing w:val="5"/>
    </w:rPr>
  </w:style>
  <w:style w:type="paragraph" w:customStyle="1" w:styleId="RSCB04AHeadingSection">
    <w:name w:val="RSC B04 A Heading (Section)"/>
    <w:basedOn w:val="Normal"/>
    <w:link w:val="RSCB04AHeadingSectionChar"/>
    <w:qFormat/>
    <w:rsid w:val="002303AB"/>
    <w:pPr>
      <w:spacing w:before="400" w:after="80" w:line="240" w:lineRule="auto"/>
    </w:pPr>
    <w:rPr>
      <w:rFonts w:eastAsiaTheme="minorHAnsi"/>
      <w:b/>
      <w:kern w:val="0"/>
      <w:szCs w:val="22"/>
      <w:lang w:eastAsia="en-US"/>
      <w14:ligatures w14:val="none"/>
    </w:rPr>
  </w:style>
  <w:style w:type="character" w:customStyle="1" w:styleId="RSCB04AHeadingSectionChar">
    <w:name w:val="RSC B04 A Heading (Section) Char"/>
    <w:basedOn w:val="DefaultParagraphFont"/>
    <w:link w:val="RSCB04AHeadingSection"/>
    <w:rsid w:val="002303AB"/>
    <w:rPr>
      <w:rFonts w:eastAsiaTheme="minorHAnsi"/>
      <w:b/>
      <w:kern w:val="0"/>
      <w:szCs w:val="22"/>
      <w:lang w:eastAsia="en-US"/>
      <w14:ligatures w14:val="none"/>
    </w:rPr>
  </w:style>
  <w:style w:type="table" w:styleId="TableGrid">
    <w:name w:val="Table Grid"/>
    <w:basedOn w:val="TableNormal"/>
    <w:uiPriority w:val="59"/>
    <w:rsid w:val="002303AB"/>
    <w:pPr>
      <w:spacing w:after="0" w:line="240" w:lineRule="auto"/>
    </w:pPr>
    <w:rPr>
      <w:rFonts w:eastAsiaTheme="minorHAnsi"/>
      <w:kern w:val="0"/>
      <w:sz w:val="22"/>
      <w:szCs w:val="22"/>
      <w:lang w:val="en-GB"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SCB06BHeadingSub-Section">
    <w:name w:val="RSC B06 B Heading (Sub-Section)"/>
    <w:link w:val="RSCB06BHeadingSub-SectionChar"/>
    <w:qFormat/>
    <w:rsid w:val="002303AB"/>
    <w:pPr>
      <w:spacing w:after="80" w:line="240" w:lineRule="exact"/>
    </w:pPr>
    <w:rPr>
      <w:rFonts w:eastAsiaTheme="minorHAnsi"/>
      <w:b/>
      <w:kern w:val="0"/>
      <w:sz w:val="18"/>
      <w:szCs w:val="22"/>
      <w:lang w:val="en-GB" w:eastAsia="en-US"/>
      <w14:ligatures w14:val="none"/>
    </w:rPr>
  </w:style>
  <w:style w:type="character" w:customStyle="1" w:styleId="RSCB06BHeadingSub-SectionChar">
    <w:name w:val="RSC B06 B Heading (Sub-Section) Char"/>
    <w:basedOn w:val="DefaultParagraphFont"/>
    <w:link w:val="RSCB06BHeadingSub-Section"/>
    <w:rsid w:val="002303AB"/>
    <w:rPr>
      <w:rFonts w:eastAsiaTheme="minorHAnsi"/>
      <w:b/>
      <w:kern w:val="0"/>
      <w:sz w:val="18"/>
      <w:szCs w:val="22"/>
      <w:lang w:val="en-GB"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1431</Words>
  <Characters>8507</Characters>
  <Application>Microsoft Office Word</Application>
  <DocSecurity>0</DocSecurity>
  <Lines>157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Daehwan</dc:creator>
  <cp:keywords/>
  <dc:description/>
  <cp:lastModifiedBy>Kim, Daehwan</cp:lastModifiedBy>
  <cp:revision>3</cp:revision>
  <dcterms:created xsi:type="dcterms:W3CDTF">2024-09-17T03:57:00Z</dcterms:created>
  <dcterms:modified xsi:type="dcterms:W3CDTF">2024-09-17T04:06:00Z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3ec2caed23d02d1146e6bf3e2b4b89d849117b508a310feae65c243d7a0e09ee</vt:lpwstr>
  </property>
</Properties>
</file>