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A0361" w14:textId="51DC6F47" w:rsidR="00A02DEF" w:rsidRDefault="002B53F1" w:rsidP="00A02DEF">
      <w:pPr>
        <w:spacing w:after="0"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Progress Report</w:t>
      </w:r>
    </w:p>
    <w:p w14:paraId="746195F2" w14:textId="77777777" w:rsidR="00A02DEF" w:rsidRDefault="00A02DEF" w:rsidP="00A02DEF">
      <w:pPr>
        <w:spacing w:after="0" w:line="240" w:lineRule="auto"/>
        <w:jc w:val="center"/>
        <w:rPr>
          <w:rFonts w:ascii="Times New Roman" w:hAnsi="Times New Roman" w:cs="Times New Roman"/>
          <w:b/>
          <w:bCs/>
          <w:sz w:val="32"/>
          <w:szCs w:val="32"/>
          <w:u w:val="single"/>
        </w:rPr>
      </w:pPr>
    </w:p>
    <w:p w14:paraId="07547AAF" w14:textId="312FBF51" w:rsidR="00A02DEF" w:rsidRPr="002B53F1" w:rsidRDefault="00A02DEF" w:rsidP="00A02DEF">
      <w:pPr>
        <w:spacing w:after="0" w:line="240" w:lineRule="auto"/>
        <w:rPr>
          <w:rFonts w:ascii="Times New Roman" w:hAnsi="Times New Roman" w:cs="Times New Roman"/>
          <w:sz w:val="32"/>
          <w:szCs w:val="32"/>
          <w:u w:val="single"/>
        </w:rPr>
      </w:pPr>
      <w:r w:rsidRPr="00A02DEF">
        <w:rPr>
          <w:rFonts w:ascii="Times New Roman" w:hAnsi="Times New Roman" w:cs="Times New Roman"/>
          <w:b/>
          <w:bCs/>
          <w:sz w:val="32"/>
          <w:szCs w:val="32"/>
          <w:u w:val="single"/>
        </w:rPr>
        <w:t>Project Proposal</w:t>
      </w:r>
      <w:r w:rsidRPr="00A02DEF">
        <w:rPr>
          <w:rFonts w:ascii="Times New Roman" w:hAnsi="Times New Roman" w:cs="Times New Roman"/>
          <w:sz w:val="32"/>
          <w:szCs w:val="32"/>
          <w:u w:val="single"/>
        </w:rPr>
        <w:t xml:space="preserve"> – How are methionine absorption and gut barrier function affected by soybean meal-induced enteritis in salmonids, and what are the roles of specific anti-nutritional factors?</w:t>
      </w:r>
    </w:p>
    <w:p w14:paraId="494FE254" w14:textId="77777777" w:rsidR="00A02DEF" w:rsidRDefault="00A02DEF" w:rsidP="00A02DEF">
      <w:pPr>
        <w:spacing w:after="0" w:line="240" w:lineRule="auto"/>
        <w:rPr>
          <w:rFonts w:ascii="Times New Roman" w:hAnsi="Times New Roman" w:cs="Times New Roman"/>
          <w:sz w:val="24"/>
          <w:szCs w:val="24"/>
        </w:rPr>
      </w:pPr>
    </w:p>
    <w:p w14:paraId="471CCA33" w14:textId="0B0BAACC" w:rsidR="00A02DEF" w:rsidRPr="00D008D4" w:rsidRDefault="00D008D4" w:rsidP="00A02DEF">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Proposal Information</w:t>
      </w:r>
    </w:p>
    <w:p w14:paraId="63FA5AAA" w14:textId="30E47301"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Principal Investigator name: Dr. Brian C. Small</w:t>
      </w:r>
    </w:p>
    <w:p w14:paraId="1D69BE9B" w14:textId="668A0850"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Co-principal Investigator name: Dr. Madison S. Powell</w:t>
      </w:r>
    </w:p>
    <w:p w14:paraId="089FCECC" w14:textId="03E1E7AD"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Post-Doctoral Fellow name: Dr. Marina Subramaniam</w:t>
      </w:r>
    </w:p>
    <w:p w14:paraId="5FD38BF2" w14:textId="0D26799C"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Organization: University of Idaho – Hagerman Fish Culture Experiment Station</w:t>
      </w:r>
    </w:p>
    <w:p w14:paraId="02A1DDA1" w14:textId="62F45CF8"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Start Date: May 1, 2024</w:t>
      </w:r>
    </w:p>
    <w:p w14:paraId="2ACEC4DF" w14:textId="0594C6CB"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Completion Date: April 30, 2026</w:t>
      </w:r>
    </w:p>
    <w:p w14:paraId="5942E59B" w14:textId="53ADB07A" w:rsidR="00A02DEF" w:rsidRPr="00D008D4" w:rsidRDefault="00A02DEF" w:rsidP="00A02DEF">
      <w:pPr>
        <w:spacing w:after="0" w:line="240" w:lineRule="auto"/>
        <w:rPr>
          <w:rFonts w:ascii="Times New Roman" w:hAnsi="Times New Roman" w:cs="Times New Roman"/>
          <w:sz w:val="28"/>
          <w:szCs w:val="28"/>
        </w:rPr>
      </w:pPr>
      <w:r w:rsidRPr="00D008D4">
        <w:rPr>
          <w:rFonts w:ascii="Times New Roman" w:hAnsi="Times New Roman" w:cs="Times New Roman"/>
          <w:sz w:val="28"/>
          <w:szCs w:val="28"/>
        </w:rPr>
        <w:t>Species: Atlantic Salmon (</w:t>
      </w:r>
      <w:r w:rsidRPr="00D008D4">
        <w:rPr>
          <w:rFonts w:ascii="Times New Roman" w:hAnsi="Times New Roman" w:cs="Times New Roman"/>
          <w:i/>
          <w:iCs/>
          <w:sz w:val="28"/>
          <w:szCs w:val="28"/>
        </w:rPr>
        <w:t>Salmo salar</w:t>
      </w:r>
      <w:r w:rsidRPr="00D008D4">
        <w:rPr>
          <w:rFonts w:ascii="Times New Roman" w:hAnsi="Times New Roman" w:cs="Times New Roman"/>
          <w:sz w:val="28"/>
          <w:szCs w:val="28"/>
        </w:rPr>
        <w:t>) and Rainbow Trout (</w:t>
      </w:r>
      <w:r w:rsidRPr="00D008D4">
        <w:rPr>
          <w:rFonts w:ascii="Times New Roman" w:hAnsi="Times New Roman" w:cs="Times New Roman"/>
          <w:i/>
          <w:iCs/>
          <w:sz w:val="28"/>
          <w:szCs w:val="28"/>
        </w:rPr>
        <w:t>Oncorhynchus mykiss</w:t>
      </w:r>
      <w:r w:rsidRPr="00D008D4">
        <w:rPr>
          <w:rFonts w:ascii="Times New Roman" w:hAnsi="Times New Roman" w:cs="Times New Roman"/>
          <w:sz w:val="28"/>
          <w:szCs w:val="28"/>
        </w:rPr>
        <w:t>)</w:t>
      </w:r>
    </w:p>
    <w:p w14:paraId="738E306B" w14:textId="77777777" w:rsidR="00A02DEF" w:rsidRPr="00D008D4" w:rsidRDefault="00A02DEF" w:rsidP="00A02DEF">
      <w:pPr>
        <w:spacing w:after="0" w:line="240" w:lineRule="auto"/>
        <w:rPr>
          <w:rFonts w:ascii="Times New Roman" w:hAnsi="Times New Roman" w:cs="Times New Roman"/>
          <w:sz w:val="26"/>
          <w:szCs w:val="26"/>
        </w:rPr>
      </w:pPr>
    </w:p>
    <w:p w14:paraId="27F71ADF" w14:textId="36CF5268" w:rsidR="002B53F1" w:rsidRDefault="002B53F1" w:rsidP="00A02DEF">
      <w:pPr>
        <w:spacing w:after="0" w:line="240" w:lineRule="auto"/>
        <w:rPr>
          <w:rFonts w:ascii="Times New Roman" w:hAnsi="Times New Roman" w:cs="Times New Roman"/>
          <w:b/>
          <w:bCs/>
          <w:sz w:val="28"/>
          <w:szCs w:val="28"/>
          <w:u w:val="single"/>
        </w:rPr>
      </w:pPr>
      <w:r w:rsidRPr="002B53F1">
        <w:rPr>
          <w:rFonts w:ascii="Times New Roman" w:hAnsi="Times New Roman" w:cs="Times New Roman"/>
          <w:b/>
          <w:bCs/>
          <w:sz w:val="28"/>
          <w:szCs w:val="28"/>
          <w:u w:val="single"/>
        </w:rPr>
        <w:t>Pro</w:t>
      </w:r>
      <w:r w:rsidR="0014278A">
        <w:rPr>
          <w:rFonts w:ascii="Times New Roman" w:hAnsi="Times New Roman" w:cs="Times New Roman"/>
          <w:b/>
          <w:bCs/>
          <w:sz w:val="28"/>
          <w:szCs w:val="28"/>
          <w:u w:val="single"/>
        </w:rPr>
        <w:t>ject Goal</w:t>
      </w:r>
    </w:p>
    <w:p w14:paraId="794537BD" w14:textId="77777777" w:rsidR="002B53F1" w:rsidRDefault="002B53F1" w:rsidP="00A02DEF">
      <w:pPr>
        <w:spacing w:after="0" w:line="240" w:lineRule="auto"/>
        <w:rPr>
          <w:rFonts w:ascii="Times New Roman" w:hAnsi="Times New Roman" w:cs="Times New Roman"/>
          <w:b/>
          <w:bCs/>
          <w:sz w:val="28"/>
          <w:szCs w:val="28"/>
          <w:u w:val="single"/>
        </w:rPr>
      </w:pPr>
    </w:p>
    <w:p w14:paraId="46DD2308" w14:textId="239BFDCF" w:rsidR="0014278A" w:rsidRDefault="002B53F1" w:rsidP="00A02DEF">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2B53F1">
        <w:rPr>
          <w:rFonts w:ascii="Times New Roman" w:hAnsi="Times New Roman" w:cs="Times New Roman"/>
          <w:b/>
          <w:bCs/>
          <w:sz w:val="28"/>
          <w:szCs w:val="28"/>
        </w:rPr>
        <w:t>This proposal will focus on project priority number II: understand and reduce anti-nutritional factors of soy in aquaculture.</w:t>
      </w:r>
      <w:r>
        <w:rPr>
          <w:rFonts w:ascii="Times New Roman" w:hAnsi="Times New Roman" w:cs="Times New Roman"/>
          <w:sz w:val="28"/>
          <w:szCs w:val="28"/>
        </w:rPr>
        <w:t xml:space="preserve"> Specifically, we will be </w:t>
      </w:r>
      <w:r w:rsidR="00F9177A">
        <w:rPr>
          <w:rFonts w:ascii="Times New Roman" w:hAnsi="Times New Roman" w:cs="Times New Roman"/>
          <w:sz w:val="28"/>
          <w:szCs w:val="28"/>
        </w:rPr>
        <w:t>investigating the intestinal absorption of methionine and gut barrier function</w:t>
      </w:r>
      <w:r>
        <w:rPr>
          <w:rFonts w:ascii="Times New Roman" w:hAnsi="Times New Roman" w:cs="Times New Roman"/>
          <w:sz w:val="28"/>
          <w:szCs w:val="28"/>
        </w:rPr>
        <w:t xml:space="preserve"> in response to soybean meal-induced enteritis (SBMIE) from soybean meal-based (SBM) diets</w:t>
      </w:r>
      <w:r w:rsidR="00F9177A">
        <w:rPr>
          <w:rFonts w:ascii="Times New Roman" w:hAnsi="Times New Roman" w:cs="Times New Roman"/>
          <w:sz w:val="28"/>
          <w:szCs w:val="28"/>
        </w:rPr>
        <w:t xml:space="preserve"> compared with fishmeal-based </w:t>
      </w:r>
      <w:r w:rsidR="0032304F">
        <w:rPr>
          <w:rFonts w:ascii="Times New Roman" w:hAnsi="Times New Roman" w:cs="Times New Roman"/>
          <w:sz w:val="28"/>
          <w:szCs w:val="28"/>
        </w:rPr>
        <w:t>diets and</w:t>
      </w:r>
      <w:r w:rsidR="00446D4C">
        <w:rPr>
          <w:rFonts w:ascii="Times New Roman" w:hAnsi="Times New Roman" w:cs="Times New Roman"/>
          <w:sz w:val="28"/>
          <w:szCs w:val="28"/>
        </w:rPr>
        <w:t xml:space="preserve"> </w:t>
      </w:r>
      <w:r w:rsidR="00F9177A">
        <w:rPr>
          <w:rFonts w:ascii="Times New Roman" w:hAnsi="Times New Roman" w:cs="Times New Roman"/>
          <w:sz w:val="28"/>
          <w:szCs w:val="28"/>
        </w:rPr>
        <w:t>assess the effects of specific anti-nutritional factors</w:t>
      </w:r>
      <w:r w:rsidR="00446D4C">
        <w:rPr>
          <w:rFonts w:ascii="Times New Roman" w:hAnsi="Times New Roman" w:cs="Times New Roman"/>
          <w:sz w:val="28"/>
          <w:szCs w:val="28"/>
        </w:rPr>
        <w:t xml:space="preserve"> in Atlantic salmon and rainbow trout</w:t>
      </w:r>
      <w:r w:rsidR="00F9177A">
        <w:rPr>
          <w:rFonts w:ascii="Times New Roman" w:hAnsi="Times New Roman" w:cs="Times New Roman"/>
          <w:sz w:val="28"/>
          <w:szCs w:val="28"/>
        </w:rPr>
        <w:t>.</w:t>
      </w:r>
    </w:p>
    <w:p w14:paraId="3F8FC793" w14:textId="1A7E25CE" w:rsidR="00D008D4" w:rsidRDefault="00D008D4" w:rsidP="0014278A">
      <w:pPr>
        <w:spacing w:after="0" w:line="240" w:lineRule="auto"/>
        <w:rPr>
          <w:rFonts w:ascii="Times New Roman" w:hAnsi="Times New Roman" w:cs="Times New Roman"/>
          <w:sz w:val="28"/>
          <w:szCs w:val="28"/>
        </w:rPr>
      </w:pPr>
    </w:p>
    <w:p w14:paraId="01544CD4" w14:textId="26A26880" w:rsidR="0014278A" w:rsidRDefault="0014278A" w:rsidP="0014278A">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Progress Summary</w:t>
      </w:r>
    </w:p>
    <w:p w14:paraId="1A1418EA" w14:textId="77777777" w:rsidR="0014278A" w:rsidRDefault="0014278A" w:rsidP="0014278A">
      <w:pPr>
        <w:spacing w:after="0" w:line="240" w:lineRule="auto"/>
        <w:rPr>
          <w:rFonts w:ascii="Times New Roman" w:hAnsi="Times New Roman" w:cs="Times New Roman"/>
          <w:b/>
          <w:bCs/>
          <w:sz w:val="28"/>
          <w:szCs w:val="28"/>
          <w:u w:val="single"/>
        </w:rPr>
      </w:pPr>
    </w:p>
    <w:tbl>
      <w:tblPr>
        <w:tblStyle w:val="TableGrid"/>
        <w:tblW w:w="0" w:type="auto"/>
        <w:tblLayout w:type="fixed"/>
        <w:tblLook w:val="04A0" w:firstRow="1" w:lastRow="0" w:firstColumn="1" w:lastColumn="0" w:noHBand="0" w:noVBand="1"/>
      </w:tblPr>
      <w:tblGrid>
        <w:gridCol w:w="1922"/>
        <w:gridCol w:w="554"/>
        <w:gridCol w:w="554"/>
        <w:gridCol w:w="554"/>
        <w:gridCol w:w="1305"/>
        <w:gridCol w:w="1305"/>
        <w:gridCol w:w="1305"/>
        <w:gridCol w:w="1851"/>
      </w:tblGrid>
      <w:tr w:rsidR="00D008D4" w14:paraId="1E8918B7" w14:textId="77777777" w:rsidTr="00F9177A">
        <w:tc>
          <w:tcPr>
            <w:tcW w:w="3584" w:type="dxa"/>
            <w:gridSpan w:val="4"/>
            <w:shd w:val="clear" w:color="auto" w:fill="FFFF00"/>
            <w:vAlign w:val="center"/>
          </w:tcPr>
          <w:p w14:paraId="0E41EB5E"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Year 1</w:t>
            </w:r>
            <w:r>
              <w:rPr>
                <w:rFonts w:ascii="Times New Roman" w:hAnsi="Times New Roman" w:cs="Times New Roman"/>
                <w:b/>
                <w:bCs/>
                <w:sz w:val="24"/>
                <w:szCs w:val="24"/>
                <w:lang w:val="en-US"/>
              </w:rPr>
              <w:t xml:space="preserve"> – Objective 1</w:t>
            </w:r>
          </w:p>
        </w:tc>
        <w:tc>
          <w:tcPr>
            <w:tcW w:w="5766" w:type="dxa"/>
            <w:gridSpan w:val="4"/>
            <w:vAlign w:val="center"/>
          </w:tcPr>
          <w:p w14:paraId="11EF25C8"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Year 2</w:t>
            </w:r>
            <w:r>
              <w:rPr>
                <w:rFonts w:ascii="Times New Roman" w:hAnsi="Times New Roman" w:cs="Times New Roman"/>
                <w:b/>
                <w:bCs/>
                <w:sz w:val="24"/>
                <w:szCs w:val="24"/>
                <w:lang w:val="en-US"/>
              </w:rPr>
              <w:t xml:space="preserve"> – Objectives 2 and 3</w:t>
            </w:r>
          </w:p>
        </w:tc>
      </w:tr>
      <w:tr w:rsidR="00D008D4" w14:paraId="68AE7E19" w14:textId="77777777" w:rsidTr="00F9177A">
        <w:tc>
          <w:tcPr>
            <w:tcW w:w="1922" w:type="dxa"/>
            <w:shd w:val="clear" w:color="auto" w:fill="FFFF00"/>
          </w:tcPr>
          <w:p w14:paraId="0C85DAA8"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Q1</w:t>
            </w:r>
          </w:p>
        </w:tc>
        <w:tc>
          <w:tcPr>
            <w:tcW w:w="554" w:type="dxa"/>
          </w:tcPr>
          <w:p w14:paraId="06221F06" w14:textId="77777777" w:rsidR="00D008D4" w:rsidRPr="00FF3EDB" w:rsidRDefault="00D008D4" w:rsidP="00987218">
            <w:pP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 xml:space="preserve">Q2 </w:t>
            </w:r>
          </w:p>
        </w:tc>
        <w:tc>
          <w:tcPr>
            <w:tcW w:w="554" w:type="dxa"/>
            <w:vAlign w:val="center"/>
          </w:tcPr>
          <w:p w14:paraId="660CE14D"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Q3</w:t>
            </w:r>
          </w:p>
        </w:tc>
        <w:tc>
          <w:tcPr>
            <w:tcW w:w="554" w:type="dxa"/>
            <w:vAlign w:val="center"/>
          </w:tcPr>
          <w:p w14:paraId="172C22B0"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Q4</w:t>
            </w:r>
          </w:p>
        </w:tc>
        <w:tc>
          <w:tcPr>
            <w:tcW w:w="1305" w:type="dxa"/>
            <w:vAlign w:val="center"/>
          </w:tcPr>
          <w:p w14:paraId="133B7A01"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Q1</w:t>
            </w:r>
          </w:p>
        </w:tc>
        <w:tc>
          <w:tcPr>
            <w:tcW w:w="1305" w:type="dxa"/>
            <w:vAlign w:val="center"/>
          </w:tcPr>
          <w:p w14:paraId="6BC43773"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Q2</w:t>
            </w:r>
          </w:p>
        </w:tc>
        <w:tc>
          <w:tcPr>
            <w:tcW w:w="1305" w:type="dxa"/>
            <w:vAlign w:val="center"/>
          </w:tcPr>
          <w:p w14:paraId="619034BB"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Q3</w:t>
            </w:r>
          </w:p>
        </w:tc>
        <w:tc>
          <w:tcPr>
            <w:tcW w:w="1851" w:type="dxa"/>
            <w:vAlign w:val="center"/>
          </w:tcPr>
          <w:p w14:paraId="7443D0CF" w14:textId="77777777" w:rsidR="00D008D4" w:rsidRPr="00FF3EDB" w:rsidRDefault="00D008D4" w:rsidP="00987218">
            <w:pPr>
              <w:jc w:val="center"/>
              <w:rPr>
                <w:rFonts w:ascii="Times New Roman" w:hAnsi="Times New Roman" w:cs="Times New Roman"/>
                <w:b/>
                <w:bCs/>
                <w:sz w:val="24"/>
                <w:szCs w:val="24"/>
                <w:lang w:val="en-US"/>
              </w:rPr>
            </w:pPr>
            <w:r w:rsidRPr="00FF3EDB">
              <w:rPr>
                <w:rFonts w:ascii="Times New Roman" w:hAnsi="Times New Roman" w:cs="Times New Roman"/>
                <w:b/>
                <w:bCs/>
                <w:sz w:val="24"/>
                <w:szCs w:val="24"/>
                <w:lang w:val="en-US"/>
              </w:rPr>
              <w:t>Q4</w:t>
            </w:r>
          </w:p>
        </w:tc>
      </w:tr>
      <w:tr w:rsidR="00D008D4" w14:paraId="3B7D8154" w14:textId="77777777" w:rsidTr="00F9177A">
        <w:tc>
          <w:tcPr>
            <w:tcW w:w="1922" w:type="dxa"/>
            <w:shd w:val="clear" w:color="auto" w:fill="FFFF00"/>
          </w:tcPr>
          <w:p w14:paraId="09286A50" w14:textId="77777777" w:rsidR="00D008D4" w:rsidRPr="002368CF" w:rsidRDefault="00D008D4" w:rsidP="00987218">
            <w:pPr>
              <w:rPr>
                <w:rFonts w:ascii="Times New Roman" w:hAnsi="Times New Roman" w:cs="Times New Roman"/>
                <w:sz w:val="24"/>
                <w:szCs w:val="24"/>
                <w:lang w:val="en-US"/>
              </w:rPr>
            </w:pPr>
            <w:r w:rsidRPr="002368CF">
              <w:rPr>
                <w:rFonts w:ascii="Times New Roman" w:hAnsi="Times New Roman" w:cs="Times New Roman"/>
                <w:sz w:val="24"/>
                <w:szCs w:val="24"/>
                <w:lang w:val="en-US"/>
              </w:rPr>
              <w:t xml:space="preserve">Baseline characterization </w:t>
            </w:r>
          </w:p>
        </w:tc>
        <w:tc>
          <w:tcPr>
            <w:tcW w:w="1662" w:type="dxa"/>
            <w:gridSpan w:val="3"/>
          </w:tcPr>
          <w:p w14:paraId="6E8341BF" w14:textId="77777777" w:rsidR="00D008D4" w:rsidRPr="002368CF" w:rsidRDefault="00D008D4" w:rsidP="00987218">
            <w:pPr>
              <w:rPr>
                <w:rFonts w:ascii="Times New Roman" w:hAnsi="Times New Roman" w:cs="Times New Roman"/>
                <w:sz w:val="24"/>
                <w:szCs w:val="24"/>
                <w:lang w:val="en-US"/>
              </w:rPr>
            </w:pPr>
            <w:r w:rsidRPr="002368CF">
              <w:rPr>
                <w:rFonts w:ascii="Times New Roman" w:hAnsi="Times New Roman" w:cs="Times New Roman"/>
                <w:sz w:val="24"/>
                <w:szCs w:val="24"/>
                <w:lang w:val="en-US"/>
              </w:rPr>
              <w:t xml:space="preserve">12-week feeding trial </w:t>
            </w:r>
          </w:p>
        </w:tc>
        <w:tc>
          <w:tcPr>
            <w:tcW w:w="3915" w:type="dxa"/>
            <w:gridSpan w:val="3"/>
          </w:tcPr>
          <w:p w14:paraId="3C7E2F8D" w14:textId="77777777" w:rsidR="00D008D4" w:rsidRPr="002368CF" w:rsidRDefault="00D008D4" w:rsidP="00987218">
            <w:pPr>
              <w:ind w:left="360"/>
              <w:rPr>
                <w:rFonts w:ascii="Times New Roman" w:hAnsi="Times New Roman" w:cs="Times New Roman"/>
                <w:sz w:val="24"/>
                <w:szCs w:val="24"/>
                <w:lang w:val="en-US"/>
              </w:rPr>
            </w:pPr>
            <w:r w:rsidRPr="002368CF">
              <w:rPr>
                <w:rFonts w:ascii="Times New Roman" w:hAnsi="Times New Roman" w:cs="Times New Roman"/>
                <w:sz w:val="24"/>
                <w:szCs w:val="24"/>
                <w:lang w:val="en-US"/>
              </w:rPr>
              <w:t xml:space="preserve">Ussing chamber characterization of methionine transport and gut barrier function with diets and ANFs </w:t>
            </w:r>
          </w:p>
        </w:tc>
        <w:tc>
          <w:tcPr>
            <w:tcW w:w="1851" w:type="dxa"/>
          </w:tcPr>
          <w:p w14:paraId="4FF3151B" w14:textId="77777777" w:rsidR="00D008D4" w:rsidRPr="002368CF" w:rsidRDefault="00D008D4" w:rsidP="00987218">
            <w:pPr>
              <w:ind w:left="360"/>
              <w:rPr>
                <w:rFonts w:ascii="Times New Roman" w:hAnsi="Times New Roman" w:cs="Times New Roman"/>
                <w:sz w:val="24"/>
                <w:szCs w:val="24"/>
                <w:lang w:val="en-US"/>
              </w:rPr>
            </w:pPr>
            <w:r w:rsidRPr="002368CF">
              <w:rPr>
                <w:rFonts w:ascii="Times New Roman" w:hAnsi="Times New Roman" w:cs="Times New Roman"/>
                <w:sz w:val="24"/>
                <w:szCs w:val="24"/>
                <w:lang w:val="en-US"/>
              </w:rPr>
              <w:t>Gene expression analysis</w:t>
            </w:r>
          </w:p>
        </w:tc>
      </w:tr>
    </w:tbl>
    <w:p w14:paraId="3FBC938A" w14:textId="2B524586" w:rsidR="00D008D4" w:rsidRDefault="00D008D4" w:rsidP="0014278A">
      <w:pPr>
        <w:spacing w:after="0" w:line="240" w:lineRule="auto"/>
        <w:rPr>
          <w:rFonts w:ascii="Times New Roman" w:hAnsi="Times New Roman" w:cs="Times New Roman"/>
          <w:b/>
          <w:bCs/>
          <w:sz w:val="28"/>
          <w:szCs w:val="28"/>
          <w:u w:val="single"/>
        </w:rPr>
      </w:pPr>
    </w:p>
    <w:p w14:paraId="0AF6D483" w14:textId="450A4F5B" w:rsidR="00D008D4" w:rsidRPr="00D008D4" w:rsidRDefault="00D008D4" w:rsidP="0014278A">
      <w:pPr>
        <w:spacing w:after="0" w:line="240" w:lineRule="auto"/>
        <w:rPr>
          <w:rFonts w:ascii="Times New Roman" w:hAnsi="Times New Roman" w:cs="Times New Roman"/>
          <w:b/>
          <w:bCs/>
          <w:sz w:val="28"/>
          <w:szCs w:val="28"/>
        </w:rPr>
      </w:pPr>
      <w:r w:rsidRPr="00D008D4">
        <w:rPr>
          <w:rFonts w:ascii="Times New Roman" w:hAnsi="Times New Roman" w:cs="Times New Roman"/>
          <w:b/>
          <w:bCs/>
          <w:sz w:val="28"/>
          <w:szCs w:val="28"/>
        </w:rPr>
        <w:t>Year 1 – Objective 1:</w:t>
      </w:r>
    </w:p>
    <w:p w14:paraId="2849F6FA" w14:textId="61D73D96" w:rsidR="00D008D4" w:rsidRDefault="0014278A" w:rsidP="00D008D4">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We have completed the purchase of the Ussing chamber (7/8/2024) and are in the process of its setup and calibration.</w:t>
      </w:r>
      <w:r w:rsidR="00AA2E74">
        <w:rPr>
          <w:rFonts w:ascii="Times New Roman" w:hAnsi="Times New Roman" w:cs="Times New Roman"/>
          <w:sz w:val="28"/>
          <w:szCs w:val="28"/>
        </w:rPr>
        <w:t xml:space="preserve"> This includes setting up the software and accessory equipment, as well as conducting preliminary experiments on trout intestinal tissues. These preliminary experiments will be cross-referenced with previously published research with Ussing chambers in trout to ensure accuracy of results and proper functioning of this machine.</w:t>
      </w:r>
      <w:r>
        <w:rPr>
          <w:rFonts w:ascii="Times New Roman" w:hAnsi="Times New Roman" w:cs="Times New Roman"/>
          <w:sz w:val="28"/>
          <w:szCs w:val="28"/>
        </w:rPr>
        <w:t xml:space="preserve"> All chemicals (i.e.: physiological </w:t>
      </w:r>
      <w:r>
        <w:rPr>
          <w:rFonts w:ascii="Times New Roman" w:hAnsi="Times New Roman" w:cs="Times New Roman"/>
          <w:sz w:val="28"/>
          <w:szCs w:val="28"/>
        </w:rPr>
        <w:lastRenderedPageBreak/>
        <w:t>buffer components, isotope, etc.) and accessory equipment (i.e.: gas tanks, water bath chillers, etc.) required for the Ussing chambers have been purchased to establish baseline characterization of methionine transport in both salmon and trout. During the measurements of methionine transport, flux samples taken from the Ussing chamber</w:t>
      </w:r>
      <w:r w:rsidR="00587939">
        <w:rPr>
          <w:rFonts w:ascii="Times New Roman" w:hAnsi="Times New Roman" w:cs="Times New Roman"/>
          <w:sz w:val="28"/>
          <w:szCs w:val="28"/>
        </w:rPr>
        <w:t xml:space="preserve"> will be</w:t>
      </w:r>
      <w:r>
        <w:rPr>
          <w:rFonts w:ascii="Times New Roman" w:hAnsi="Times New Roman" w:cs="Times New Roman"/>
          <w:sz w:val="28"/>
          <w:szCs w:val="28"/>
        </w:rPr>
        <w:t xml:space="preserve"> measured on a liquid chromatography-mass spectrometry instrument (LC-MS)</w:t>
      </w:r>
      <w:r w:rsidR="00AA2E74">
        <w:rPr>
          <w:rFonts w:ascii="Times New Roman" w:hAnsi="Times New Roman" w:cs="Times New Roman"/>
          <w:sz w:val="28"/>
          <w:szCs w:val="28"/>
        </w:rPr>
        <w:t xml:space="preserve">. The facility required to perform the LC-MS </w:t>
      </w:r>
      <w:r w:rsidR="00FD5A4F">
        <w:rPr>
          <w:rFonts w:ascii="Times New Roman" w:hAnsi="Times New Roman" w:cs="Times New Roman"/>
          <w:sz w:val="28"/>
          <w:szCs w:val="28"/>
        </w:rPr>
        <w:t>measurements</w:t>
      </w:r>
      <w:r w:rsidR="00AA2E74">
        <w:rPr>
          <w:rFonts w:ascii="Times New Roman" w:hAnsi="Times New Roman" w:cs="Times New Roman"/>
          <w:sz w:val="28"/>
          <w:szCs w:val="28"/>
        </w:rPr>
        <w:t xml:space="preserve"> has been </w:t>
      </w:r>
      <w:r w:rsidR="00FD5A4F">
        <w:rPr>
          <w:rFonts w:ascii="Times New Roman" w:hAnsi="Times New Roman" w:cs="Times New Roman"/>
          <w:sz w:val="28"/>
          <w:szCs w:val="28"/>
        </w:rPr>
        <w:t>set up</w:t>
      </w:r>
      <w:r w:rsidR="00AA2E74">
        <w:rPr>
          <w:rFonts w:ascii="Times New Roman" w:hAnsi="Times New Roman" w:cs="Times New Roman"/>
          <w:sz w:val="28"/>
          <w:szCs w:val="28"/>
        </w:rPr>
        <w:t xml:space="preserve">, with a technician present to help with its </w:t>
      </w:r>
      <w:r w:rsidR="00FD5A4F">
        <w:rPr>
          <w:rFonts w:ascii="Times New Roman" w:hAnsi="Times New Roman" w:cs="Times New Roman"/>
          <w:sz w:val="28"/>
          <w:szCs w:val="28"/>
        </w:rPr>
        <w:t>troubleshooting</w:t>
      </w:r>
      <w:r w:rsidR="00AA2E74">
        <w:rPr>
          <w:rFonts w:ascii="Times New Roman" w:hAnsi="Times New Roman" w:cs="Times New Roman"/>
          <w:sz w:val="28"/>
          <w:szCs w:val="28"/>
        </w:rPr>
        <w:t xml:space="preserve"> and analysis. </w:t>
      </w:r>
      <w:r w:rsidR="00D008D4">
        <w:rPr>
          <w:rFonts w:ascii="Times New Roman" w:hAnsi="Times New Roman" w:cs="Times New Roman"/>
          <w:sz w:val="28"/>
          <w:szCs w:val="28"/>
        </w:rPr>
        <w:t>Finally, we have been growing trout and salmon to an accept</w:t>
      </w:r>
      <w:r w:rsidR="00587939">
        <w:rPr>
          <w:rFonts w:ascii="Times New Roman" w:hAnsi="Times New Roman" w:cs="Times New Roman"/>
          <w:sz w:val="28"/>
          <w:szCs w:val="28"/>
        </w:rPr>
        <w:t>able</w:t>
      </w:r>
      <w:r w:rsidR="00D008D4">
        <w:rPr>
          <w:rFonts w:ascii="Times New Roman" w:hAnsi="Times New Roman" w:cs="Times New Roman"/>
          <w:sz w:val="28"/>
          <w:szCs w:val="28"/>
        </w:rPr>
        <w:t xml:space="preserve"> size (~300-400g)</w:t>
      </w:r>
      <w:r w:rsidR="00587939">
        <w:rPr>
          <w:rFonts w:ascii="Times New Roman" w:hAnsi="Times New Roman" w:cs="Times New Roman"/>
          <w:sz w:val="28"/>
          <w:szCs w:val="28"/>
        </w:rPr>
        <w:t xml:space="preserve"> for the Ussing chamber</w:t>
      </w:r>
      <w:r w:rsidR="00950017">
        <w:rPr>
          <w:rFonts w:ascii="Times New Roman" w:hAnsi="Times New Roman" w:cs="Times New Roman"/>
          <w:sz w:val="28"/>
          <w:szCs w:val="28"/>
        </w:rPr>
        <w:t>s</w:t>
      </w:r>
      <w:r w:rsidR="00D008D4">
        <w:rPr>
          <w:rFonts w:ascii="Times New Roman" w:hAnsi="Times New Roman" w:cs="Times New Roman"/>
          <w:sz w:val="28"/>
          <w:szCs w:val="28"/>
        </w:rPr>
        <w:t xml:space="preserve"> to complete baseline characterization experiment</w:t>
      </w:r>
      <w:r w:rsidR="00587939">
        <w:rPr>
          <w:rFonts w:ascii="Times New Roman" w:hAnsi="Times New Roman" w:cs="Times New Roman"/>
          <w:sz w:val="28"/>
          <w:szCs w:val="28"/>
        </w:rPr>
        <w:t>s</w:t>
      </w:r>
      <w:r w:rsidR="00D008D4">
        <w:rPr>
          <w:rFonts w:ascii="Times New Roman" w:hAnsi="Times New Roman" w:cs="Times New Roman"/>
          <w:sz w:val="28"/>
          <w:szCs w:val="28"/>
        </w:rPr>
        <w:t xml:space="preserve">. </w:t>
      </w:r>
      <w:r w:rsidR="000E6CAA">
        <w:rPr>
          <w:rFonts w:ascii="Times New Roman" w:hAnsi="Times New Roman" w:cs="Times New Roman"/>
          <w:sz w:val="28"/>
          <w:szCs w:val="28"/>
        </w:rPr>
        <w:t>Intestinal tissue samples will be collected and frozen (-80</w:t>
      </w:r>
      <w:r w:rsidR="000E6CAA">
        <w:rPr>
          <w:rFonts w:ascii="Times New Roman" w:hAnsi="Times New Roman" w:cs="Times New Roman"/>
          <w:sz w:val="28"/>
          <w:szCs w:val="28"/>
          <w:vertAlign w:val="superscript"/>
        </w:rPr>
        <w:t>o</w:t>
      </w:r>
      <w:r w:rsidR="000E6CAA">
        <w:rPr>
          <w:rFonts w:ascii="Times New Roman" w:hAnsi="Times New Roman" w:cs="Times New Roman"/>
          <w:sz w:val="28"/>
          <w:szCs w:val="28"/>
        </w:rPr>
        <w:t xml:space="preserve">C) for gene expression analysis </w:t>
      </w:r>
      <w:r w:rsidR="00950017">
        <w:rPr>
          <w:rFonts w:ascii="Times New Roman" w:hAnsi="Times New Roman" w:cs="Times New Roman"/>
          <w:sz w:val="28"/>
          <w:szCs w:val="28"/>
        </w:rPr>
        <w:t xml:space="preserve">for </w:t>
      </w:r>
      <w:r w:rsidR="000E6CAA">
        <w:rPr>
          <w:rFonts w:ascii="Times New Roman" w:hAnsi="Times New Roman" w:cs="Times New Roman"/>
          <w:sz w:val="28"/>
          <w:szCs w:val="28"/>
        </w:rPr>
        <w:t xml:space="preserve">Year 2 – Q4. </w:t>
      </w:r>
    </w:p>
    <w:p w14:paraId="386DF88E" w14:textId="77777777" w:rsidR="00D008D4" w:rsidRDefault="00D008D4" w:rsidP="00D008D4">
      <w:pPr>
        <w:spacing w:after="0" w:line="240" w:lineRule="auto"/>
        <w:ind w:firstLine="720"/>
        <w:rPr>
          <w:rFonts w:ascii="Times New Roman" w:hAnsi="Times New Roman" w:cs="Times New Roman"/>
          <w:sz w:val="28"/>
          <w:szCs w:val="28"/>
        </w:rPr>
      </w:pPr>
    </w:p>
    <w:p w14:paraId="04F46803" w14:textId="223793E1" w:rsidR="002B53F1" w:rsidRPr="0014278A" w:rsidRDefault="002B53F1" w:rsidP="00D008D4">
      <w:pPr>
        <w:spacing w:after="0" w:line="240" w:lineRule="auto"/>
        <w:ind w:firstLine="720"/>
        <w:rPr>
          <w:rFonts w:ascii="Times New Roman" w:hAnsi="Times New Roman" w:cs="Times New Roman"/>
          <w:sz w:val="28"/>
          <w:szCs w:val="28"/>
        </w:rPr>
      </w:pPr>
    </w:p>
    <w:sectPr w:rsidR="002B53F1" w:rsidRPr="00142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EF"/>
    <w:rsid w:val="000E6CAA"/>
    <w:rsid w:val="0014278A"/>
    <w:rsid w:val="002B53F1"/>
    <w:rsid w:val="0032304F"/>
    <w:rsid w:val="003E5B8A"/>
    <w:rsid w:val="00446D4C"/>
    <w:rsid w:val="00584421"/>
    <w:rsid w:val="00587939"/>
    <w:rsid w:val="00790516"/>
    <w:rsid w:val="0086462C"/>
    <w:rsid w:val="00901D0C"/>
    <w:rsid w:val="00950017"/>
    <w:rsid w:val="00A02DEF"/>
    <w:rsid w:val="00A67075"/>
    <w:rsid w:val="00AA2E74"/>
    <w:rsid w:val="00D008D4"/>
    <w:rsid w:val="00F13CDF"/>
    <w:rsid w:val="00F8705E"/>
    <w:rsid w:val="00F9177A"/>
    <w:rsid w:val="00F96A09"/>
    <w:rsid w:val="00FD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ED2A"/>
  <w15:chartTrackingRefBased/>
  <w15:docId w15:val="{82A4811F-E421-46F7-9AAA-DD3EC446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DEF"/>
    <w:rPr>
      <w:rFonts w:eastAsiaTheme="majorEastAsia" w:cstheme="majorBidi"/>
      <w:color w:val="272727" w:themeColor="text1" w:themeTint="D8"/>
    </w:rPr>
  </w:style>
  <w:style w:type="paragraph" w:styleId="Title">
    <w:name w:val="Title"/>
    <w:basedOn w:val="Normal"/>
    <w:next w:val="Normal"/>
    <w:link w:val="TitleChar"/>
    <w:uiPriority w:val="10"/>
    <w:qFormat/>
    <w:rsid w:val="00A02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DEF"/>
    <w:pPr>
      <w:spacing w:before="160"/>
      <w:jc w:val="center"/>
    </w:pPr>
    <w:rPr>
      <w:i/>
      <w:iCs/>
      <w:color w:val="404040" w:themeColor="text1" w:themeTint="BF"/>
    </w:rPr>
  </w:style>
  <w:style w:type="character" w:customStyle="1" w:styleId="QuoteChar">
    <w:name w:val="Quote Char"/>
    <w:basedOn w:val="DefaultParagraphFont"/>
    <w:link w:val="Quote"/>
    <w:uiPriority w:val="29"/>
    <w:rsid w:val="00A02DEF"/>
    <w:rPr>
      <w:i/>
      <w:iCs/>
      <w:color w:val="404040" w:themeColor="text1" w:themeTint="BF"/>
    </w:rPr>
  </w:style>
  <w:style w:type="paragraph" w:styleId="ListParagraph">
    <w:name w:val="List Paragraph"/>
    <w:basedOn w:val="Normal"/>
    <w:uiPriority w:val="34"/>
    <w:qFormat/>
    <w:rsid w:val="00A02DEF"/>
    <w:pPr>
      <w:ind w:left="720"/>
      <w:contextualSpacing/>
    </w:pPr>
  </w:style>
  <w:style w:type="character" w:styleId="IntenseEmphasis">
    <w:name w:val="Intense Emphasis"/>
    <w:basedOn w:val="DefaultParagraphFont"/>
    <w:uiPriority w:val="21"/>
    <w:qFormat/>
    <w:rsid w:val="00A02DEF"/>
    <w:rPr>
      <w:i/>
      <w:iCs/>
      <w:color w:val="0F4761" w:themeColor="accent1" w:themeShade="BF"/>
    </w:rPr>
  </w:style>
  <w:style w:type="paragraph" w:styleId="IntenseQuote">
    <w:name w:val="Intense Quote"/>
    <w:basedOn w:val="Normal"/>
    <w:next w:val="Normal"/>
    <w:link w:val="IntenseQuoteChar"/>
    <w:uiPriority w:val="30"/>
    <w:qFormat/>
    <w:rsid w:val="00A02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DEF"/>
    <w:rPr>
      <w:i/>
      <w:iCs/>
      <w:color w:val="0F4761" w:themeColor="accent1" w:themeShade="BF"/>
    </w:rPr>
  </w:style>
  <w:style w:type="character" w:styleId="IntenseReference">
    <w:name w:val="Intense Reference"/>
    <w:basedOn w:val="DefaultParagraphFont"/>
    <w:uiPriority w:val="32"/>
    <w:qFormat/>
    <w:rsid w:val="00A02DEF"/>
    <w:rPr>
      <w:b/>
      <w:bCs/>
      <w:smallCaps/>
      <w:color w:val="0F4761" w:themeColor="accent1" w:themeShade="BF"/>
      <w:spacing w:val="5"/>
    </w:rPr>
  </w:style>
  <w:style w:type="character" w:styleId="Hyperlink">
    <w:name w:val="Hyperlink"/>
    <w:basedOn w:val="DefaultParagraphFont"/>
    <w:uiPriority w:val="99"/>
    <w:unhideWhenUsed/>
    <w:rsid w:val="00A02DEF"/>
    <w:rPr>
      <w:color w:val="467886" w:themeColor="hyperlink"/>
      <w:u w:val="single"/>
    </w:rPr>
  </w:style>
  <w:style w:type="character" w:styleId="UnresolvedMention">
    <w:name w:val="Unresolved Mention"/>
    <w:basedOn w:val="DefaultParagraphFont"/>
    <w:uiPriority w:val="99"/>
    <w:semiHidden/>
    <w:unhideWhenUsed/>
    <w:rsid w:val="00A02DEF"/>
    <w:rPr>
      <w:color w:val="605E5C"/>
      <w:shd w:val="clear" w:color="auto" w:fill="E1DFDD"/>
    </w:rPr>
  </w:style>
  <w:style w:type="table" w:styleId="TableGrid">
    <w:name w:val="Table Grid"/>
    <w:basedOn w:val="TableNormal"/>
    <w:uiPriority w:val="39"/>
    <w:rsid w:val="00D008D4"/>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Subramaniam, Marina (marinas@uidaho.edu)</dc:creator>
  <cp:keywords/>
  <dc:description/>
  <cp:lastModifiedBy>Easton  Kuboushek</cp:lastModifiedBy>
  <cp:revision>2</cp:revision>
  <dcterms:created xsi:type="dcterms:W3CDTF">2024-07-12T11:02:00Z</dcterms:created>
  <dcterms:modified xsi:type="dcterms:W3CDTF">2024-07-12T11:02:00Z</dcterms:modified>
</cp:coreProperties>
</file>