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966BEE" w:rsidRDefault="00300601">
      <w:pPr>
        <w:ind w:firstLine="720"/>
      </w:pPr>
      <w:r>
        <w:t xml:space="preserve">Sixty-five populations with viable seeds have been collected, with thirty fully screened in the greenhouse. Suspected resistance to </w:t>
      </w:r>
      <w:proofErr w:type="spellStart"/>
      <w:r>
        <w:t>glufosinate</w:t>
      </w:r>
      <w:proofErr w:type="spellEnd"/>
      <w:r>
        <w:t xml:space="preserve">, </w:t>
      </w:r>
      <w:proofErr w:type="spellStart"/>
      <w:r>
        <w:t>trifludimoxazin</w:t>
      </w:r>
      <w:proofErr w:type="spellEnd"/>
      <w:r>
        <w:t xml:space="preserve">, or </w:t>
      </w:r>
      <w:proofErr w:type="spellStart"/>
      <w:r>
        <w:t>saflufenacil</w:t>
      </w:r>
      <w:proofErr w:type="spellEnd"/>
      <w:r>
        <w:t xml:space="preserve"> has been found in 13 populations. Additionally, some populations show potential resistance to atrazine, 2-</w:t>
      </w:r>
      <w:proofErr w:type="gramStart"/>
      <w:r>
        <w:t>4,D</w:t>
      </w:r>
      <w:proofErr w:type="gramEnd"/>
      <w:r>
        <w:t xml:space="preserve">, and dicamba. However, due to resource constraints, genetic analysis focuses on the first three herbicides. These suspected populations undergo a dose response assay with the herbicide, followed by RNA digest and transcriptome analysis in the lab. Sequencing and comparing resistant and susceptible populations </w:t>
      </w:r>
      <w:proofErr w:type="gramStart"/>
      <w:r>
        <w:t>identifies</w:t>
      </w:r>
      <w:proofErr w:type="gramEnd"/>
      <w:r>
        <w:t xml:space="preserve"> whether target site resistance, no</w:t>
      </w:r>
      <w:r>
        <w:t xml:space="preserve">ntarget site resistance, or innate tolerance are expressed in each population. Two field trials are established, one in EV. Smith and another in Moulton, AL comparing cereal rye, oat, and </w:t>
      </w:r>
      <w:proofErr w:type="gramStart"/>
      <w:r>
        <w:t>combined</w:t>
      </w:r>
      <w:proofErr w:type="gramEnd"/>
      <w:r>
        <w:t xml:space="preserve"> cereal rye and oat cover crops with various preemergent herbicides. The on-the-farm trial experienced soybean yield loss in the 2023 season due to aggressive pigweed presence. Combining cover crops with pre-emergent herbicides could be a great management practice to reduce pigweed germination. At the upcoming WSSA</w:t>
      </w:r>
      <w:r>
        <w:t xml:space="preserve"> and SWSS, I plan to present the genetic analysis of these populations. Species identification is crucial, particularly as dioecious species seem to evolve more rapidly than monoecious ones. An extension article titled "Identification Guide of Mature Amaranthus Species" is under review and can be used to enhance field identification and enhance management programs.</w:t>
      </w:r>
    </w:p>
    <w:p w14:paraId="00000002" w14:textId="77777777" w:rsidR="00966BEE" w:rsidRDefault="00966BEE">
      <w:pPr>
        <w:spacing w:before="240" w:after="240"/>
      </w:pPr>
    </w:p>
    <w:p w14:paraId="00000003" w14:textId="77777777" w:rsidR="00966BEE" w:rsidRDefault="00966BEE">
      <w:pPr>
        <w:ind w:firstLine="720"/>
      </w:pPr>
    </w:p>
    <w:sectPr w:rsidR="00966B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BEE"/>
    <w:rsid w:val="00300601"/>
    <w:rsid w:val="00966BEE"/>
    <w:rsid w:val="00D9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605F8C-3690-4163-8637-9D2B4243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227</Words>
  <Characters>1299</Characters>
  <Application>Microsoft Office Word</Application>
  <DocSecurity>4</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Russell</dc:creator>
  <cp:lastModifiedBy>David Russell</cp:lastModifiedBy>
  <cp:revision>2</cp:revision>
  <dcterms:created xsi:type="dcterms:W3CDTF">2024-06-13T18:59:00Z</dcterms:created>
  <dcterms:modified xsi:type="dcterms:W3CDTF">2024-06-13T18:59:00Z</dcterms:modified>
</cp:coreProperties>
</file>