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92526" w14:textId="343223C6" w:rsidR="0002450D" w:rsidRDefault="0002450D" w:rsidP="00682F0F">
      <w:pPr>
        <w:spacing w:after="0" w:line="240" w:lineRule="auto"/>
        <w:jc w:val="both"/>
        <w:rPr>
          <w:rFonts w:ascii="Times New Roman" w:hAnsi="Times New Roman" w:cs="Times New Roman"/>
          <w:bCs/>
          <w:sz w:val="24"/>
          <w:szCs w:val="24"/>
        </w:rPr>
      </w:pPr>
      <w:r w:rsidRPr="005F067E">
        <w:rPr>
          <w:rFonts w:ascii="Times New Roman" w:hAnsi="Times New Roman" w:cs="Times New Roman"/>
          <w:b/>
          <w:sz w:val="24"/>
          <w:szCs w:val="24"/>
        </w:rPr>
        <w:t xml:space="preserve">Project Title: </w:t>
      </w:r>
      <w:proofErr w:type="spellStart"/>
      <w:r w:rsidRPr="005F067E">
        <w:rPr>
          <w:rFonts w:ascii="Times New Roman" w:hAnsi="Times New Roman" w:cs="Times New Roman"/>
          <w:bCs/>
          <w:sz w:val="24"/>
          <w:szCs w:val="24"/>
        </w:rPr>
        <w:t>SoyRenSeq</w:t>
      </w:r>
      <w:proofErr w:type="spellEnd"/>
      <w:r w:rsidRPr="005F067E">
        <w:rPr>
          <w:rFonts w:ascii="Times New Roman" w:hAnsi="Times New Roman" w:cs="Times New Roman"/>
          <w:bCs/>
          <w:sz w:val="24"/>
          <w:szCs w:val="24"/>
        </w:rPr>
        <w:t>: a Novel Approach for Disease Resistance Gene Discovery and Application for Soybean Improvement</w:t>
      </w:r>
      <w:r w:rsidR="00B64CDF">
        <w:rPr>
          <w:rFonts w:ascii="Times New Roman" w:hAnsi="Times New Roman" w:cs="Times New Roman"/>
          <w:bCs/>
          <w:sz w:val="24"/>
          <w:szCs w:val="24"/>
        </w:rPr>
        <w:t xml:space="preserve"> (</w:t>
      </w:r>
      <w:r w:rsidR="00074948">
        <w:rPr>
          <w:rFonts w:ascii="Times New Roman" w:hAnsi="Times New Roman" w:cs="Times New Roman"/>
          <w:bCs/>
          <w:sz w:val="24"/>
          <w:szCs w:val="24"/>
        </w:rPr>
        <w:t>Year 2)</w:t>
      </w:r>
    </w:p>
    <w:p w14:paraId="763395E6" w14:textId="77777777" w:rsidR="00F3002B" w:rsidRDefault="00F3002B" w:rsidP="00682F0F">
      <w:pPr>
        <w:spacing w:after="0" w:line="240" w:lineRule="auto"/>
        <w:jc w:val="both"/>
        <w:rPr>
          <w:rFonts w:ascii="Times New Roman" w:hAnsi="Times New Roman" w:cs="Times New Roman"/>
          <w:bCs/>
          <w:sz w:val="24"/>
          <w:szCs w:val="24"/>
        </w:rPr>
      </w:pPr>
    </w:p>
    <w:p w14:paraId="2BC8A188" w14:textId="78ED98FB" w:rsidR="00074948" w:rsidRDefault="00074948" w:rsidP="00682F0F">
      <w:pPr>
        <w:spacing w:after="0" w:line="240" w:lineRule="auto"/>
        <w:jc w:val="both"/>
        <w:rPr>
          <w:rFonts w:ascii="Times New Roman" w:hAnsi="Times New Roman" w:cs="Times New Roman"/>
          <w:bCs/>
          <w:sz w:val="24"/>
          <w:szCs w:val="24"/>
        </w:rPr>
      </w:pPr>
      <w:r w:rsidRPr="00557B31">
        <w:rPr>
          <w:rFonts w:ascii="Times New Roman" w:hAnsi="Times New Roman" w:cs="Times New Roman"/>
          <w:b/>
          <w:sz w:val="24"/>
          <w:szCs w:val="24"/>
        </w:rPr>
        <w:t>Investigator</w:t>
      </w:r>
      <w:r w:rsidR="00557B31" w:rsidRPr="00557B31">
        <w:rPr>
          <w:rFonts w:ascii="Times New Roman" w:hAnsi="Times New Roman" w:cs="Times New Roman"/>
          <w:b/>
          <w:sz w:val="24"/>
          <w:szCs w:val="24"/>
        </w:rPr>
        <w:t>s</w:t>
      </w:r>
      <w:r w:rsidRPr="00557B31">
        <w:rPr>
          <w:rFonts w:ascii="Times New Roman" w:hAnsi="Times New Roman" w:cs="Times New Roman"/>
          <w:b/>
          <w:sz w:val="24"/>
          <w:szCs w:val="24"/>
        </w:rPr>
        <w:t>:</w:t>
      </w:r>
      <w:r>
        <w:rPr>
          <w:rFonts w:ascii="Times New Roman" w:hAnsi="Times New Roman" w:cs="Times New Roman"/>
          <w:bCs/>
          <w:sz w:val="24"/>
          <w:szCs w:val="24"/>
        </w:rPr>
        <w:t xml:space="preserve"> Dechun Wang</w:t>
      </w:r>
      <w:r w:rsidR="00557B31">
        <w:rPr>
          <w:rFonts w:ascii="Times New Roman" w:hAnsi="Times New Roman" w:cs="Times New Roman"/>
          <w:bCs/>
          <w:sz w:val="24"/>
          <w:szCs w:val="24"/>
        </w:rPr>
        <w:t>, Feng Lin</w:t>
      </w:r>
      <w:r w:rsidR="00C64AAB">
        <w:rPr>
          <w:rFonts w:ascii="Times New Roman" w:hAnsi="Times New Roman" w:cs="Times New Roman"/>
          <w:bCs/>
          <w:sz w:val="24"/>
          <w:szCs w:val="24"/>
        </w:rPr>
        <w:t xml:space="preserve">, </w:t>
      </w:r>
      <w:r w:rsidR="00767EB1">
        <w:rPr>
          <w:rFonts w:ascii="Times New Roman" w:hAnsi="Times New Roman" w:cs="Times New Roman"/>
          <w:bCs/>
          <w:sz w:val="24"/>
          <w:szCs w:val="24"/>
        </w:rPr>
        <w:t>Muhammad Salman</w:t>
      </w:r>
    </w:p>
    <w:p w14:paraId="27640DE9" w14:textId="62A1A47D" w:rsidR="00557B31" w:rsidRDefault="00557B31" w:rsidP="00682F0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762FC2">
        <w:rPr>
          <w:rFonts w:ascii="Times New Roman" w:hAnsi="Times New Roman" w:cs="Times New Roman"/>
          <w:bCs/>
          <w:sz w:val="24"/>
          <w:szCs w:val="24"/>
        </w:rPr>
        <w:t>Michigan State University</w:t>
      </w:r>
    </w:p>
    <w:p w14:paraId="4CE13D6D" w14:textId="77777777" w:rsidR="00762FC2" w:rsidRDefault="00762FC2" w:rsidP="00682F0F">
      <w:pPr>
        <w:spacing w:after="0" w:line="240" w:lineRule="auto"/>
        <w:jc w:val="both"/>
        <w:rPr>
          <w:rFonts w:ascii="Times New Roman" w:hAnsi="Times New Roman" w:cs="Times New Roman"/>
          <w:bCs/>
          <w:sz w:val="24"/>
          <w:szCs w:val="24"/>
        </w:rPr>
      </w:pPr>
    </w:p>
    <w:p w14:paraId="71E465C1" w14:textId="5E6A1347" w:rsidR="00762FC2" w:rsidRDefault="00885085" w:rsidP="00682F0F">
      <w:pPr>
        <w:spacing w:after="0" w:line="240" w:lineRule="auto"/>
        <w:jc w:val="both"/>
        <w:rPr>
          <w:rFonts w:ascii="Times New Roman" w:hAnsi="Times New Roman" w:cs="Times New Roman"/>
          <w:bCs/>
          <w:sz w:val="24"/>
          <w:szCs w:val="24"/>
        </w:rPr>
      </w:pPr>
      <w:r w:rsidRPr="00885085">
        <w:rPr>
          <w:rFonts w:ascii="Times New Roman" w:hAnsi="Times New Roman" w:cs="Times New Roman"/>
          <w:b/>
          <w:sz w:val="24"/>
          <w:szCs w:val="24"/>
        </w:rPr>
        <w:t>Progress Report</w:t>
      </w:r>
      <w:r>
        <w:rPr>
          <w:rFonts w:ascii="Times New Roman" w:hAnsi="Times New Roman" w:cs="Times New Roman"/>
          <w:bCs/>
          <w:sz w:val="24"/>
          <w:szCs w:val="24"/>
        </w:rPr>
        <w:t>:</w:t>
      </w:r>
    </w:p>
    <w:p w14:paraId="6510A8ED" w14:textId="798F207A" w:rsidR="00074948" w:rsidRDefault="007E62C0" w:rsidP="00682F0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Wang lab proposed to work on </w:t>
      </w:r>
      <w:r w:rsidR="00606DB0">
        <w:rPr>
          <w:rFonts w:ascii="Times New Roman" w:hAnsi="Times New Roman" w:cs="Times New Roman"/>
          <w:bCs/>
          <w:sz w:val="24"/>
          <w:szCs w:val="24"/>
        </w:rPr>
        <w:t>O</w:t>
      </w:r>
      <w:r w:rsidR="005C6765">
        <w:rPr>
          <w:rFonts w:ascii="Times New Roman" w:hAnsi="Times New Roman" w:cs="Times New Roman"/>
          <w:bCs/>
          <w:sz w:val="24"/>
          <w:szCs w:val="24"/>
        </w:rPr>
        <w:t xml:space="preserve">bjective 4, </w:t>
      </w:r>
      <w:r w:rsidR="00EF51B5">
        <w:rPr>
          <w:rFonts w:ascii="Times New Roman" w:hAnsi="Times New Roman" w:cs="Times New Roman"/>
          <w:bCs/>
          <w:sz w:val="24"/>
          <w:szCs w:val="24"/>
        </w:rPr>
        <w:t>e</w:t>
      </w:r>
      <w:r w:rsidR="00EF51B5" w:rsidRPr="00EF51B5">
        <w:rPr>
          <w:rFonts w:ascii="Times New Roman" w:hAnsi="Times New Roman" w:cs="Times New Roman"/>
          <w:bCs/>
          <w:sz w:val="24"/>
          <w:szCs w:val="24"/>
        </w:rPr>
        <w:t>valuation of resistance to various pathogens and mapping of major R genes and QTL.</w:t>
      </w:r>
    </w:p>
    <w:p w14:paraId="3B53DD64" w14:textId="77777777" w:rsidR="007E62C0" w:rsidRDefault="007E62C0" w:rsidP="00682F0F">
      <w:pPr>
        <w:spacing w:after="0" w:line="240" w:lineRule="auto"/>
        <w:jc w:val="both"/>
        <w:rPr>
          <w:rFonts w:ascii="Times New Roman" w:hAnsi="Times New Roman" w:cs="Times New Roman"/>
          <w:bCs/>
          <w:sz w:val="24"/>
          <w:szCs w:val="24"/>
        </w:rPr>
      </w:pPr>
    </w:p>
    <w:p w14:paraId="5C2C06F0" w14:textId="6E824CA7" w:rsidR="009C0670" w:rsidRPr="009C0670" w:rsidRDefault="007324D2" w:rsidP="00682F0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Our progress</w:t>
      </w:r>
      <w:r w:rsidR="00C871FD">
        <w:rPr>
          <w:rFonts w:ascii="Times New Roman" w:hAnsi="Times New Roman" w:cs="Times New Roman"/>
          <w:b/>
          <w:sz w:val="24"/>
          <w:szCs w:val="24"/>
        </w:rPr>
        <w:t xml:space="preserve"> made to date is summarized below:</w:t>
      </w:r>
    </w:p>
    <w:p w14:paraId="459EF2E2" w14:textId="316B7864" w:rsidR="00E801C7" w:rsidRPr="009B69C4" w:rsidRDefault="009B69C4" w:rsidP="00682F0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Our previous study screened 470 germplasm lines and identified Colfax as a resistant genotype against </w:t>
      </w:r>
      <w:r w:rsidRPr="009B69C4">
        <w:rPr>
          <w:rFonts w:ascii="Times New Roman" w:hAnsi="Times New Roman" w:cs="Times New Roman"/>
          <w:bCs/>
          <w:i/>
          <w:iCs/>
          <w:sz w:val="24"/>
          <w:szCs w:val="24"/>
        </w:rPr>
        <w:t>P. sansomeana</w:t>
      </w:r>
      <w:r>
        <w:rPr>
          <w:rFonts w:ascii="Times New Roman" w:hAnsi="Times New Roman" w:cs="Times New Roman"/>
          <w:bCs/>
          <w:sz w:val="24"/>
          <w:szCs w:val="24"/>
        </w:rPr>
        <w:t xml:space="preserve"> (Salman et al., submitted). We developed mapping populations by crossing Colfax with a susceptible genotype </w:t>
      </w:r>
      <w:proofErr w:type="spellStart"/>
      <w:r>
        <w:rPr>
          <w:rFonts w:ascii="Times New Roman" w:hAnsi="Times New Roman" w:cs="Times New Roman"/>
          <w:bCs/>
          <w:sz w:val="24"/>
          <w:szCs w:val="24"/>
        </w:rPr>
        <w:t>Senaki</w:t>
      </w:r>
      <w:proofErr w:type="spellEnd"/>
      <w:r w:rsidR="00A31226">
        <w:rPr>
          <w:rFonts w:ascii="Times New Roman" w:hAnsi="Times New Roman" w:cs="Times New Roman"/>
          <w:bCs/>
          <w:sz w:val="24"/>
          <w:szCs w:val="24"/>
        </w:rPr>
        <w:t>,</w:t>
      </w:r>
      <w:r>
        <w:rPr>
          <w:rFonts w:ascii="Times New Roman" w:hAnsi="Times New Roman" w:cs="Times New Roman"/>
          <w:bCs/>
          <w:sz w:val="24"/>
          <w:szCs w:val="24"/>
        </w:rPr>
        <w:t xml:space="preserve"> and challenged 234 F2:3 families with </w:t>
      </w:r>
      <w:r w:rsidRPr="009B69C4">
        <w:rPr>
          <w:rFonts w:ascii="Times New Roman" w:hAnsi="Times New Roman" w:cs="Times New Roman"/>
          <w:bCs/>
          <w:i/>
          <w:iCs/>
          <w:sz w:val="24"/>
          <w:szCs w:val="24"/>
        </w:rPr>
        <w:t>P. sansomeana</w:t>
      </w:r>
      <w:r>
        <w:rPr>
          <w:rFonts w:ascii="Times New Roman" w:hAnsi="Times New Roman" w:cs="Times New Roman"/>
          <w:bCs/>
          <w:sz w:val="24"/>
          <w:szCs w:val="24"/>
        </w:rPr>
        <w:t xml:space="preserve"> isolate MPS17-22 to study the inheritance pattern. The analysis revealed </w:t>
      </w:r>
      <w:r w:rsidR="00A31226">
        <w:rPr>
          <w:rFonts w:ascii="Times New Roman" w:hAnsi="Times New Roman" w:cs="Times New Roman"/>
          <w:bCs/>
          <w:sz w:val="24"/>
          <w:szCs w:val="24"/>
        </w:rPr>
        <w:t xml:space="preserve">a </w:t>
      </w:r>
      <w:r>
        <w:rPr>
          <w:rFonts w:ascii="Times New Roman" w:hAnsi="Times New Roman" w:cs="Times New Roman"/>
          <w:bCs/>
          <w:sz w:val="24"/>
          <w:szCs w:val="24"/>
        </w:rPr>
        <w:t xml:space="preserve">1:2:1 ratio of </w:t>
      </w:r>
      <w:proofErr w:type="spellStart"/>
      <w:r>
        <w:rPr>
          <w:rFonts w:ascii="Times New Roman" w:hAnsi="Times New Roman" w:cs="Times New Roman"/>
          <w:bCs/>
          <w:sz w:val="24"/>
          <w:szCs w:val="24"/>
        </w:rPr>
        <w:t>resistant:segregating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resistant:</w:t>
      </w:r>
      <w:r w:rsidR="00A31226">
        <w:rPr>
          <w:rFonts w:ascii="Times New Roman" w:hAnsi="Times New Roman" w:cs="Times New Roman"/>
          <w:bCs/>
          <w:sz w:val="24"/>
          <w:szCs w:val="24"/>
        </w:rPr>
        <w:t>susceptible</w:t>
      </w:r>
      <w:proofErr w:type="spellEnd"/>
      <w:r w:rsidR="00A31226">
        <w:rPr>
          <w:rFonts w:ascii="Times New Roman" w:hAnsi="Times New Roman" w:cs="Times New Roman"/>
          <w:bCs/>
          <w:sz w:val="24"/>
          <w:szCs w:val="24"/>
        </w:rPr>
        <w:t xml:space="preserve"> indicating the involvement of a single major gene.</w:t>
      </w:r>
      <w:r w:rsidR="00A31226" w:rsidRPr="00A31226">
        <w:rPr>
          <w:rFonts w:ascii="STIX-Regular" w:hAnsi="STIX-Regular"/>
          <w:color w:val="000000"/>
          <w:sz w:val="20"/>
          <w:szCs w:val="20"/>
        </w:rPr>
        <w:t xml:space="preserve"> </w:t>
      </w:r>
      <w:r w:rsidR="00A31226" w:rsidRPr="00A31226">
        <w:rPr>
          <w:rFonts w:ascii="Times New Roman" w:hAnsi="Times New Roman" w:cs="Times New Roman"/>
          <w:bCs/>
          <w:sz w:val="24"/>
          <w:szCs w:val="24"/>
        </w:rPr>
        <w:t xml:space="preserve">Linkage analysis using extreme phenotypes anchored </w:t>
      </w:r>
      <w:r w:rsidR="00A31226" w:rsidRPr="00A31226">
        <w:rPr>
          <w:rFonts w:ascii="Times New Roman" w:hAnsi="Times New Roman" w:cs="Times New Roman"/>
          <w:bCs/>
          <w:i/>
          <w:iCs/>
          <w:sz w:val="24"/>
          <w:szCs w:val="24"/>
        </w:rPr>
        <w:t xml:space="preserve">Rpsan1 </w:t>
      </w:r>
      <w:r w:rsidR="00A31226" w:rsidRPr="00A31226">
        <w:rPr>
          <w:rFonts w:ascii="Times New Roman" w:hAnsi="Times New Roman" w:cs="Times New Roman"/>
          <w:bCs/>
          <w:sz w:val="24"/>
          <w:szCs w:val="24"/>
        </w:rPr>
        <w:t>to a 30 Mb region on chromosome 3.</w:t>
      </w:r>
      <w:r w:rsidR="00A31226" w:rsidRPr="00A31226">
        <w:rPr>
          <w:rFonts w:ascii="STIX-Regular" w:hAnsi="STIX-Regular"/>
          <w:color w:val="000000"/>
          <w:sz w:val="20"/>
          <w:szCs w:val="20"/>
        </w:rPr>
        <w:t xml:space="preserve"> </w:t>
      </w:r>
      <w:r w:rsidR="00A31226" w:rsidRPr="00A31226">
        <w:rPr>
          <w:rFonts w:ascii="Times New Roman" w:hAnsi="Times New Roman" w:cs="Times New Roman"/>
          <w:bCs/>
          <w:sz w:val="24"/>
          <w:szCs w:val="24"/>
        </w:rPr>
        <w:t xml:space="preserve">By selecting nine polymorphic SNP markers within the region, </w:t>
      </w:r>
      <w:r w:rsidR="00A31226" w:rsidRPr="00A31226">
        <w:rPr>
          <w:rFonts w:ascii="Times New Roman" w:hAnsi="Times New Roman" w:cs="Times New Roman"/>
          <w:bCs/>
          <w:i/>
          <w:iCs/>
          <w:sz w:val="24"/>
          <w:szCs w:val="24"/>
        </w:rPr>
        <w:t xml:space="preserve">Rpsan1 </w:t>
      </w:r>
      <w:r w:rsidR="00A31226" w:rsidRPr="00A31226">
        <w:rPr>
          <w:rFonts w:ascii="Times New Roman" w:hAnsi="Times New Roman" w:cs="Times New Roman"/>
          <w:bCs/>
          <w:sz w:val="24"/>
          <w:szCs w:val="24"/>
        </w:rPr>
        <w:t xml:space="preserve">was genetically delimited into a 21.3 </w:t>
      </w:r>
      <w:proofErr w:type="spellStart"/>
      <w:r w:rsidR="00A31226" w:rsidRPr="00A31226">
        <w:rPr>
          <w:rFonts w:ascii="Times New Roman" w:hAnsi="Times New Roman" w:cs="Times New Roman"/>
          <w:bCs/>
          <w:sz w:val="24"/>
          <w:szCs w:val="24"/>
        </w:rPr>
        <w:t>cM</w:t>
      </w:r>
      <w:proofErr w:type="spellEnd"/>
      <w:r w:rsidR="00A31226" w:rsidRPr="00A31226">
        <w:rPr>
          <w:rFonts w:ascii="Times New Roman" w:hAnsi="Times New Roman" w:cs="Times New Roman"/>
          <w:bCs/>
          <w:sz w:val="24"/>
          <w:szCs w:val="24"/>
        </w:rPr>
        <w:t xml:space="preserve"> region between Gm03_4487138_A_C and Gm03_5451606_A_C, which corresponds to a 1.06 Mb genomic region containing nine NBS-LRR genes based on </w:t>
      </w:r>
      <w:r w:rsidR="00A31226" w:rsidRPr="00A31226">
        <w:rPr>
          <w:rFonts w:ascii="Times New Roman" w:hAnsi="Times New Roman" w:cs="Times New Roman"/>
          <w:bCs/>
          <w:i/>
          <w:iCs/>
          <w:sz w:val="24"/>
          <w:szCs w:val="24"/>
        </w:rPr>
        <w:t xml:space="preserve">Gmax2.0 </w:t>
      </w:r>
      <w:r w:rsidR="00A31226" w:rsidRPr="00A31226">
        <w:rPr>
          <w:rFonts w:ascii="Times New Roman" w:hAnsi="Times New Roman" w:cs="Times New Roman"/>
          <w:bCs/>
          <w:sz w:val="24"/>
          <w:szCs w:val="24"/>
        </w:rPr>
        <w:t>assembly. The mapping results were then validated using two breeding populations derived from ‘E12076T-03’ × ‘Colfax’ and ‘E16099’ × ‘Colfax’</w:t>
      </w:r>
      <w:r w:rsidR="00DF64F8">
        <w:rPr>
          <w:rFonts w:ascii="Times New Roman" w:hAnsi="Times New Roman" w:cs="Times New Roman"/>
          <w:bCs/>
          <w:sz w:val="24"/>
          <w:szCs w:val="24"/>
        </w:rPr>
        <w:t xml:space="preserve"> (Lin et al., 2024).</w:t>
      </w:r>
    </w:p>
    <w:p w14:paraId="2B0E1755" w14:textId="77777777" w:rsidR="00791494" w:rsidRDefault="00791494" w:rsidP="00BD1BF0">
      <w:pPr>
        <w:spacing w:after="0" w:line="240" w:lineRule="auto"/>
        <w:jc w:val="both"/>
        <w:rPr>
          <w:rFonts w:ascii="Times New Roman" w:hAnsi="Times New Roman" w:cs="Times New Roman"/>
          <w:b/>
          <w:bCs/>
          <w:sz w:val="24"/>
          <w:szCs w:val="24"/>
        </w:rPr>
      </w:pPr>
    </w:p>
    <w:p w14:paraId="7656AE30" w14:textId="64FE8C28" w:rsidR="00D12ABB" w:rsidRPr="00D12ABB" w:rsidRDefault="00D12ABB" w:rsidP="00BD1BF0">
      <w:pPr>
        <w:spacing w:after="0" w:line="240" w:lineRule="auto"/>
        <w:jc w:val="both"/>
        <w:rPr>
          <w:rFonts w:ascii="Times New Roman" w:hAnsi="Times New Roman" w:cs="Times New Roman"/>
          <w:bCs/>
          <w:sz w:val="24"/>
          <w:szCs w:val="24"/>
        </w:rPr>
      </w:pPr>
      <w:r w:rsidRPr="00D12ABB">
        <w:rPr>
          <w:rFonts w:ascii="Times New Roman" w:hAnsi="Times New Roman" w:cs="Times New Roman"/>
          <w:b/>
          <w:bCs/>
          <w:sz w:val="24"/>
          <w:szCs w:val="24"/>
        </w:rPr>
        <w:t xml:space="preserve">Table </w:t>
      </w:r>
      <w:r w:rsidR="00DC0339">
        <w:rPr>
          <w:rFonts w:ascii="Times New Roman" w:hAnsi="Times New Roman" w:cs="Times New Roman"/>
          <w:b/>
          <w:bCs/>
          <w:sz w:val="24"/>
          <w:szCs w:val="24"/>
        </w:rPr>
        <w:t>1</w:t>
      </w:r>
      <w:r w:rsidRPr="00D12ABB">
        <w:rPr>
          <w:rFonts w:ascii="Times New Roman" w:hAnsi="Times New Roman" w:cs="Times New Roman"/>
          <w:b/>
          <w:bCs/>
          <w:sz w:val="24"/>
          <w:szCs w:val="24"/>
        </w:rPr>
        <w:t>.</w:t>
      </w:r>
      <w:r w:rsidRPr="00D12ABB">
        <w:rPr>
          <w:rFonts w:ascii="Times New Roman" w:hAnsi="Times New Roman" w:cs="Times New Roman"/>
          <w:bCs/>
          <w:sz w:val="24"/>
          <w:szCs w:val="24"/>
        </w:rPr>
        <w:t xml:space="preserve"> </w:t>
      </w:r>
      <w:r w:rsidRPr="00D12ABB">
        <w:rPr>
          <w:rFonts w:ascii="Times New Roman" w:hAnsi="Times New Roman" w:cs="Times New Roman"/>
          <w:b/>
          <w:sz w:val="24"/>
          <w:szCs w:val="24"/>
        </w:rPr>
        <w:t xml:space="preserve">Inheritance pattern of the F2:3 families (Colfax × </w:t>
      </w:r>
      <w:proofErr w:type="spellStart"/>
      <w:r w:rsidRPr="00D12ABB">
        <w:rPr>
          <w:rFonts w:ascii="Times New Roman" w:hAnsi="Times New Roman" w:cs="Times New Roman"/>
          <w:b/>
          <w:sz w:val="24"/>
          <w:szCs w:val="24"/>
        </w:rPr>
        <w:t>Senaki</w:t>
      </w:r>
      <w:proofErr w:type="spellEnd"/>
      <w:r w:rsidRPr="00D12ABB">
        <w:rPr>
          <w:rFonts w:ascii="Times New Roman" w:hAnsi="Times New Roman" w:cs="Times New Roman"/>
          <w:b/>
          <w:sz w:val="24"/>
          <w:szCs w:val="24"/>
        </w:rPr>
        <w:t xml:space="preserve">) to </w:t>
      </w:r>
      <w:proofErr w:type="spellStart"/>
      <w:r w:rsidRPr="00D12ABB">
        <w:rPr>
          <w:rFonts w:ascii="Times New Roman" w:hAnsi="Times New Roman" w:cs="Times New Roman"/>
          <w:b/>
          <w:i/>
          <w:iCs/>
          <w:sz w:val="24"/>
          <w:szCs w:val="24"/>
        </w:rPr>
        <w:t>P.sansomeana</w:t>
      </w:r>
      <w:proofErr w:type="spellEnd"/>
      <w:r w:rsidRPr="00D12ABB">
        <w:rPr>
          <w:rFonts w:ascii="Times New Roman" w:hAnsi="Times New Roman" w:cs="Times New Roman"/>
          <w:b/>
          <w:sz w:val="24"/>
          <w:szCs w:val="24"/>
        </w:rPr>
        <w:t xml:space="preserve"> isolate </w:t>
      </w:r>
      <w:r w:rsidRPr="00D12ABB">
        <w:rPr>
          <w:rFonts w:ascii="Times New Roman" w:hAnsi="Times New Roman" w:cs="Times New Roman"/>
          <w:b/>
          <w:i/>
          <w:iCs/>
          <w:sz w:val="24"/>
          <w:szCs w:val="24"/>
        </w:rPr>
        <w:t xml:space="preserve">MPS17-22 </w:t>
      </w:r>
      <w:r w:rsidRPr="00D12ABB">
        <w:rPr>
          <w:rFonts w:ascii="Times New Roman" w:hAnsi="Times New Roman" w:cs="Times New Roman"/>
          <w:b/>
          <w:sz w:val="24"/>
          <w:szCs w:val="24"/>
        </w:rPr>
        <w:t>using goodness-of-fit test</w:t>
      </w:r>
    </w:p>
    <w:tbl>
      <w:tblPr>
        <w:tblStyle w:val="TableGrid"/>
        <w:tblW w:w="0" w:type="auto"/>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257"/>
        <w:gridCol w:w="1577"/>
        <w:gridCol w:w="2047"/>
        <w:gridCol w:w="1170"/>
        <w:gridCol w:w="900"/>
      </w:tblGrid>
      <w:tr w:rsidR="00D12ABB" w:rsidRPr="00D12ABB" w14:paraId="1AD3B3B8" w14:textId="77777777" w:rsidTr="00294D77">
        <w:trPr>
          <w:trHeight w:val="648"/>
          <w:jc w:val="center"/>
        </w:trPr>
        <w:tc>
          <w:tcPr>
            <w:tcW w:w="1260" w:type="dxa"/>
            <w:tcBorders>
              <w:top w:val="single" w:sz="18" w:space="0" w:color="auto"/>
              <w:bottom w:val="single" w:sz="12" w:space="0" w:color="auto"/>
            </w:tcBorders>
            <w:vAlign w:val="center"/>
          </w:tcPr>
          <w:p w14:paraId="76656EE8"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F2:3 Populations</w:t>
            </w:r>
          </w:p>
        </w:tc>
        <w:tc>
          <w:tcPr>
            <w:tcW w:w="1170" w:type="dxa"/>
            <w:tcBorders>
              <w:top w:val="single" w:sz="18" w:space="0" w:color="auto"/>
              <w:bottom w:val="single" w:sz="12" w:space="0" w:color="auto"/>
            </w:tcBorders>
            <w:vAlign w:val="center"/>
          </w:tcPr>
          <w:p w14:paraId="2C5CA3B5"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Population size</w:t>
            </w:r>
          </w:p>
        </w:tc>
        <w:tc>
          <w:tcPr>
            <w:tcW w:w="1463" w:type="dxa"/>
            <w:tcBorders>
              <w:top w:val="single" w:sz="18" w:space="0" w:color="auto"/>
              <w:bottom w:val="single" w:sz="12" w:space="0" w:color="auto"/>
            </w:tcBorders>
            <w:vAlign w:val="center"/>
          </w:tcPr>
          <w:p w14:paraId="7901201B"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Observed</w:t>
            </w:r>
          </w:p>
          <w:p w14:paraId="3B39A558"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w:t>
            </w:r>
            <w:proofErr w:type="spellStart"/>
            <w:r w:rsidRPr="00D12ABB">
              <w:rPr>
                <w:rFonts w:ascii="Times New Roman" w:hAnsi="Times New Roman" w:cs="Times New Roman"/>
                <w:bCs/>
                <w:sz w:val="24"/>
                <w:szCs w:val="24"/>
              </w:rPr>
              <w:t>Res:Seg:Sus</w:t>
            </w:r>
            <w:proofErr w:type="spellEnd"/>
            <w:r w:rsidRPr="00D12ABB">
              <w:rPr>
                <w:rFonts w:ascii="Times New Roman" w:hAnsi="Times New Roman" w:cs="Times New Roman"/>
                <w:bCs/>
                <w:sz w:val="24"/>
                <w:szCs w:val="24"/>
              </w:rPr>
              <w:t>)</w:t>
            </w:r>
          </w:p>
        </w:tc>
        <w:tc>
          <w:tcPr>
            <w:tcW w:w="2047" w:type="dxa"/>
            <w:tcBorders>
              <w:top w:val="single" w:sz="18" w:space="0" w:color="auto"/>
              <w:bottom w:val="single" w:sz="12" w:space="0" w:color="auto"/>
            </w:tcBorders>
            <w:vAlign w:val="center"/>
          </w:tcPr>
          <w:p w14:paraId="2D88EC6C"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Expected</w:t>
            </w:r>
          </w:p>
          <w:p w14:paraId="78E2C1B3"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w:t>
            </w:r>
            <w:proofErr w:type="spellStart"/>
            <w:r w:rsidRPr="00D12ABB">
              <w:rPr>
                <w:rFonts w:ascii="Times New Roman" w:hAnsi="Times New Roman" w:cs="Times New Roman"/>
                <w:bCs/>
                <w:sz w:val="24"/>
                <w:szCs w:val="24"/>
              </w:rPr>
              <w:t>Res:Seg:Sus</w:t>
            </w:r>
            <w:proofErr w:type="spellEnd"/>
            <w:r w:rsidRPr="00D12ABB">
              <w:rPr>
                <w:rFonts w:ascii="Times New Roman" w:hAnsi="Times New Roman" w:cs="Times New Roman"/>
                <w:bCs/>
                <w:sz w:val="24"/>
                <w:szCs w:val="24"/>
              </w:rPr>
              <w:t>)</w:t>
            </w:r>
          </w:p>
        </w:tc>
        <w:tc>
          <w:tcPr>
            <w:tcW w:w="1170" w:type="dxa"/>
            <w:tcBorders>
              <w:top w:val="single" w:sz="18" w:space="0" w:color="auto"/>
              <w:bottom w:val="single" w:sz="12" w:space="0" w:color="auto"/>
            </w:tcBorders>
            <w:vAlign w:val="center"/>
          </w:tcPr>
          <w:p w14:paraId="2E2DE165" w14:textId="77777777" w:rsidR="00D12ABB" w:rsidRPr="00D12ABB" w:rsidRDefault="00D12ABB" w:rsidP="00BD1BF0">
            <w:pPr>
              <w:jc w:val="both"/>
              <w:rPr>
                <w:rFonts w:ascii="Times New Roman" w:hAnsi="Times New Roman" w:cs="Times New Roman"/>
                <w:bCs/>
                <w:i/>
                <w:iCs/>
                <w:sz w:val="24"/>
                <w:szCs w:val="24"/>
              </w:rPr>
            </w:pPr>
            <w:r w:rsidRPr="00D12ABB">
              <w:rPr>
                <w:rFonts w:ascii="Times New Roman" w:hAnsi="Times New Roman" w:cs="Times New Roman"/>
                <w:bCs/>
                <w:i/>
                <w:iCs/>
                <w:sz w:val="24"/>
                <w:szCs w:val="24"/>
              </w:rPr>
              <w:t>x</w:t>
            </w:r>
            <w:r w:rsidRPr="00D12ABB">
              <w:rPr>
                <w:rFonts w:ascii="Times New Roman" w:hAnsi="Times New Roman" w:cs="Times New Roman"/>
                <w:bCs/>
                <w:i/>
                <w:iCs/>
                <w:sz w:val="24"/>
                <w:szCs w:val="24"/>
                <w:vertAlign w:val="superscript"/>
              </w:rPr>
              <w:t>2</w:t>
            </w:r>
            <w:r w:rsidRPr="00D12ABB">
              <w:rPr>
                <w:rFonts w:ascii="Times New Roman" w:hAnsi="Times New Roman" w:cs="Times New Roman"/>
                <w:bCs/>
                <w:i/>
                <w:iCs/>
                <w:sz w:val="24"/>
                <w:szCs w:val="24"/>
                <w:vertAlign w:val="subscript"/>
              </w:rPr>
              <w:t>1:2:1</w:t>
            </w:r>
          </w:p>
        </w:tc>
        <w:tc>
          <w:tcPr>
            <w:tcW w:w="900" w:type="dxa"/>
            <w:tcBorders>
              <w:top w:val="single" w:sz="18" w:space="0" w:color="auto"/>
              <w:bottom w:val="single" w:sz="12" w:space="0" w:color="auto"/>
            </w:tcBorders>
            <w:vAlign w:val="center"/>
          </w:tcPr>
          <w:p w14:paraId="312CB2CA"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i/>
                <w:iCs/>
                <w:sz w:val="24"/>
                <w:szCs w:val="24"/>
              </w:rPr>
              <w:t>P</w:t>
            </w:r>
          </w:p>
        </w:tc>
      </w:tr>
      <w:tr w:rsidR="00D12ABB" w:rsidRPr="00D12ABB" w14:paraId="7F556926" w14:textId="77777777" w:rsidTr="00294D77">
        <w:trPr>
          <w:trHeight w:val="330"/>
          <w:jc w:val="center"/>
        </w:trPr>
        <w:tc>
          <w:tcPr>
            <w:tcW w:w="1260" w:type="dxa"/>
            <w:tcBorders>
              <w:top w:val="single" w:sz="12" w:space="0" w:color="auto"/>
            </w:tcBorders>
            <w:vAlign w:val="center"/>
          </w:tcPr>
          <w:p w14:paraId="46A2667F"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CS3</w:t>
            </w:r>
          </w:p>
        </w:tc>
        <w:tc>
          <w:tcPr>
            <w:tcW w:w="1170" w:type="dxa"/>
            <w:tcBorders>
              <w:top w:val="single" w:sz="12" w:space="0" w:color="auto"/>
            </w:tcBorders>
            <w:vAlign w:val="center"/>
          </w:tcPr>
          <w:p w14:paraId="5F42E901"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96</w:t>
            </w:r>
          </w:p>
        </w:tc>
        <w:tc>
          <w:tcPr>
            <w:tcW w:w="1463" w:type="dxa"/>
            <w:tcBorders>
              <w:top w:val="single" w:sz="12" w:space="0" w:color="auto"/>
            </w:tcBorders>
            <w:vAlign w:val="center"/>
          </w:tcPr>
          <w:p w14:paraId="24F1C785"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16:51:29</w:t>
            </w:r>
          </w:p>
        </w:tc>
        <w:tc>
          <w:tcPr>
            <w:tcW w:w="2047" w:type="dxa"/>
            <w:tcBorders>
              <w:top w:val="single" w:sz="12" w:space="0" w:color="auto"/>
            </w:tcBorders>
            <w:vAlign w:val="center"/>
          </w:tcPr>
          <w:p w14:paraId="6A801254"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24:48:24</w:t>
            </w:r>
          </w:p>
        </w:tc>
        <w:tc>
          <w:tcPr>
            <w:tcW w:w="1170" w:type="dxa"/>
            <w:tcBorders>
              <w:top w:val="single" w:sz="12" w:space="0" w:color="auto"/>
            </w:tcBorders>
            <w:vAlign w:val="center"/>
          </w:tcPr>
          <w:p w14:paraId="4E4C18A0"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3.896</w:t>
            </w:r>
          </w:p>
        </w:tc>
        <w:tc>
          <w:tcPr>
            <w:tcW w:w="900" w:type="dxa"/>
            <w:tcBorders>
              <w:top w:val="single" w:sz="12" w:space="0" w:color="auto"/>
            </w:tcBorders>
            <w:vAlign w:val="center"/>
          </w:tcPr>
          <w:p w14:paraId="5859927B"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0.143</w:t>
            </w:r>
          </w:p>
        </w:tc>
      </w:tr>
      <w:tr w:rsidR="00D12ABB" w:rsidRPr="00D12ABB" w14:paraId="65E54B40" w14:textId="77777777" w:rsidTr="00294D77">
        <w:trPr>
          <w:trHeight w:val="360"/>
          <w:jc w:val="center"/>
        </w:trPr>
        <w:tc>
          <w:tcPr>
            <w:tcW w:w="1260" w:type="dxa"/>
            <w:vAlign w:val="center"/>
          </w:tcPr>
          <w:p w14:paraId="0AAFC94C"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CS5</w:t>
            </w:r>
          </w:p>
        </w:tc>
        <w:tc>
          <w:tcPr>
            <w:tcW w:w="1170" w:type="dxa"/>
            <w:vAlign w:val="center"/>
          </w:tcPr>
          <w:p w14:paraId="14CA3111"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107</w:t>
            </w:r>
          </w:p>
        </w:tc>
        <w:tc>
          <w:tcPr>
            <w:tcW w:w="1463" w:type="dxa"/>
            <w:vAlign w:val="center"/>
          </w:tcPr>
          <w:p w14:paraId="2BC92574"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31:56:20</w:t>
            </w:r>
          </w:p>
        </w:tc>
        <w:tc>
          <w:tcPr>
            <w:tcW w:w="2047" w:type="dxa"/>
            <w:vAlign w:val="center"/>
          </w:tcPr>
          <w:p w14:paraId="5EAEA988"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26.75:53.5:26.75</w:t>
            </w:r>
          </w:p>
        </w:tc>
        <w:tc>
          <w:tcPr>
            <w:tcW w:w="1170" w:type="dxa"/>
            <w:vAlign w:val="center"/>
          </w:tcPr>
          <w:p w14:paraId="6DAAB0CD"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2.495</w:t>
            </w:r>
          </w:p>
        </w:tc>
        <w:tc>
          <w:tcPr>
            <w:tcW w:w="900" w:type="dxa"/>
            <w:vAlign w:val="center"/>
          </w:tcPr>
          <w:p w14:paraId="484DA5FA"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0.287</w:t>
            </w:r>
          </w:p>
        </w:tc>
      </w:tr>
      <w:tr w:rsidR="00D12ABB" w:rsidRPr="00D12ABB" w14:paraId="62582D6D" w14:textId="77777777" w:rsidTr="00294D77">
        <w:trPr>
          <w:trHeight w:val="360"/>
          <w:jc w:val="center"/>
        </w:trPr>
        <w:tc>
          <w:tcPr>
            <w:tcW w:w="1260" w:type="dxa"/>
            <w:vAlign w:val="center"/>
          </w:tcPr>
          <w:p w14:paraId="2884B184"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CS6</w:t>
            </w:r>
          </w:p>
        </w:tc>
        <w:tc>
          <w:tcPr>
            <w:tcW w:w="1170" w:type="dxa"/>
            <w:vAlign w:val="center"/>
          </w:tcPr>
          <w:p w14:paraId="059AD193"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31</w:t>
            </w:r>
          </w:p>
        </w:tc>
        <w:tc>
          <w:tcPr>
            <w:tcW w:w="1463" w:type="dxa"/>
            <w:vAlign w:val="center"/>
          </w:tcPr>
          <w:p w14:paraId="1F66A5DB"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11:14:6</w:t>
            </w:r>
          </w:p>
        </w:tc>
        <w:tc>
          <w:tcPr>
            <w:tcW w:w="2047" w:type="dxa"/>
            <w:vAlign w:val="center"/>
          </w:tcPr>
          <w:p w14:paraId="3FF597E7"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7.75:15.5:7.75</w:t>
            </w:r>
          </w:p>
        </w:tc>
        <w:tc>
          <w:tcPr>
            <w:tcW w:w="1170" w:type="dxa"/>
            <w:vAlign w:val="center"/>
          </w:tcPr>
          <w:p w14:paraId="4BD14E7C"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1.903</w:t>
            </w:r>
          </w:p>
        </w:tc>
        <w:tc>
          <w:tcPr>
            <w:tcW w:w="900" w:type="dxa"/>
            <w:vAlign w:val="center"/>
          </w:tcPr>
          <w:p w14:paraId="37BCD585"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0.386</w:t>
            </w:r>
          </w:p>
        </w:tc>
      </w:tr>
      <w:tr w:rsidR="00D12ABB" w:rsidRPr="00D12ABB" w14:paraId="5F9E150A" w14:textId="77777777" w:rsidTr="00294D77">
        <w:trPr>
          <w:trHeight w:val="360"/>
          <w:jc w:val="center"/>
        </w:trPr>
        <w:tc>
          <w:tcPr>
            <w:tcW w:w="1260" w:type="dxa"/>
            <w:vAlign w:val="center"/>
          </w:tcPr>
          <w:p w14:paraId="6BD38DD4"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Combined</w:t>
            </w:r>
          </w:p>
        </w:tc>
        <w:tc>
          <w:tcPr>
            <w:tcW w:w="1170" w:type="dxa"/>
            <w:vAlign w:val="center"/>
          </w:tcPr>
          <w:p w14:paraId="2DF4F90D"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234</w:t>
            </w:r>
          </w:p>
        </w:tc>
        <w:tc>
          <w:tcPr>
            <w:tcW w:w="1463" w:type="dxa"/>
            <w:vAlign w:val="center"/>
          </w:tcPr>
          <w:p w14:paraId="2A032517"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58:121:55</w:t>
            </w:r>
          </w:p>
        </w:tc>
        <w:tc>
          <w:tcPr>
            <w:tcW w:w="2047" w:type="dxa"/>
            <w:vAlign w:val="center"/>
          </w:tcPr>
          <w:p w14:paraId="55B2B421"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58.5:117:58.5</w:t>
            </w:r>
          </w:p>
        </w:tc>
        <w:tc>
          <w:tcPr>
            <w:tcW w:w="1170" w:type="dxa"/>
            <w:vAlign w:val="center"/>
          </w:tcPr>
          <w:p w14:paraId="43B5287C"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0.350</w:t>
            </w:r>
          </w:p>
        </w:tc>
        <w:tc>
          <w:tcPr>
            <w:tcW w:w="900" w:type="dxa"/>
            <w:vAlign w:val="center"/>
          </w:tcPr>
          <w:p w14:paraId="17DEF65D" w14:textId="77777777" w:rsidR="00D12ABB" w:rsidRPr="00D12ABB" w:rsidRDefault="00D12ABB" w:rsidP="00BD1BF0">
            <w:pPr>
              <w:jc w:val="both"/>
              <w:rPr>
                <w:rFonts w:ascii="Times New Roman" w:hAnsi="Times New Roman" w:cs="Times New Roman"/>
                <w:bCs/>
                <w:sz w:val="24"/>
                <w:szCs w:val="24"/>
              </w:rPr>
            </w:pPr>
            <w:r w:rsidRPr="00D12ABB">
              <w:rPr>
                <w:rFonts w:ascii="Times New Roman" w:hAnsi="Times New Roman" w:cs="Times New Roman"/>
                <w:bCs/>
                <w:sz w:val="24"/>
                <w:szCs w:val="24"/>
              </w:rPr>
              <w:t>0.839</w:t>
            </w:r>
          </w:p>
        </w:tc>
      </w:tr>
    </w:tbl>
    <w:p w14:paraId="7DA2CE63" w14:textId="2C66C356" w:rsidR="000415FB" w:rsidRPr="005F067E" w:rsidRDefault="00D12ABB" w:rsidP="00BD1BF0">
      <w:pPr>
        <w:spacing w:after="0" w:line="240" w:lineRule="auto"/>
        <w:jc w:val="both"/>
        <w:rPr>
          <w:rFonts w:ascii="Times New Roman" w:hAnsi="Times New Roman" w:cs="Times New Roman"/>
          <w:bCs/>
          <w:sz w:val="24"/>
          <w:szCs w:val="24"/>
        </w:rPr>
      </w:pPr>
      <w:r w:rsidRPr="00D12ABB">
        <w:rPr>
          <w:rFonts w:ascii="Times New Roman" w:hAnsi="Times New Roman" w:cs="Times New Roman"/>
          <w:bCs/>
          <w:sz w:val="24"/>
          <w:szCs w:val="24"/>
        </w:rPr>
        <w:t>Res: homozygous resistant. Seg: segregation. Sus: susceptible.</w:t>
      </w:r>
    </w:p>
    <w:p w14:paraId="321614AB" w14:textId="77777777" w:rsidR="00AE22A9" w:rsidRDefault="00AE22A9" w:rsidP="00BD1BF0">
      <w:pPr>
        <w:spacing w:after="0" w:line="240" w:lineRule="auto"/>
        <w:jc w:val="both"/>
        <w:rPr>
          <w:rFonts w:ascii="Times New Roman" w:hAnsi="Times New Roman" w:cs="Times New Roman"/>
          <w:b/>
          <w:sz w:val="24"/>
          <w:szCs w:val="24"/>
        </w:rPr>
      </w:pPr>
    </w:p>
    <w:p w14:paraId="710CAD68" w14:textId="5ECB234C" w:rsidR="00E67AC4" w:rsidRPr="005F067E" w:rsidRDefault="00E67AC4" w:rsidP="00BD1BF0">
      <w:pPr>
        <w:spacing w:after="0" w:line="240" w:lineRule="auto"/>
        <w:jc w:val="both"/>
        <w:rPr>
          <w:rFonts w:ascii="Times New Roman" w:hAnsi="Times New Roman" w:cs="Times New Roman"/>
          <w:b/>
          <w:sz w:val="24"/>
          <w:szCs w:val="24"/>
        </w:rPr>
      </w:pPr>
      <w:r w:rsidRPr="005F067E">
        <w:rPr>
          <w:rFonts w:ascii="Times New Roman" w:hAnsi="Times New Roman" w:cs="Times New Roman"/>
          <w:b/>
          <w:sz w:val="24"/>
          <w:szCs w:val="24"/>
        </w:rPr>
        <w:t xml:space="preserve">Linkage analysis of </w:t>
      </w:r>
      <w:r w:rsidRPr="005F067E">
        <w:rPr>
          <w:rFonts w:ascii="Times New Roman" w:hAnsi="Times New Roman" w:cs="Times New Roman"/>
          <w:b/>
          <w:i/>
          <w:iCs/>
          <w:sz w:val="24"/>
          <w:szCs w:val="24"/>
        </w:rPr>
        <w:t>Rpsan1</w:t>
      </w:r>
      <w:r w:rsidRPr="005F067E">
        <w:rPr>
          <w:rFonts w:ascii="Times New Roman" w:hAnsi="Times New Roman" w:cs="Times New Roman"/>
          <w:b/>
          <w:sz w:val="24"/>
          <w:szCs w:val="24"/>
        </w:rPr>
        <w:t xml:space="preserve"> using extreme phenotypes:</w:t>
      </w:r>
    </w:p>
    <w:p w14:paraId="301BE373" w14:textId="5AA22159" w:rsidR="00E67AC4" w:rsidRPr="005F067E" w:rsidRDefault="00F754C1" w:rsidP="00BD1BF0">
      <w:pPr>
        <w:spacing w:after="0" w:line="240" w:lineRule="auto"/>
        <w:jc w:val="both"/>
        <w:rPr>
          <w:rFonts w:ascii="Times New Roman" w:hAnsi="Times New Roman" w:cs="Times New Roman"/>
          <w:bCs/>
          <w:sz w:val="24"/>
          <w:szCs w:val="24"/>
        </w:rPr>
      </w:pPr>
      <w:r w:rsidRPr="00F754C1">
        <w:rPr>
          <w:rFonts w:ascii="Times New Roman" w:hAnsi="Times New Roman" w:cs="Times New Roman"/>
          <w:bCs/>
          <w:sz w:val="24"/>
          <w:szCs w:val="24"/>
        </w:rPr>
        <w:t>Considering that it is more difficult to distinguish the</w:t>
      </w:r>
      <w:r w:rsidRPr="005F067E">
        <w:rPr>
          <w:rFonts w:ascii="Times New Roman" w:hAnsi="Times New Roman" w:cs="Times New Roman"/>
          <w:bCs/>
          <w:sz w:val="24"/>
          <w:szCs w:val="24"/>
        </w:rPr>
        <w:t xml:space="preserve"> </w:t>
      </w:r>
      <w:r w:rsidRPr="00F754C1">
        <w:rPr>
          <w:rFonts w:ascii="Times New Roman" w:hAnsi="Times New Roman" w:cs="Times New Roman"/>
          <w:bCs/>
          <w:sz w:val="24"/>
          <w:szCs w:val="24"/>
        </w:rPr>
        <w:t>homozygous resistant and heterozygous resistant phenotypes, we used the extremely susceptible phenotypes to</w:t>
      </w:r>
      <w:r w:rsidRPr="005F067E">
        <w:rPr>
          <w:rFonts w:ascii="Times New Roman" w:hAnsi="Times New Roman" w:cs="Times New Roman"/>
          <w:bCs/>
          <w:sz w:val="24"/>
          <w:szCs w:val="24"/>
        </w:rPr>
        <w:t xml:space="preserve"> start our linkage analysis. </w:t>
      </w:r>
      <w:r w:rsidRPr="00F754C1">
        <w:rPr>
          <w:rFonts w:ascii="Times New Roman" w:hAnsi="Times New Roman" w:cs="Times New Roman"/>
          <w:bCs/>
          <w:sz w:val="24"/>
          <w:szCs w:val="24"/>
        </w:rPr>
        <w:t>Of the 44 extremely susceptible</w:t>
      </w:r>
      <w:r w:rsidRPr="005F067E">
        <w:rPr>
          <w:rFonts w:ascii="Times New Roman" w:hAnsi="Times New Roman" w:cs="Times New Roman"/>
          <w:bCs/>
          <w:sz w:val="24"/>
          <w:szCs w:val="24"/>
        </w:rPr>
        <w:t xml:space="preserve"> </w:t>
      </w:r>
      <w:r w:rsidRPr="00F754C1">
        <w:rPr>
          <w:rFonts w:ascii="Times New Roman" w:hAnsi="Times New Roman" w:cs="Times New Roman"/>
          <w:bCs/>
          <w:sz w:val="24"/>
          <w:szCs w:val="24"/>
        </w:rPr>
        <w:t>lines, the percentage of ‘</w:t>
      </w:r>
      <w:proofErr w:type="spellStart"/>
      <w:r w:rsidRPr="00F754C1">
        <w:rPr>
          <w:rFonts w:ascii="Times New Roman" w:hAnsi="Times New Roman" w:cs="Times New Roman"/>
          <w:bCs/>
          <w:sz w:val="24"/>
          <w:szCs w:val="24"/>
        </w:rPr>
        <w:t>Senaki</w:t>
      </w:r>
      <w:proofErr w:type="spellEnd"/>
      <w:r w:rsidRPr="00F754C1">
        <w:rPr>
          <w:rFonts w:ascii="Times New Roman" w:hAnsi="Times New Roman" w:cs="Times New Roman"/>
          <w:bCs/>
          <w:sz w:val="24"/>
          <w:szCs w:val="24"/>
        </w:rPr>
        <w:t>’ genotype (represented</w:t>
      </w:r>
      <w:r w:rsidRPr="005F067E">
        <w:rPr>
          <w:rFonts w:ascii="Times New Roman" w:hAnsi="Times New Roman" w:cs="Times New Roman"/>
          <w:bCs/>
          <w:sz w:val="24"/>
          <w:szCs w:val="24"/>
        </w:rPr>
        <w:t xml:space="preserve"> </w:t>
      </w:r>
      <w:r w:rsidRPr="00F754C1">
        <w:rPr>
          <w:rFonts w:ascii="Times New Roman" w:hAnsi="Times New Roman" w:cs="Times New Roman"/>
          <w:bCs/>
          <w:sz w:val="24"/>
          <w:szCs w:val="24"/>
        </w:rPr>
        <w:t>by ‘b’)</w:t>
      </w:r>
      <w:r w:rsidRPr="005F067E">
        <w:rPr>
          <w:rFonts w:ascii="Times New Roman" w:hAnsi="Times New Roman" w:cs="Times New Roman"/>
          <w:bCs/>
          <w:sz w:val="24"/>
          <w:szCs w:val="24"/>
        </w:rPr>
        <w:t xml:space="preserve"> </w:t>
      </w:r>
      <w:r w:rsidRPr="00F754C1">
        <w:rPr>
          <w:rFonts w:ascii="Times New Roman" w:hAnsi="Times New Roman" w:cs="Times New Roman"/>
          <w:bCs/>
          <w:sz w:val="24"/>
          <w:szCs w:val="24"/>
        </w:rPr>
        <w:t>was calculated for all the 1599 polymorphic SNP</w:t>
      </w:r>
      <w:r w:rsidRPr="005F067E">
        <w:rPr>
          <w:rFonts w:ascii="Times New Roman" w:hAnsi="Times New Roman" w:cs="Times New Roman"/>
          <w:bCs/>
          <w:sz w:val="24"/>
          <w:szCs w:val="24"/>
        </w:rPr>
        <w:t xml:space="preserve"> </w:t>
      </w:r>
      <w:r w:rsidRPr="00F754C1">
        <w:rPr>
          <w:rFonts w:ascii="Times New Roman" w:hAnsi="Times New Roman" w:cs="Times New Roman"/>
          <w:bCs/>
          <w:sz w:val="24"/>
          <w:szCs w:val="24"/>
        </w:rPr>
        <w:t>markers across 20 chromosomes (Fig. 1).</w:t>
      </w:r>
      <w:r w:rsidRPr="005F067E">
        <w:rPr>
          <w:rFonts w:ascii="Times New Roman" w:hAnsi="Times New Roman" w:cs="Times New Roman"/>
          <w:bCs/>
          <w:sz w:val="24"/>
          <w:szCs w:val="24"/>
        </w:rPr>
        <w:t xml:space="preserve"> Ideally, if a marker is </w:t>
      </w:r>
      <w:proofErr w:type="spellStart"/>
      <w:r w:rsidRPr="005F067E">
        <w:rPr>
          <w:rFonts w:ascii="Times New Roman" w:hAnsi="Times New Roman" w:cs="Times New Roman"/>
          <w:bCs/>
          <w:sz w:val="24"/>
          <w:szCs w:val="24"/>
        </w:rPr>
        <w:t>cosegregating</w:t>
      </w:r>
      <w:proofErr w:type="spellEnd"/>
      <w:r w:rsidRPr="005F067E">
        <w:rPr>
          <w:rFonts w:ascii="Times New Roman" w:hAnsi="Times New Roman" w:cs="Times New Roman"/>
          <w:bCs/>
          <w:sz w:val="24"/>
          <w:szCs w:val="24"/>
        </w:rPr>
        <w:t xml:space="preserve"> with </w:t>
      </w:r>
      <w:r w:rsidRPr="005F067E">
        <w:rPr>
          <w:rFonts w:ascii="Times New Roman" w:hAnsi="Times New Roman" w:cs="Times New Roman"/>
          <w:bCs/>
          <w:i/>
          <w:iCs/>
          <w:sz w:val="24"/>
          <w:szCs w:val="24"/>
        </w:rPr>
        <w:t>Rpsan1</w:t>
      </w:r>
      <w:r w:rsidRPr="005F067E">
        <w:rPr>
          <w:rFonts w:ascii="Times New Roman" w:hAnsi="Times New Roman" w:cs="Times New Roman"/>
          <w:bCs/>
          <w:sz w:val="24"/>
          <w:szCs w:val="24"/>
        </w:rPr>
        <w:t xml:space="preserve">, all the 44 extremely susceptible lines will be expected to be the ‘b’ genotype. Our results found that the highest percentage of genotype ‘b’ is the marker Gm03_5733321_A_G, with 84% of ‘b’ genotype on chromosome 3. Further investigation of this region uncovered a continuous genomic region of ~ 32 Mb with more than 60% ‘b’ genotypes (Fig. 1) between SNP markers Gm03_2224975_G_A and Gm03_35797299_A_G. Moreover, this region can be validated from the percentage of ‘a’ genotype in the 45 extremely resistant lines, with an average of 41%, compared to the average of 26% across the whole genome (Fig. 1). </w:t>
      </w:r>
      <w:r w:rsidRPr="005F067E">
        <w:rPr>
          <w:rFonts w:ascii="Times New Roman" w:hAnsi="Times New Roman" w:cs="Times New Roman"/>
          <w:bCs/>
          <w:sz w:val="24"/>
          <w:szCs w:val="24"/>
        </w:rPr>
        <w:lastRenderedPageBreak/>
        <w:t xml:space="preserve">Therefore, </w:t>
      </w:r>
      <w:r w:rsidRPr="005F067E">
        <w:rPr>
          <w:rFonts w:ascii="Times New Roman" w:hAnsi="Times New Roman" w:cs="Times New Roman"/>
          <w:bCs/>
          <w:i/>
          <w:iCs/>
          <w:sz w:val="24"/>
          <w:szCs w:val="24"/>
        </w:rPr>
        <w:t xml:space="preserve">Rpsan1 </w:t>
      </w:r>
      <w:r w:rsidRPr="005F067E">
        <w:rPr>
          <w:rFonts w:ascii="Times New Roman" w:hAnsi="Times New Roman" w:cs="Times New Roman"/>
          <w:bCs/>
          <w:sz w:val="24"/>
          <w:szCs w:val="24"/>
        </w:rPr>
        <w:t>is very likely located within the 32 Mb genomic region on soybean chromosome 3 (Table 2).</w:t>
      </w:r>
    </w:p>
    <w:p w14:paraId="08C44386" w14:textId="77777777" w:rsidR="00F754C1" w:rsidRPr="005F067E" w:rsidRDefault="00F754C1" w:rsidP="00BD1BF0">
      <w:pPr>
        <w:spacing w:after="0" w:line="240" w:lineRule="auto"/>
        <w:jc w:val="both"/>
        <w:rPr>
          <w:rFonts w:ascii="Times New Roman" w:hAnsi="Times New Roman" w:cs="Times New Roman"/>
          <w:bCs/>
          <w:sz w:val="24"/>
          <w:szCs w:val="24"/>
        </w:rPr>
      </w:pPr>
    </w:p>
    <w:p w14:paraId="17D0B7FE" w14:textId="230B60BB" w:rsidR="00F754C1" w:rsidRPr="005F067E" w:rsidRDefault="00F754C1" w:rsidP="00BD1BF0">
      <w:pPr>
        <w:spacing w:after="0" w:line="240" w:lineRule="auto"/>
        <w:jc w:val="both"/>
        <w:rPr>
          <w:rFonts w:ascii="Times New Roman" w:hAnsi="Times New Roman" w:cs="Times New Roman"/>
          <w:bCs/>
          <w:sz w:val="24"/>
          <w:szCs w:val="24"/>
        </w:rPr>
      </w:pPr>
      <w:r w:rsidRPr="005F067E">
        <w:rPr>
          <w:rFonts w:ascii="Times New Roman" w:hAnsi="Times New Roman" w:cs="Times New Roman"/>
          <w:noProof/>
          <w:sz w:val="24"/>
          <w:szCs w:val="24"/>
        </w:rPr>
        <w:drawing>
          <wp:inline distT="0" distB="0" distL="0" distR="0" wp14:anchorId="58535FC0" wp14:editId="118D1F98">
            <wp:extent cx="5560789" cy="3217653"/>
            <wp:effectExtent l="0" t="0" r="1905" b="0"/>
            <wp:docPr id="1144507171"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507171" name="Picture 4" descr="A black background with a black squar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8501" cy="3222115"/>
                    </a:xfrm>
                    <a:prstGeom prst="rect">
                      <a:avLst/>
                    </a:prstGeom>
                    <a:noFill/>
                    <a:ln>
                      <a:noFill/>
                    </a:ln>
                  </pic:spPr>
                </pic:pic>
              </a:graphicData>
            </a:graphic>
          </wp:inline>
        </w:drawing>
      </w:r>
      <w:r w:rsidRPr="005F067E">
        <w:rPr>
          <w:rFonts w:ascii="Times New Roman" w:hAnsi="Times New Roman" w:cs="Times New Roman"/>
          <w:b/>
          <w:sz w:val="24"/>
          <w:szCs w:val="24"/>
        </w:rPr>
        <w:t xml:space="preserve"> Figure </w:t>
      </w:r>
      <w:r w:rsidR="00A31226">
        <w:rPr>
          <w:rFonts w:ascii="Times New Roman" w:hAnsi="Times New Roman" w:cs="Times New Roman"/>
          <w:b/>
          <w:sz w:val="24"/>
          <w:szCs w:val="24"/>
        </w:rPr>
        <w:t>1</w:t>
      </w:r>
      <w:r w:rsidRPr="005F067E">
        <w:rPr>
          <w:rFonts w:ascii="Times New Roman" w:hAnsi="Times New Roman" w:cs="Times New Roman"/>
          <w:b/>
          <w:sz w:val="24"/>
          <w:szCs w:val="24"/>
        </w:rPr>
        <w:t>.</w:t>
      </w:r>
      <w:r w:rsidRPr="005F067E">
        <w:rPr>
          <w:rFonts w:ascii="Times New Roman" w:hAnsi="Times New Roman" w:cs="Times New Roman"/>
          <w:bCs/>
          <w:sz w:val="24"/>
          <w:szCs w:val="24"/>
        </w:rPr>
        <w:t xml:space="preserve"> Linkage analysis of the resistance gene </w:t>
      </w:r>
      <w:r w:rsidRPr="005F067E">
        <w:rPr>
          <w:rFonts w:ascii="Times New Roman" w:hAnsi="Times New Roman" w:cs="Times New Roman"/>
          <w:bCs/>
          <w:i/>
          <w:iCs/>
          <w:sz w:val="24"/>
          <w:szCs w:val="24"/>
        </w:rPr>
        <w:t>Rpsan1</w:t>
      </w:r>
      <w:r w:rsidRPr="005F067E">
        <w:rPr>
          <w:rFonts w:ascii="Times New Roman" w:hAnsi="Times New Roman" w:cs="Times New Roman"/>
          <w:bCs/>
          <w:sz w:val="24"/>
          <w:szCs w:val="24"/>
        </w:rPr>
        <w:t xml:space="preserve"> on chromosome 3 using the 89 extreme phenotypes of the F2:3 families derived from ‘Colfax’ × ‘</w:t>
      </w:r>
      <w:proofErr w:type="spellStart"/>
      <w:r w:rsidRPr="005F067E">
        <w:rPr>
          <w:rFonts w:ascii="Times New Roman" w:hAnsi="Times New Roman" w:cs="Times New Roman"/>
          <w:bCs/>
          <w:sz w:val="24"/>
          <w:szCs w:val="24"/>
        </w:rPr>
        <w:t>Senaki</w:t>
      </w:r>
      <w:proofErr w:type="spellEnd"/>
      <w:r w:rsidRPr="005F067E">
        <w:rPr>
          <w:rFonts w:ascii="Times New Roman" w:hAnsi="Times New Roman" w:cs="Times New Roman"/>
          <w:bCs/>
          <w:sz w:val="24"/>
          <w:szCs w:val="24"/>
        </w:rPr>
        <w:t>’. The dotted line indicates the position of left and right end of markers (Gm03_2224975_G_A and Gm03_35797299, respectively) with more than 60% of ‘</w:t>
      </w:r>
      <w:proofErr w:type="spellStart"/>
      <w:r w:rsidRPr="005F067E">
        <w:rPr>
          <w:rFonts w:ascii="Times New Roman" w:hAnsi="Times New Roman" w:cs="Times New Roman"/>
          <w:bCs/>
          <w:sz w:val="24"/>
          <w:szCs w:val="24"/>
        </w:rPr>
        <w:t>Senaki</w:t>
      </w:r>
      <w:proofErr w:type="spellEnd"/>
      <w:r w:rsidRPr="005F067E">
        <w:rPr>
          <w:rFonts w:ascii="Times New Roman" w:hAnsi="Times New Roman" w:cs="Times New Roman"/>
          <w:bCs/>
          <w:sz w:val="24"/>
          <w:szCs w:val="24"/>
        </w:rPr>
        <w:t>’ genotype out of the 44 extremely susceptible F2:3 families.</w:t>
      </w:r>
    </w:p>
    <w:p w14:paraId="595D6D54" w14:textId="77777777" w:rsidR="002E7500" w:rsidRDefault="002E7500" w:rsidP="00BD1BF0">
      <w:pPr>
        <w:spacing w:after="0" w:line="240" w:lineRule="auto"/>
        <w:jc w:val="both"/>
        <w:rPr>
          <w:rFonts w:ascii="Times New Roman" w:hAnsi="Times New Roman" w:cs="Times New Roman"/>
          <w:b/>
          <w:bCs/>
          <w:sz w:val="24"/>
          <w:szCs w:val="24"/>
        </w:rPr>
      </w:pPr>
    </w:p>
    <w:p w14:paraId="00AA7EB8" w14:textId="491F85D1" w:rsidR="0002450D" w:rsidRPr="005F067E" w:rsidRDefault="00CB60D8" w:rsidP="00BD1BF0">
      <w:pPr>
        <w:spacing w:after="0" w:line="240" w:lineRule="auto"/>
        <w:jc w:val="both"/>
        <w:rPr>
          <w:rFonts w:ascii="Times New Roman" w:hAnsi="Times New Roman" w:cs="Times New Roman"/>
          <w:b/>
          <w:bCs/>
          <w:sz w:val="24"/>
          <w:szCs w:val="24"/>
        </w:rPr>
      </w:pPr>
      <w:r w:rsidRPr="005F067E">
        <w:rPr>
          <w:rFonts w:ascii="Times New Roman" w:hAnsi="Times New Roman" w:cs="Times New Roman"/>
          <w:b/>
          <w:bCs/>
          <w:sz w:val="24"/>
          <w:szCs w:val="24"/>
        </w:rPr>
        <w:t>Genetic mapping of Rpsan1 using 234 F2:3 families:</w:t>
      </w:r>
    </w:p>
    <w:p w14:paraId="571BC472" w14:textId="15E3351E" w:rsidR="00CB60D8" w:rsidRPr="005F067E" w:rsidRDefault="00CB60D8" w:rsidP="00BD1BF0">
      <w:pPr>
        <w:spacing w:after="0" w:line="240" w:lineRule="auto"/>
        <w:jc w:val="both"/>
        <w:rPr>
          <w:rFonts w:ascii="Times New Roman" w:hAnsi="Times New Roman" w:cs="Times New Roman"/>
          <w:sz w:val="24"/>
          <w:szCs w:val="24"/>
        </w:rPr>
      </w:pPr>
      <w:r w:rsidRPr="005F067E">
        <w:rPr>
          <w:rFonts w:ascii="Times New Roman" w:hAnsi="Times New Roman" w:cs="Times New Roman"/>
          <w:sz w:val="24"/>
          <w:szCs w:val="24"/>
        </w:rPr>
        <w:t xml:space="preserve">To further delimit the genetic position of </w:t>
      </w:r>
      <w:r w:rsidRPr="005F067E">
        <w:rPr>
          <w:rFonts w:ascii="Times New Roman" w:hAnsi="Times New Roman" w:cs="Times New Roman"/>
          <w:i/>
          <w:iCs/>
          <w:sz w:val="24"/>
          <w:szCs w:val="24"/>
        </w:rPr>
        <w:t>Rpsan1</w:t>
      </w:r>
      <w:r w:rsidRPr="005F067E">
        <w:rPr>
          <w:rFonts w:ascii="Times New Roman" w:hAnsi="Times New Roman" w:cs="Times New Roman"/>
          <w:sz w:val="24"/>
          <w:szCs w:val="24"/>
        </w:rPr>
        <w:t xml:space="preserve">, nine polymorphic SNP markers from the 6 k chip were selected spanning the 32 Mb genomic regions for genetic mapping using all the 234 F2:3 families. The nine markers covered a genetic region of 99.1 </w:t>
      </w:r>
      <w:proofErr w:type="spellStart"/>
      <w:r w:rsidRPr="005F067E">
        <w:rPr>
          <w:rFonts w:ascii="Times New Roman" w:hAnsi="Times New Roman" w:cs="Times New Roman"/>
          <w:sz w:val="24"/>
          <w:szCs w:val="24"/>
        </w:rPr>
        <w:t>cM</w:t>
      </w:r>
      <w:proofErr w:type="spellEnd"/>
      <w:r w:rsidRPr="005F067E">
        <w:rPr>
          <w:rFonts w:ascii="Times New Roman" w:hAnsi="Times New Roman" w:cs="Times New Roman"/>
          <w:sz w:val="24"/>
          <w:szCs w:val="24"/>
        </w:rPr>
        <w:t xml:space="preserve">, and the order of the markers was in good agreement with the Williams82 reference genome on chromosome 3 (MLG N) (Schmutz et al. 2010; Song et al. 2013). </w:t>
      </w:r>
      <w:r w:rsidRPr="005F067E">
        <w:rPr>
          <w:rFonts w:ascii="Times New Roman" w:hAnsi="Times New Roman" w:cs="Times New Roman"/>
          <w:i/>
          <w:iCs/>
          <w:sz w:val="24"/>
          <w:szCs w:val="24"/>
        </w:rPr>
        <w:t xml:space="preserve">Rpsan1 </w:t>
      </w:r>
      <w:r w:rsidRPr="005F067E">
        <w:rPr>
          <w:rFonts w:ascii="Times New Roman" w:hAnsi="Times New Roman" w:cs="Times New Roman"/>
          <w:sz w:val="24"/>
          <w:szCs w:val="24"/>
        </w:rPr>
        <w:t xml:space="preserve">was mapped between Gm03_4487138_A_C and Gm03_5451606_A_C, with a genetic distance of 10.1 </w:t>
      </w:r>
      <w:proofErr w:type="spellStart"/>
      <w:r w:rsidRPr="005F067E">
        <w:rPr>
          <w:rFonts w:ascii="Times New Roman" w:hAnsi="Times New Roman" w:cs="Times New Roman"/>
          <w:sz w:val="24"/>
          <w:szCs w:val="24"/>
        </w:rPr>
        <w:t>cM</w:t>
      </w:r>
      <w:proofErr w:type="spellEnd"/>
      <w:r w:rsidRPr="005F067E">
        <w:rPr>
          <w:rFonts w:ascii="Times New Roman" w:hAnsi="Times New Roman" w:cs="Times New Roman"/>
          <w:sz w:val="24"/>
          <w:szCs w:val="24"/>
        </w:rPr>
        <w:t xml:space="preserve"> and 11.2 </w:t>
      </w:r>
      <w:proofErr w:type="spellStart"/>
      <w:r w:rsidRPr="005F067E">
        <w:rPr>
          <w:rFonts w:ascii="Times New Roman" w:hAnsi="Times New Roman" w:cs="Times New Roman"/>
          <w:sz w:val="24"/>
          <w:szCs w:val="24"/>
        </w:rPr>
        <w:t>cM</w:t>
      </w:r>
      <w:proofErr w:type="spellEnd"/>
      <w:r w:rsidRPr="005F067E">
        <w:rPr>
          <w:rFonts w:ascii="Times New Roman" w:hAnsi="Times New Roman" w:cs="Times New Roman"/>
          <w:sz w:val="24"/>
          <w:szCs w:val="24"/>
        </w:rPr>
        <w:t xml:space="preserve">, respectively (Fig. </w:t>
      </w:r>
      <w:r w:rsidR="00A31226">
        <w:rPr>
          <w:rFonts w:ascii="Times New Roman" w:hAnsi="Times New Roman" w:cs="Times New Roman"/>
          <w:sz w:val="24"/>
          <w:szCs w:val="24"/>
        </w:rPr>
        <w:t>2</w:t>
      </w:r>
      <w:r w:rsidRPr="005F067E">
        <w:rPr>
          <w:rFonts w:ascii="Times New Roman" w:hAnsi="Times New Roman" w:cs="Times New Roman"/>
          <w:sz w:val="24"/>
          <w:szCs w:val="24"/>
        </w:rPr>
        <w:t xml:space="preserve">). The mapped region of </w:t>
      </w:r>
      <w:r w:rsidRPr="005F067E">
        <w:rPr>
          <w:rFonts w:ascii="Times New Roman" w:hAnsi="Times New Roman" w:cs="Times New Roman"/>
          <w:i/>
          <w:iCs/>
          <w:sz w:val="24"/>
          <w:szCs w:val="24"/>
        </w:rPr>
        <w:t xml:space="preserve">Rpsan1 </w:t>
      </w:r>
      <w:r w:rsidRPr="005F067E">
        <w:rPr>
          <w:rFonts w:ascii="Times New Roman" w:hAnsi="Times New Roman" w:cs="Times New Roman"/>
          <w:sz w:val="24"/>
          <w:szCs w:val="24"/>
        </w:rPr>
        <w:t>corresponded to a physical distance of 1.06 Mb on chromosome 3 according to Gmax2.0 assembly, which contains nine NBS-LRR types of genes (</w:t>
      </w:r>
      <w:hyperlink r:id="rId6" w:history="1">
        <w:r w:rsidRPr="005F067E">
          <w:rPr>
            <w:rStyle w:val="Hyperlink"/>
            <w:rFonts w:ascii="Times New Roman" w:hAnsi="Times New Roman" w:cs="Times New Roman"/>
            <w:sz w:val="24"/>
            <w:szCs w:val="24"/>
          </w:rPr>
          <w:t>www.soybase.org</w:t>
        </w:r>
      </w:hyperlink>
      <w:r w:rsidRPr="005F067E">
        <w:rPr>
          <w:rFonts w:ascii="Times New Roman" w:hAnsi="Times New Roman" w:cs="Times New Roman"/>
          <w:sz w:val="24"/>
          <w:szCs w:val="24"/>
        </w:rPr>
        <w:t>).</w:t>
      </w:r>
    </w:p>
    <w:p w14:paraId="5FC35969" w14:textId="08A2392E" w:rsidR="00CB60D8" w:rsidRPr="005F067E" w:rsidRDefault="00CB60D8" w:rsidP="00BD1BF0">
      <w:pPr>
        <w:spacing w:after="0" w:line="240" w:lineRule="auto"/>
        <w:jc w:val="both"/>
        <w:rPr>
          <w:rFonts w:ascii="Times New Roman" w:hAnsi="Times New Roman" w:cs="Times New Roman"/>
          <w:sz w:val="24"/>
          <w:szCs w:val="24"/>
        </w:rPr>
      </w:pPr>
      <w:r w:rsidRPr="005F067E">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52785E0B" wp14:editId="44F2440A">
            <wp:simplePos x="0" y="0"/>
            <wp:positionH relativeFrom="margin">
              <wp:align>right</wp:align>
            </wp:positionH>
            <wp:positionV relativeFrom="paragraph">
              <wp:posOffset>262255</wp:posOffset>
            </wp:positionV>
            <wp:extent cx="5934710" cy="3208020"/>
            <wp:effectExtent l="0" t="0" r="0" b="0"/>
            <wp:wrapTopAndBottom/>
            <wp:docPr id="963174921" name="Picture 5" descr="A black screen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74921" name="Picture 5" descr="A black screen with white lin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710" cy="3208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0D0CA0" w14:textId="76127E21" w:rsidR="00CB60D8" w:rsidRPr="005F067E" w:rsidRDefault="00CB60D8" w:rsidP="00BD1BF0">
      <w:pPr>
        <w:spacing w:after="0" w:line="240" w:lineRule="auto"/>
        <w:jc w:val="both"/>
        <w:rPr>
          <w:rFonts w:ascii="Times New Roman" w:hAnsi="Times New Roman" w:cs="Times New Roman"/>
          <w:bCs/>
          <w:sz w:val="24"/>
          <w:szCs w:val="24"/>
        </w:rPr>
      </w:pPr>
      <w:r w:rsidRPr="005F067E">
        <w:rPr>
          <w:rFonts w:ascii="Times New Roman" w:hAnsi="Times New Roman" w:cs="Times New Roman"/>
          <w:b/>
          <w:sz w:val="24"/>
          <w:szCs w:val="24"/>
        </w:rPr>
        <w:t xml:space="preserve">Figure </w:t>
      </w:r>
      <w:r w:rsidR="00A31226">
        <w:rPr>
          <w:rFonts w:ascii="Times New Roman" w:hAnsi="Times New Roman" w:cs="Times New Roman"/>
          <w:b/>
          <w:sz w:val="24"/>
          <w:szCs w:val="24"/>
        </w:rPr>
        <w:t>2</w:t>
      </w:r>
      <w:r w:rsidRPr="005F067E">
        <w:rPr>
          <w:rFonts w:ascii="Times New Roman" w:hAnsi="Times New Roman" w:cs="Times New Roman"/>
          <w:b/>
          <w:sz w:val="24"/>
          <w:szCs w:val="24"/>
        </w:rPr>
        <w:t>.</w:t>
      </w:r>
      <w:r w:rsidRPr="005F067E">
        <w:rPr>
          <w:rFonts w:ascii="Times New Roman" w:hAnsi="Times New Roman" w:cs="Times New Roman"/>
          <w:bCs/>
          <w:sz w:val="24"/>
          <w:szCs w:val="24"/>
        </w:rPr>
        <w:t xml:space="preserve"> Genetic mapping of </w:t>
      </w:r>
      <w:r w:rsidRPr="005F067E">
        <w:rPr>
          <w:rFonts w:ascii="Times New Roman" w:hAnsi="Times New Roman" w:cs="Times New Roman"/>
          <w:bCs/>
          <w:i/>
          <w:iCs/>
          <w:sz w:val="24"/>
          <w:szCs w:val="24"/>
        </w:rPr>
        <w:t>Rpsan1</w:t>
      </w:r>
      <w:r w:rsidRPr="005F067E">
        <w:rPr>
          <w:rFonts w:ascii="Times New Roman" w:hAnsi="Times New Roman" w:cs="Times New Roman"/>
          <w:bCs/>
          <w:sz w:val="24"/>
          <w:szCs w:val="24"/>
        </w:rPr>
        <w:t xml:space="preserve"> using 9 SNP markers on chromosome 3. Left: genetic position of the 8 SNP markers and the </w:t>
      </w:r>
      <w:r w:rsidRPr="005F067E">
        <w:rPr>
          <w:rFonts w:ascii="Times New Roman" w:hAnsi="Times New Roman" w:cs="Times New Roman"/>
          <w:bCs/>
          <w:i/>
          <w:iCs/>
          <w:sz w:val="24"/>
          <w:szCs w:val="24"/>
        </w:rPr>
        <w:t>Rpsan1</w:t>
      </w:r>
      <w:r w:rsidRPr="005F067E">
        <w:rPr>
          <w:rFonts w:ascii="Times New Roman" w:hAnsi="Times New Roman" w:cs="Times New Roman"/>
          <w:bCs/>
          <w:sz w:val="24"/>
          <w:szCs w:val="24"/>
        </w:rPr>
        <w:t xml:space="preserve"> gene. Right: Physical position (</w:t>
      </w:r>
      <w:r w:rsidRPr="005F067E">
        <w:rPr>
          <w:rFonts w:ascii="Times New Roman" w:hAnsi="Times New Roman" w:cs="Times New Roman"/>
          <w:bCs/>
          <w:i/>
          <w:iCs/>
          <w:sz w:val="24"/>
          <w:szCs w:val="24"/>
        </w:rPr>
        <w:t>Gmax2.0</w:t>
      </w:r>
      <w:r w:rsidRPr="005F067E">
        <w:rPr>
          <w:rFonts w:ascii="Times New Roman" w:hAnsi="Times New Roman" w:cs="Times New Roman"/>
          <w:bCs/>
          <w:sz w:val="24"/>
          <w:szCs w:val="24"/>
        </w:rPr>
        <w:t xml:space="preserve">) of the mapped region of </w:t>
      </w:r>
      <w:r w:rsidRPr="005F067E">
        <w:rPr>
          <w:rFonts w:ascii="Times New Roman" w:hAnsi="Times New Roman" w:cs="Times New Roman"/>
          <w:bCs/>
          <w:i/>
          <w:iCs/>
          <w:sz w:val="24"/>
          <w:szCs w:val="24"/>
        </w:rPr>
        <w:t>Rpsan1.</w:t>
      </w:r>
    </w:p>
    <w:p w14:paraId="32EB014A" w14:textId="77777777" w:rsidR="002E7500" w:rsidRDefault="002E7500" w:rsidP="00BD1BF0">
      <w:pPr>
        <w:spacing w:after="0" w:line="240" w:lineRule="auto"/>
        <w:jc w:val="both"/>
        <w:rPr>
          <w:rFonts w:ascii="Times New Roman" w:hAnsi="Times New Roman" w:cs="Times New Roman"/>
          <w:b/>
          <w:bCs/>
          <w:sz w:val="24"/>
          <w:szCs w:val="24"/>
        </w:rPr>
      </w:pPr>
    </w:p>
    <w:p w14:paraId="14AFF04A" w14:textId="70381783" w:rsidR="00CB60D8" w:rsidRPr="005F067E" w:rsidRDefault="00DF053C" w:rsidP="00BD1BF0">
      <w:pPr>
        <w:spacing w:after="0" w:line="240" w:lineRule="auto"/>
        <w:jc w:val="both"/>
        <w:rPr>
          <w:rFonts w:ascii="Times New Roman" w:hAnsi="Times New Roman" w:cs="Times New Roman"/>
          <w:b/>
          <w:bCs/>
          <w:sz w:val="24"/>
          <w:szCs w:val="24"/>
        </w:rPr>
      </w:pPr>
      <w:r w:rsidRPr="005F067E">
        <w:rPr>
          <w:rFonts w:ascii="Times New Roman" w:hAnsi="Times New Roman" w:cs="Times New Roman"/>
          <w:b/>
          <w:bCs/>
          <w:sz w:val="24"/>
          <w:szCs w:val="24"/>
        </w:rPr>
        <w:t>Validation of the Rpsan1 locus in two breeding populations</w:t>
      </w:r>
    </w:p>
    <w:p w14:paraId="2EDA5867" w14:textId="380F74A4" w:rsidR="00CB60D8" w:rsidRPr="005F067E" w:rsidRDefault="00DF053C" w:rsidP="00BD1BF0">
      <w:pPr>
        <w:spacing w:after="0" w:line="240" w:lineRule="auto"/>
        <w:jc w:val="both"/>
        <w:rPr>
          <w:rFonts w:ascii="Times New Roman" w:hAnsi="Times New Roman" w:cs="Times New Roman"/>
          <w:sz w:val="24"/>
          <w:szCs w:val="24"/>
        </w:rPr>
      </w:pPr>
      <w:r w:rsidRPr="005F067E">
        <w:rPr>
          <w:rFonts w:ascii="Times New Roman" w:hAnsi="Times New Roman" w:cs="Times New Roman"/>
          <w:sz w:val="24"/>
          <w:szCs w:val="24"/>
        </w:rPr>
        <w:t>Two polymorphic markers, Gm03_5808835_C_T and Gm03_8205334_A_G, were identified and used for POP200032, from which 19 homozygous resistant (</w:t>
      </w:r>
      <w:r w:rsidRPr="005F067E">
        <w:rPr>
          <w:rFonts w:ascii="Times New Roman" w:hAnsi="Times New Roman" w:cs="Times New Roman"/>
          <w:i/>
          <w:iCs/>
          <w:sz w:val="24"/>
          <w:szCs w:val="24"/>
        </w:rPr>
        <w:t>Rpsan1</w:t>
      </w:r>
      <w:r w:rsidRPr="005F067E">
        <w:rPr>
          <w:rFonts w:ascii="Times New Roman" w:hAnsi="Times New Roman" w:cs="Times New Roman"/>
          <w:sz w:val="24"/>
          <w:szCs w:val="24"/>
        </w:rPr>
        <w:t>/</w:t>
      </w:r>
      <w:r w:rsidRPr="005F067E">
        <w:rPr>
          <w:rFonts w:ascii="Times New Roman" w:hAnsi="Times New Roman" w:cs="Times New Roman"/>
          <w:i/>
          <w:iCs/>
          <w:sz w:val="24"/>
          <w:szCs w:val="24"/>
        </w:rPr>
        <w:t>Rpsan1</w:t>
      </w:r>
      <w:r w:rsidRPr="005F067E">
        <w:rPr>
          <w:rFonts w:ascii="Times New Roman" w:hAnsi="Times New Roman" w:cs="Times New Roman"/>
          <w:sz w:val="24"/>
          <w:szCs w:val="24"/>
        </w:rPr>
        <w:t>) genotypes (R1 group) and 19 homozygous susceptible (</w:t>
      </w:r>
      <w:r w:rsidRPr="005F067E">
        <w:rPr>
          <w:rFonts w:ascii="Times New Roman" w:hAnsi="Times New Roman" w:cs="Times New Roman"/>
          <w:i/>
          <w:iCs/>
          <w:sz w:val="24"/>
          <w:szCs w:val="24"/>
        </w:rPr>
        <w:t>rpsan1</w:t>
      </w:r>
      <w:r w:rsidRPr="005F067E">
        <w:rPr>
          <w:rFonts w:ascii="Times New Roman" w:hAnsi="Times New Roman" w:cs="Times New Roman"/>
          <w:sz w:val="24"/>
          <w:szCs w:val="24"/>
        </w:rPr>
        <w:t>/</w:t>
      </w:r>
      <w:r w:rsidRPr="005F067E">
        <w:rPr>
          <w:rFonts w:ascii="Times New Roman" w:hAnsi="Times New Roman" w:cs="Times New Roman"/>
          <w:i/>
          <w:iCs/>
          <w:sz w:val="24"/>
          <w:szCs w:val="24"/>
        </w:rPr>
        <w:t>rpsan1</w:t>
      </w:r>
      <w:r w:rsidRPr="005F067E">
        <w:rPr>
          <w:rFonts w:ascii="Times New Roman" w:hAnsi="Times New Roman" w:cs="Times New Roman"/>
          <w:sz w:val="24"/>
          <w:szCs w:val="24"/>
        </w:rPr>
        <w:t>) genotypes (S1 group) were identified. Gm03_4487138_A_C and Gm03_5808835_C_T were found polymorphic between E16077 and Colfax and were therefore used for POP200040. Using the two markers, 16 F2:3 families were identified as ‘</w:t>
      </w:r>
      <w:r w:rsidRPr="005F067E">
        <w:rPr>
          <w:rFonts w:ascii="Times New Roman" w:hAnsi="Times New Roman" w:cs="Times New Roman"/>
          <w:i/>
          <w:iCs/>
          <w:sz w:val="24"/>
          <w:szCs w:val="24"/>
        </w:rPr>
        <w:t>Rpsan1</w:t>
      </w:r>
      <w:r w:rsidRPr="005F067E">
        <w:rPr>
          <w:rFonts w:ascii="Times New Roman" w:hAnsi="Times New Roman" w:cs="Times New Roman"/>
          <w:sz w:val="24"/>
          <w:szCs w:val="24"/>
        </w:rPr>
        <w:t>/</w:t>
      </w:r>
      <w:r w:rsidRPr="005F067E">
        <w:rPr>
          <w:rFonts w:ascii="Times New Roman" w:hAnsi="Times New Roman" w:cs="Times New Roman"/>
          <w:i/>
          <w:iCs/>
          <w:sz w:val="24"/>
          <w:szCs w:val="24"/>
        </w:rPr>
        <w:t>Rpsan1’</w:t>
      </w:r>
      <w:r w:rsidRPr="005F067E">
        <w:rPr>
          <w:rFonts w:ascii="Times New Roman" w:hAnsi="Times New Roman" w:cs="Times New Roman"/>
          <w:color w:val="000000"/>
          <w:sz w:val="24"/>
          <w:szCs w:val="24"/>
        </w:rPr>
        <w:t xml:space="preserve"> </w:t>
      </w:r>
      <w:r w:rsidRPr="005F067E">
        <w:rPr>
          <w:rFonts w:ascii="Times New Roman" w:hAnsi="Times New Roman" w:cs="Times New Roman"/>
          <w:sz w:val="24"/>
          <w:szCs w:val="24"/>
        </w:rPr>
        <w:t xml:space="preserve">genotypes (R2 group), and 21 F2:3 families were identified as ‘rpsan1/rpsan1 genotypes (S2 group) in POP200040. All the selected lines were inoculated with </w:t>
      </w:r>
      <w:r w:rsidRPr="005F067E">
        <w:rPr>
          <w:rFonts w:ascii="Times New Roman" w:hAnsi="Times New Roman" w:cs="Times New Roman"/>
          <w:i/>
          <w:iCs/>
          <w:sz w:val="24"/>
          <w:szCs w:val="24"/>
        </w:rPr>
        <w:t>P. sansomeana</w:t>
      </w:r>
      <w:r w:rsidRPr="005F067E">
        <w:rPr>
          <w:rFonts w:ascii="Times New Roman" w:hAnsi="Times New Roman" w:cs="Times New Roman"/>
          <w:sz w:val="24"/>
          <w:szCs w:val="24"/>
        </w:rPr>
        <w:t xml:space="preserve"> isolate MPS17-22. As expected, the average ratio of resistant progenies in the R1 group is 0.685, which is close to that of Colfax (0.734), but significantly higher than that of the S1 group (0.132) and E12076T-03 (0.067) (Fig. </w:t>
      </w:r>
      <w:r w:rsidR="00A31226">
        <w:rPr>
          <w:rFonts w:ascii="Times New Roman" w:hAnsi="Times New Roman" w:cs="Times New Roman"/>
          <w:sz w:val="24"/>
          <w:szCs w:val="24"/>
        </w:rPr>
        <w:t>3</w:t>
      </w:r>
      <w:r w:rsidRPr="005F067E">
        <w:rPr>
          <w:rFonts w:ascii="Times New Roman" w:hAnsi="Times New Roman" w:cs="Times New Roman"/>
          <w:sz w:val="24"/>
          <w:szCs w:val="24"/>
        </w:rPr>
        <w:t xml:space="preserve">a). For 200040, the average ratio of resistant progenies in the R2 group is 0.714, which is significantly higher than that of the S2 (0.193) and E16077 (0.000) (Fig. </w:t>
      </w:r>
      <w:r w:rsidR="00A31226">
        <w:rPr>
          <w:rFonts w:ascii="Times New Roman" w:hAnsi="Times New Roman" w:cs="Times New Roman"/>
          <w:sz w:val="24"/>
          <w:szCs w:val="24"/>
        </w:rPr>
        <w:t>3</w:t>
      </w:r>
      <w:r w:rsidRPr="005F067E">
        <w:rPr>
          <w:rFonts w:ascii="Times New Roman" w:hAnsi="Times New Roman" w:cs="Times New Roman"/>
          <w:sz w:val="24"/>
          <w:szCs w:val="24"/>
        </w:rPr>
        <w:t>b). Therefore, the testing results from POP200032 and POP200040 confirmed that the markers are tightly linked with the Rpsan1 locus.</w:t>
      </w:r>
    </w:p>
    <w:p w14:paraId="399E1D35" w14:textId="7FE8992F" w:rsidR="00CB60D8" w:rsidRDefault="005F067E" w:rsidP="00BD1BF0">
      <w:pPr>
        <w:spacing w:after="0" w:line="240" w:lineRule="auto"/>
        <w:jc w:val="both"/>
        <w:rPr>
          <w:rFonts w:ascii="Times New Roman" w:hAnsi="Times New Roman" w:cs="Times New Roman"/>
          <w:bCs/>
          <w:sz w:val="24"/>
          <w:szCs w:val="24"/>
        </w:rPr>
      </w:pPr>
      <w:r w:rsidRPr="005F067E">
        <w:rPr>
          <w:rFonts w:ascii="Times New Roman" w:hAnsi="Times New Roman" w:cs="Times New Roman"/>
          <w:noProof/>
          <w:sz w:val="24"/>
          <w:szCs w:val="24"/>
        </w:rPr>
        <w:lastRenderedPageBreak/>
        <w:drawing>
          <wp:inline distT="0" distB="0" distL="0" distR="0" wp14:anchorId="23F661F7" wp14:editId="6F6E2095">
            <wp:extent cx="5943600" cy="2341245"/>
            <wp:effectExtent l="0" t="0" r="0" b="0"/>
            <wp:docPr id="1547646943" name="Picture 2"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646943" name="Picture 2" descr="A black screen with white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341245"/>
                    </a:xfrm>
                    <a:prstGeom prst="rect">
                      <a:avLst/>
                    </a:prstGeom>
                    <a:noFill/>
                    <a:ln>
                      <a:noFill/>
                    </a:ln>
                  </pic:spPr>
                </pic:pic>
              </a:graphicData>
            </a:graphic>
          </wp:inline>
        </w:drawing>
      </w:r>
      <w:r w:rsidRPr="005F067E">
        <w:rPr>
          <w:rFonts w:ascii="Times New Roman" w:hAnsi="Times New Roman" w:cs="Times New Roman"/>
          <w:b/>
          <w:sz w:val="24"/>
          <w:szCs w:val="24"/>
        </w:rPr>
        <w:t xml:space="preserve">Figure </w:t>
      </w:r>
      <w:r w:rsidR="00A31226">
        <w:rPr>
          <w:rFonts w:ascii="Times New Roman" w:hAnsi="Times New Roman" w:cs="Times New Roman"/>
          <w:b/>
          <w:sz w:val="24"/>
          <w:szCs w:val="24"/>
        </w:rPr>
        <w:t>3</w:t>
      </w:r>
      <w:r w:rsidRPr="005F067E">
        <w:rPr>
          <w:rFonts w:ascii="Times New Roman" w:hAnsi="Times New Roman" w:cs="Times New Roman"/>
          <w:b/>
          <w:sz w:val="24"/>
          <w:szCs w:val="24"/>
        </w:rPr>
        <w:t>.</w:t>
      </w:r>
      <w:r w:rsidRPr="005F067E">
        <w:rPr>
          <w:rFonts w:ascii="Times New Roman" w:hAnsi="Times New Roman" w:cs="Times New Roman"/>
          <w:bCs/>
          <w:sz w:val="24"/>
          <w:szCs w:val="24"/>
        </w:rPr>
        <w:t xml:space="preserve"> Validation of the </w:t>
      </w:r>
      <w:r w:rsidRPr="005F067E">
        <w:rPr>
          <w:rFonts w:ascii="Times New Roman" w:hAnsi="Times New Roman" w:cs="Times New Roman"/>
          <w:bCs/>
          <w:i/>
          <w:iCs/>
          <w:sz w:val="24"/>
          <w:szCs w:val="24"/>
        </w:rPr>
        <w:t>Rpsan1</w:t>
      </w:r>
      <w:r w:rsidRPr="005F067E">
        <w:rPr>
          <w:rFonts w:ascii="Times New Roman" w:hAnsi="Times New Roman" w:cs="Times New Roman"/>
          <w:bCs/>
          <w:sz w:val="24"/>
          <w:szCs w:val="24"/>
        </w:rPr>
        <w:t xml:space="preserve"> locus using two breeding populations POP200032 (A), derived from E12076T-03 × Colfax, and POP200040 (B), derived from E16077 × Colfax. For POP200032, 19 F2:3 families were identified as ‘</w:t>
      </w:r>
      <w:r w:rsidRPr="005F067E">
        <w:rPr>
          <w:rFonts w:ascii="Times New Roman" w:hAnsi="Times New Roman" w:cs="Times New Roman"/>
          <w:bCs/>
          <w:i/>
          <w:iCs/>
          <w:sz w:val="24"/>
          <w:szCs w:val="24"/>
        </w:rPr>
        <w:t>Rpsan1</w:t>
      </w:r>
      <w:r w:rsidRPr="005F067E">
        <w:rPr>
          <w:rFonts w:ascii="Times New Roman" w:hAnsi="Times New Roman" w:cs="Times New Roman"/>
          <w:bCs/>
          <w:sz w:val="24"/>
          <w:szCs w:val="24"/>
        </w:rPr>
        <w:t>/</w:t>
      </w:r>
      <w:r w:rsidRPr="005F067E">
        <w:rPr>
          <w:rFonts w:ascii="Times New Roman" w:hAnsi="Times New Roman" w:cs="Times New Roman"/>
          <w:bCs/>
          <w:i/>
          <w:iCs/>
          <w:sz w:val="24"/>
          <w:szCs w:val="24"/>
        </w:rPr>
        <w:t>Rpsan1’</w:t>
      </w:r>
      <w:r w:rsidRPr="005F067E">
        <w:rPr>
          <w:rFonts w:ascii="Times New Roman" w:hAnsi="Times New Roman" w:cs="Times New Roman"/>
          <w:bCs/>
          <w:sz w:val="24"/>
          <w:szCs w:val="24"/>
        </w:rPr>
        <w:t xml:space="preserve"> genotypes (R group) and 19 F2:3 families were identified as ‘</w:t>
      </w:r>
      <w:r w:rsidRPr="005F067E">
        <w:rPr>
          <w:rFonts w:ascii="Times New Roman" w:hAnsi="Times New Roman" w:cs="Times New Roman"/>
          <w:bCs/>
          <w:i/>
          <w:iCs/>
          <w:sz w:val="24"/>
          <w:szCs w:val="24"/>
        </w:rPr>
        <w:t>rpsan1</w:t>
      </w:r>
      <w:r w:rsidRPr="005F067E">
        <w:rPr>
          <w:rFonts w:ascii="Times New Roman" w:hAnsi="Times New Roman" w:cs="Times New Roman"/>
          <w:bCs/>
          <w:sz w:val="24"/>
          <w:szCs w:val="24"/>
        </w:rPr>
        <w:t>/</w:t>
      </w:r>
      <w:r w:rsidRPr="005F067E">
        <w:rPr>
          <w:rFonts w:ascii="Times New Roman" w:hAnsi="Times New Roman" w:cs="Times New Roman"/>
          <w:bCs/>
          <w:i/>
          <w:iCs/>
          <w:sz w:val="24"/>
          <w:szCs w:val="24"/>
        </w:rPr>
        <w:t>rpsan1</w:t>
      </w:r>
      <w:r w:rsidRPr="005F067E">
        <w:rPr>
          <w:rFonts w:ascii="Times New Roman" w:hAnsi="Times New Roman" w:cs="Times New Roman"/>
          <w:bCs/>
          <w:sz w:val="24"/>
          <w:szCs w:val="24"/>
        </w:rPr>
        <w:t xml:space="preserve"> genotypes (S group) using Gm03_5808835_C_T and Gm03_8205334_A_G. For POP200040, 16 F2:3 families were identified as ‘</w:t>
      </w:r>
      <w:r w:rsidRPr="005F067E">
        <w:rPr>
          <w:rFonts w:ascii="Times New Roman" w:hAnsi="Times New Roman" w:cs="Times New Roman"/>
          <w:bCs/>
          <w:i/>
          <w:iCs/>
          <w:sz w:val="24"/>
          <w:szCs w:val="24"/>
        </w:rPr>
        <w:t>Rpsan1</w:t>
      </w:r>
      <w:r w:rsidRPr="005F067E">
        <w:rPr>
          <w:rFonts w:ascii="Times New Roman" w:hAnsi="Times New Roman" w:cs="Times New Roman"/>
          <w:bCs/>
          <w:sz w:val="24"/>
          <w:szCs w:val="24"/>
        </w:rPr>
        <w:t>/</w:t>
      </w:r>
      <w:r w:rsidRPr="005F067E">
        <w:rPr>
          <w:rFonts w:ascii="Times New Roman" w:hAnsi="Times New Roman" w:cs="Times New Roman"/>
          <w:bCs/>
          <w:i/>
          <w:iCs/>
          <w:sz w:val="24"/>
          <w:szCs w:val="24"/>
        </w:rPr>
        <w:t>Rpsan1’</w:t>
      </w:r>
      <w:r w:rsidRPr="005F067E">
        <w:rPr>
          <w:rFonts w:ascii="Times New Roman" w:hAnsi="Times New Roman" w:cs="Times New Roman"/>
          <w:bCs/>
          <w:sz w:val="24"/>
          <w:szCs w:val="24"/>
        </w:rPr>
        <w:t xml:space="preserve"> genotypes (R group) and 21 F2:3 families were identified as ‘</w:t>
      </w:r>
      <w:r w:rsidRPr="005F067E">
        <w:rPr>
          <w:rFonts w:ascii="Times New Roman" w:hAnsi="Times New Roman" w:cs="Times New Roman"/>
          <w:bCs/>
          <w:i/>
          <w:iCs/>
          <w:sz w:val="24"/>
          <w:szCs w:val="24"/>
        </w:rPr>
        <w:t>rpsan1</w:t>
      </w:r>
      <w:r w:rsidRPr="005F067E">
        <w:rPr>
          <w:rFonts w:ascii="Times New Roman" w:hAnsi="Times New Roman" w:cs="Times New Roman"/>
          <w:bCs/>
          <w:sz w:val="24"/>
          <w:szCs w:val="24"/>
        </w:rPr>
        <w:t>/</w:t>
      </w:r>
      <w:r w:rsidRPr="005F067E">
        <w:rPr>
          <w:rFonts w:ascii="Times New Roman" w:hAnsi="Times New Roman" w:cs="Times New Roman"/>
          <w:bCs/>
          <w:i/>
          <w:iCs/>
          <w:sz w:val="24"/>
          <w:szCs w:val="24"/>
        </w:rPr>
        <w:t>rpsan1</w:t>
      </w:r>
      <w:r w:rsidRPr="005F067E">
        <w:rPr>
          <w:rFonts w:ascii="Times New Roman" w:hAnsi="Times New Roman" w:cs="Times New Roman"/>
          <w:bCs/>
          <w:sz w:val="24"/>
          <w:szCs w:val="24"/>
        </w:rPr>
        <w:t xml:space="preserve"> genotypes (S group) using Gm03_4487138_A_C and Gm03_5808835_C_T. </w:t>
      </w:r>
      <w:r w:rsidRPr="005F067E">
        <w:rPr>
          <w:rFonts w:ascii="Times New Roman" w:hAnsi="Times New Roman" w:cs="Times New Roman"/>
          <w:b/>
          <w:sz w:val="24"/>
          <w:szCs w:val="24"/>
        </w:rPr>
        <w:t>A</w:t>
      </w:r>
      <w:r w:rsidRPr="005F067E">
        <w:rPr>
          <w:rFonts w:ascii="Times New Roman" w:hAnsi="Times New Roman" w:cs="Times New Roman"/>
          <w:bCs/>
          <w:sz w:val="24"/>
          <w:szCs w:val="24"/>
        </w:rPr>
        <w:t xml:space="preserve">: One-Way ANOVA test for the ratio of resistant progenies against </w:t>
      </w:r>
      <w:r w:rsidRPr="005F067E">
        <w:rPr>
          <w:rFonts w:ascii="Times New Roman" w:hAnsi="Times New Roman" w:cs="Times New Roman"/>
          <w:bCs/>
          <w:i/>
          <w:iCs/>
          <w:sz w:val="24"/>
          <w:szCs w:val="24"/>
        </w:rPr>
        <w:t>P. sansomeana</w:t>
      </w:r>
      <w:r w:rsidRPr="005F067E">
        <w:rPr>
          <w:rFonts w:ascii="Times New Roman" w:hAnsi="Times New Roman" w:cs="Times New Roman"/>
          <w:bCs/>
          <w:sz w:val="24"/>
          <w:szCs w:val="24"/>
        </w:rPr>
        <w:t xml:space="preserve"> isolate </w:t>
      </w:r>
      <w:r w:rsidRPr="005F067E">
        <w:rPr>
          <w:rFonts w:ascii="Times New Roman" w:hAnsi="Times New Roman" w:cs="Times New Roman"/>
          <w:bCs/>
          <w:i/>
          <w:iCs/>
          <w:sz w:val="24"/>
          <w:szCs w:val="24"/>
        </w:rPr>
        <w:t>MPS17-22</w:t>
      </w:r>
      <w:r w:rsidRPr="005F067E">
        <w:rPr>
          <w:rFonts w:ascii="Times New Roman" w:hAnsi="Times New Roman" w:cs="Times New Roman"/>
          <w:bCs/>
          <w:sz w:val="24"/>
          <w:szCs w:val="24"/>
        </w:rPr>
        <w:t xml:space="preserve"> in POP200032, different letters indicate </w:t>
      </w:r>
      <w:r w:rsidR="009B69C4">
        <w:rPr>
          <w:rFonts w:ascii="Times New Roman" w:hAnsi="Times New Roman" w:cs="Times New Roman"/>
          <w:bCs/>
          <w:sz w:val="24"/>
          <w:szCs w:val="24"/>
        </w:rPr>
        <w:t xml:space="preserve">a </w:t>
      </w:r>
      <w:r w:rsidRPr="005F067E">
        <w:rPr>
          <w:rFonts w:ascii="Times New Roman" w:hAnsi="Times New Roman" w:cs="Times New Roman"/>
          <w:bCs/>
          <w:sz w:val="24"/>
          <w:szCs w:val="24"/>
        </w:rPr>
        <w:t xml:space="preserve">significant difference between groups at 0.05 level. </w:t>
      </w:r>
      <w:r w:rsidRPr="005F067E">
        <w:rPr>
          <w:rFonts w:ascii="Times New Roman" w:hAnsi="Times New Roman" w:cs="Times New Roman"/>
          <w:b/>
          <w:sz w:val="24"/>
          <w:szCs w:val="24"/>
        </w:rPr>
        <w:t>B</w:t>
      </w:r>
      <w:r w:rsidRPr="005F067E">
        <w:rPr>
          <w:rFonts w:ascii="Times New Roman" w:hAnsi="Times New Roman" w:cs="Times New Roman"/>
          <w:bCs/>
          <w:sz w:val="24"/>
          <w:szCs w:val="24"/>
        </w:rPr>
        <w:t xml:space="preserve">: One-Way ANOVA test for the ratio of resistant progenies against </w:t>
      </w:r>
      <w:r w:rsidRPr="005F067E">
        <w:rPr>
          <w:rFonts w:ascii="Times New Roman" w:hAnsi="Times New Roman" w:cs="Times New Roman"/>
          <w:bCs/>
          <w:i/>
          <w:iCs/>
          <w:sz w:val="24"/>
          <w:szCs w:val="24"/>
        </w:rPr>
        <w:t>P. sansomeana</w:t>
      </w:r>
      <w:r w:rsidRPr="005F067E">
        <w:rPr>
          <w:rFonts w:ascii="Times New Roman" w:hAnsi="Times New Roman" w:cs="Times New Roman"/>
          <w:bCs/>
          <w:sz w:val="24"/>
          <w:szCs w:val="24"/>
        </w:rPr>
        <w:t xml:space="preserve"> isolate </w:t>
      </w:r>
      <w:r w:rsidRPr="005F067E">
        <w:rPr>
          <w:rFonts w:ascii="Times New Roman" w:hAnsi="Times New Roman" w:cs="Times New Roman"/>
          <w:bCs/>
          <w:i/>
          <w:iCs/>
          <w:sz w:val="24"/>
          <w:szCs w:val="24"/>
        </w:rPr>
        <w:t>MPS17-22</w:t>
      </w:r>
      <w:r w:rsidRPr="005F067E">
        <w:rPr>
          <w:rFonts w:ascii="Times New Roman" w:hAnsi="Times New Roman" w:cs="Times New Roman"/>
          <w:bCs/>
          <w:sz w:val="24"/>
          <w:szCs w:val="24"/>
        </w:rPr>
        <w:t xml:space="preserve"> in POP200040, different letters indicate </w:t>
      </w:r>
      <w:r w:rsidR="009B69C4">
        <w:rPr>
          <w:rFonts w:ascii="Times New Roman" w:hAnsi="Times New Roman" w:cs="Times New Roman"/>
          <w:bCs/>
          <w:sz w:val="24"/>
          <w:szCs w:val="24"/>
        </w:rPr>
        <w:t xml:space="preserve">a </w:t>
      </w:r>
      <w:r w:rsidRPr="005F067E">
        <w:rPr>
          <w:rFonts w:ascii="Times New Roman" w:hAnsi="Times New Roman" w:cs="Times New Roman"/>
          <w:bCs/>
          <w:sz w:val="24"/>
          <w:szCs w:val="24"/>
        </w:rPr>
        <w:t>significant difference between groups at 0.05 level</w:t>
      </w:r>
      <w:r w:rsidR="009B69C4">
        <w:rPr>
          <w:rFonts w:ascii="Times New Roman" w:hAnsi="Times New Roman" w:cs="Times New Roman"/>
          <w:bCs/>
          <w:sz w:val="24"/>
          <w:szCs w:val="24"/>
        </w:rPr>
        <w:t>.</w:t>
      </w:r>
    </w:p>
    <w:p w14:paraId="336F2FDC" w14:textId="31C7FBF0" w:rsidR="009C0670" w:rsidRDefault="009C0670" w:rsidP="00BD1BF0">
      <w:pPr>
        <w:spacing w:after="0" w:line="240" w:lineRule="auto"/>
        <w:jc w:val="both"/>
        <w:rPr>
          <w:rFonts w:ascii="Times New Roman" w:hAnsi="Times New Roman" w:cs="Times New Roman"/>
          <w:bCs/>
          <w:sz w:val="24"/>
          <w:szCs w:val="24"/>
        </w:rPr>
      </w:pPr>
    </w:p>
    <w:p w14:paraId="387AA4C9" w14:textId="4DAD721B" w:rsidR="0045138B" w:rsidRPr="0045138B" w:rsidRDefault="0045138B" w:rsidP="00BD1BF0">
      <w:pPr>
        <w:spacing w:after="0" w:line="240" w:lineRule="auto"/>
        <w:jc w:val="both"/>
        <w:rPr>
          <w:rFonts w:ascii="Times New Roman" w:hAnsi="Times New Roman" w:cs="Times New Roman"/>
          <w:b/>
          <w:sz w:val="24"/>
          <w:szCs w:val="24"/>
        </w:rPr>
      </w:pPr>
      <w:r w:rsidRPr="0045138B">
        <w:rPr>
          <w:rFonts w:ascii="Times New Roman" w:hAnsi="Times New Roman" w:cs="Times New Roman"/>
          <w:b/>
          <w:sz w:val="24"/>
          <w:szCs w:val="24"/>
        </w:rPr>
        <w:t>References:</w:t>
      </w:r>
    </w:p>
    <w:p w14:paraId="29FCB14D" w14:textId="77777777" w:rsidR="00870790" w:rsidRPr="00314A27" w:rsidRDefault="00870790" w:rsidP="00BD1BF0">
      <w:pPr>
        <w:spacing w:after="0" w:line="240" w:lineRule="auto"/>
        <w:jc w:val="both"/>
        <w:rPr>
          <w:rFonts w:ascii="Times New Roman" w:hAnsi="Times New Roman" w:cs="Times New Roman"/>
          <w:bCs/>
          <w:sz w:val="24"/>
          <w:szCs w:val="24"/>
        </w:rPr>
      </w:pPr>
      <w:r w:rsidRPr="00314A27">
        <w:rPr>
          <w:rFonts w:ascii="Times New Roman" w:hAnsi="Times New Roman" w:cs="Times New Roman"/>
          <w:bCs/>
          <w:sz w:val="24"/>
          <w:szCs w:val="24"/>
        </w:rPr>
        <w:t xml:space="preserve">Dorrance AE (2018) Management of </w:t>
      </w:r>
      <w:r w:rsidRPr="00314A27">
        <w:rPr>
          <w:rFonts w:ascii="Times New Roman" w:hAnsi="Times New Roman" w:cs="Times New Roman"/>
          <w:bCs/>
          <w:i/>
          <w:iCs/>
          <w:sz w:val="24"/>
          <w:szCs w:val="24"/>
        </w:rPr>
        <w:t xml:space="preserve">Phytophthora </w:t>
      </w:r>
      <w:proofErr w:type="spellStart"/>
      <w:r w:rsidRPr="00314A27">
        <w:rPr>
          <w:rFonts w:ascii="Times New Roman" w:hAnsi="Times New Roman" w:cs="Times New Roman"/>
          <w:bCs/>
          <w:i/>
          <w:iCs/>
          <w:sz w:val="24"/>
          <w:szCs w:val="24"/>
        </w:rPr>
        <w:t>sojae</w:t>
      </w:r>
      <w:proofErr w:type="spellEnd"/>
      <w:r w:rsidRPr="00314A27">
        <w:rPr>
          <w:rFonts w:ascii="Times New Roman" w:hAnsi="Times New Roman" w:cs="Times New Roman"/>
          <w:bCs/>
          <w:i/>
          <w:iCs/>
          <w:sz w:val="24"/>
          <w:szCs w:val="24"/>
        </w:rPr>
        <w:t xml:space="preserve"> </w:t>
      </w:r>
      <w:r w:rsidRPr="00314A27">
        <w:rPr>
          <w:rFonts w:ascii="Times New Roman" w:hAnsi="Times New Roman" w:cs="Times New Roman"/>
          <w:bCs/>
          <w:sz w:val="24"/>
          <w:szCs w:val="24"/>
        </w:rPr>
        <w:t xml:space="preserve">of soybean: a review and future perspectives. Can J Plant </w:t>
      </w:r>
      <w:proofErr w:type="spellStart"/>
      <w:r w:rsidRPr="00314A27">
        <w:rPr>
          <w:rFonts w:ascii="Times New Roman" w:hAnsi="Times New Roman" w:cs="Times New Roman"/>
          <w:bCs/>
          <w:sz w:val="24"/>
          <w:szCs w:val="24"/>
        </w:rPr>
        <w:t>Pathol</w:t>
      </w:r>
      <w:proofErr w:type="spellEnd"/>
      <w:r w:rsidRPr="00314A27">
        <w:rPr>
          <w:rFonts w:ascii="Times New Roman" w:hAnsi="Times New Roman" w:cs="Times New Roman"/>
          <w:bCs/>
          <w:sz w:val="24"/>
          <w:szCs w:val="24"/>
        </w:rPr>
        <w:t xml:space="preserve"> 40:210–219</w:t>
      </w:r>
    </w:p>
    <w:p w14:paraId="5E2AB36F" w14:textId="77777777" w:rsidR="00870790" w:rsidRPr="00984121" w:rsidRDefault="00870790" w:rsidP="00BD1BF0">
      <w:pPr>
        <w:spacing w:after="0" w:line="240" w:lineRule="auto"/>
        <w:jc w:val="both"/>
        <w:rPr>
          <w:rFonts w:ascii="Times New Roman" w:hAnsi="Times New Roman" w:cs="Times New Roman"/>
          <w:bCs/>
          <w:sz w:val="24"/>
          <w:szCs w:val="24"/>
        </w:rPr>
      </w:pPr>
      <w:r w:rsidRPr="00984121">
        <w:rPr>
          <w:rFonts w:ascii="Times New Roman" w:hAnsi="Times New Roman" w:cs="Times New Roman"/>
          <w:bCs/>
          <w:sz w:val="24"/>
          <w:szCs w:val="24"/>
        </w:rPr>
        <w:t xml:space="preserve">Dorrance AE, Jia H, Abney TS (2004) Evaluation of soybean differentials for their interaction with </w:t>
      </w:r>
      <w:r w:rsidRPr="00984121">
        <w:rPr>
          <w:rFonts w:ascii="Times New Roman" w:hAnsi="Times New Roman" w:cs="Times New Roman"/>
          <w:bCs/>
          <w:i/>
          <w:iCs/>
          <w:sz w:val="24"/>
          <w:szCs w:val="24"/>
        </w:rPr>
        <w:t xml:space="preserve">Phytophthora </w:t>
      </w:r>
      <w:proofErr w:type="spellStart"/>
      <w:r w:rsidRPr="00984121">
        <w:rPr>
          <w:rFonts w:ascii="Times New Roman" w:hAnsi="Times New Roman" w:cs="Times New Roman"/>
          <w:bCs/>
          <w:i/>
          <w:iCs/>
          <w:sz w:val="24"/>
          <w:szCs w:val="24"/>
        </w:rPr>
        <w:t>sojae</w:t>
      </w:r>
      <w:proofErr w:type="spellEnd"/>
      <w:r w:rsidRPr="00984121">
        <w:rPr>
          <w:rFonts w:ascii="Times New Roman" w:hAnsi="Times New Roman" w:cs="Times New Roman"/>
          <w:bCs/>
          <w:sz w:val="24"/>
          <w:szCs w:val="24"/>
        </w:rPr>
        <w:t xml:space="preserve">. Plant Health </w:t>
      </w:r>
      <w:proofErr w:type="spellStart"/>
      <w:r w:rsidRPr="00984121">
        <w:rPr>
          <w:rFonts w:ascii="Times New Roman" w:hAnsi="Times New Roman" w:cs="Times New Roman"/>
          <w:bCs/>
          <w:sz w:val="24"/>
          <w:szCs w:val="24"/>
        </w:rPr>
        <w:t>Progr</w:t>
      </w:r>
      <w:proofErr w:type="spellEnd"/>
      <w:r w:rsidRPr="00984121">
        <w:rPr>
          <w:rFonts w:ascii="Times New Roman" w:hAnsi="Times New Roman" w:cs="Times New Roman"/>
          <w:bCs/>
          <w:sz w:val="24"/>
          <w:szCs w:val="24"/>
        </w:rPr>
        <w:t xml:space="preserve"> 5:9</w:t>
      </w:r>
    </w:p>
    <w:p w14:paraId="273288B6" w14:textId="77777777" w:rsidR="00870790" w:rsidRPr="00314A27" w:rsidRDefault="00870790" w:rsidP="00BD1BF0">
      <w:pPr>
        <w:spacing w:after="0" w:line="240" w:lineRule="auto"/>
        <w:jc w:val="both"/>
        <w:rPr>
          <w:rFonts w:ascii="Times New Roman" w:hAnsi="Times New Roman" w:cs="Times New Roman"/>
          <w:bCs/>
          <w:sz w:val="24"/>
          <w:szCs w:val="24"/>
        </w:rPr>
      </w:pPr>
      <w:r w:rsidRPr="004E2366">
        <w:rPr>
          <w:rFonts w:ascii="Times New Roman" w:hAnsi="Times New Roman" w:cs="Times New Roman"/>
          <w:bCs/>
          <w:sz w:val="24"/>
          <w:szCs w:val="24"/>
        </w:rPr>
        <w:t>Lin F, Salman M, Zhang Z, McCoy AG, Li W, Magar RT, Mitchell D, Zhao M, Gu C, Chilvers MI, Wang D</w:t>
      </w:r>
      <w:r>
        <w:rPr>
          <w:rFonts w:ascii="Times New Roman" w:hAnsi="Times New Roman" w:cs="Times New Roman"/>
          <w:bCs/>
          <w:sz w:val="24"/>
          <w:szCs w:val="24"/>
        </w:rPr>
        <w:t xml:space="preserve"> (2024)</w:t>
      </w:r>
      <w:r w:rsidRPr="004E2366">
        <w:rPr>
          <w:rFonts w:ascii="Times New Roman" w:hAnsi="Times New Roman" w:cs="Times New Roman"/>
          <w:bCs/>
          <w:sz w:val="24"/>
          <w:szCs w:val="24"/>
        </w:rPr>
        <w:t>. Identification and molecular mapping of a major gene conferring resistance to Phytophthora sansomeana in soybean 'Colfax'. Theor Appl Genet.</w:t>
      </w:r>
      <w:r>
        <w:rPr>
          <w:rFonts w:ascii="Times New Roman" w:hAnsi="Times New Roman" w:cs="Times New Roman"/>
          <w:bCs/>
          <w:sz w:val="24"/>
          <w:szCs w:val="24"/>
        </w:rPr>
        <w:t xml:space="preserve"> </w:t>
      </w:r>
      <w:r w:rsidRPr="004E2366">
        <w:rPr>
          <w:rFonts w:ascii="Times New Roman" w:hAnsi="Times New Roman" w:cs="Times New Roman"/>
          <w:bCs/>
          <w:sz w:val="24"/>
          <w:szCs w:val="24"/>
        </w:rPr>
        <w:t xml:space="preserve">22;137(3):55. </w:t>
      </w:r>
      <w:proofErr w:type="spellStart"/>
      <w:r w:rsidRPr="004E2366">
        <w:rPr>
          <w:rFonts w:ascii="Times New Roman" w:hAnsi="Times New Roman" w:cs="Times New Roman"/>
          <w:bCs/>
          <w:sz w:val="24"/>
          <w:szCs w:val="24"/>
        </w:rPr>
        <w:t>doi</w:t>
      </w:r>
      <w:proofErr w:type="spellEnd"/>
      <w:r w:rsidRPr="004E2366">
        <w:rPr>
          <w:rFonts w:ascii="Times New Roman" w:hAnsi="Times New Roman" w:cs="Times New Roman"/>
          <w:bCs/>
          <w:sz w:val="24"/>
          <w:szCs w:val="24"/>
        </w:rPr>
        <w:t>: 10.1007/s00122-024-04556-6. PMID: 38386094.</w:t>
      </w:r>
    </w:p>
    <w:p w14:paraId="58B36A5C" w14:textId="77777777" w:rsidR="00870790" w:rsidRPr="00314A27" w:rsidRDefault="00870790" w:rsidP="00BD1BF0">
      <w:pPr>
        <w:spacing w:after="0" w:line="240" w:lineRule="auto"/>
        <w:jc w:val="both"/>
        <w:rPr>
          <w:rFonts w:ascii="Times New Roman" w:hAnsi="Times New Roman" w:cs="Times New Roman"/>
          <w:bCs/>
          <w:sz w:val="24"/>
          <w:szCs w:val="24"/>
        </w:rPr>
      </w:pPr>
      <w:r w:rsidRPr="00314A27">
        <w:rPr>
          <w:rFonts w:ascii="Times New Roman" w:hAnsi="Times New Roman" w:cs="Times New Roman"/>
          <w:bCs/>
          <w:sz w:val="24"/>
          <w:szCs w:val="24"/>
        </w:rPr>
        <w:t xml:space="preserve">Lin F, Zhao M, Ping J, Johnson A, Zhang B, Abney TS, Hughes TJ, Ma J (2013) Molecular mapping of two genes conferring resistance to </w:t>
      </w:r>
      <w:r w:rsidRPr="00314A27">
        <w:rPr>
          <w:rFonts w:ascii="Times New Roman" w:hAnsi="Times New Roman" w:cs="Times New Roman"/>
          <w:bCs/>
          <w:i/>
          <w:iCs/>
          <w:sz w:val="24"/>
          <w:szCs w:val="24"/>
        </w:rPr>
        <w:t xml:space="preserve">Phytophthora </w:t>
      </w:r>
      <w:proofErr w:type="spellStart"/>
      <w:r w:rsidRPr="00314A27">
        <w:rPr>
          <w:rFonts w:ascii="Times New Roman" w:hAnsi="Times New Roman" w:cs="Times New Roman"/>
          <w:bCs/>
          <w:i/>
          <w:iCs/>
          <w:sz w:val="24"/>
          <w:szCs w:val="24"/>
        </w:rPr>
        <w:t>sojae</w:t>
      </w:r>
      <w:proofErr w:type="spellEnd"/>
      <w:r w:rsidRPr="00314A27">
        <w:rPr>
          <w:rFonts w:ascii="Times New Roman" w:hAnsi="Times New Roman" w:cs="Times New Roman"/>
          <w:bCs/>
          <w:i/>
          <w:iCs/>
          <w:sz w:val="24"/>
          <w:szCs w:val="24"/>
        </w:rPr>
        <w:t xml:space="preserve"> </w:t>
      </w:r>
      <w:r w:rsidRPr="00314A27">
        <w:rPr>
          <w:rFonts w:ascii="Times New Roman" w:hAnsi="Times New Roman" w:cs="Times New Roman"/>
          <w:bCs/>
          <w:sz w:val="24"/>
          <w:szCs w:val="24"/>
        </w:rPr>
        <w:t>in a soybean landrace PI 567139B. Theor Appl Genet 126:2177–2185</w:t>
      </w:r>
    </w:p>
    <w:p w14:paraId="760426C2" w14:textId="77777777" w:rsidR="00870790" w:rsidRDefault="00870790" w:rsidP="00BD1BF0">
      <w:pPr>
        <w:spacing w:after="0" w:line="240" w:lineRule="auto"/>
        <w:jc w:val="both"/>
        <w:rPr>
          <w:rFonts w:ascii="Times New Roman" w:hAnsi="Times New Roman" w:cs="Times New Roman"/>
          <w:bCs/>
          <w:sz w:val="24"/>
          <w:szCs w:val="24"/>
        </w:rPr>
      </w:pPr>
      <w:r w:rsidRPr="00314A27">
        <w:rPr>
          <w:rFonts w:ascii="Times New Roman" w:hAnsi="Times New Roman" w:cs="Times New Roman"/>
          <w:bCs/>
          <w:sz w:val="24"/>
          <w:szCs w:val="24"/>
        </w:rPr>
        <w:t xml:space="preserve">Schmutz J, Cannon SB, Schlueter J, Ma J, Mitros T, Nelson W, Hyten DL, Song Q, Thelen JJ, Cheng J, Xu D (2010) Genome sequence of the </w:t>
      </w:r>
      <w:proofErr w:type="spellStart"/>
      <w:r w:rsidRPr="00314A27">
        <w:rPr>
          <w:rFonts w:ascii="Times New Roman" w:hAnsi="Times New Roman" w:cs="Times New Roman"/>
          <w:bCs/>
          <w:sz w:val="24"/>
          <w:szCs w:val="24"/>
        </w:rPr>
        <w:t>palaeopolyploid</w:t>
      </w:r>
      <w:proofErr w:type="spellEnd"/>
      <w:r w:rsidRPr="00314A27">
        <w:rPr>
          <w:rFonts w:ascii="Times New Roman" w:hAnsi="Times New Roman" w:cs="Times New Roman"/>
          <w:bCs/>
          <w:sz w:val="24"/>
          <w:szCs w:val="24"/>
        </w:rPr>
        <w:t xml:space="preserve"> soybean. Nature 463:178–183</w:t>
      </w:r>
    </w:p>
    <w:p w14:paraId="184FCA6E" w14:textId="77777777" w:rsidR="00870790" w:rsidRPr="00314A27" w:rsidRDefault="00870790" w:rsidP="00BD1BF0">
      <w:pPr>
        <w:spacing w:after="0" w:line="240" w:lineRule="auto"/>
        <w:jc w:val="both"/>
        <w:rPr>
          <w:rFonts w:ascii="Times New Roman" w:hAnsi="Times New Roman" w:cs="Times New Roman"/>
          <w:bCs/>
          <w:sz w:val="24"/>
          <w:szCs w:val="24"/>
        </w:rPr>
      </w:pPr>
      <w:r w:rsidRPr="00314A27">
        <w:rPr>
          <w:rFonts w:ascii="Times New Roman" w:hAnsi="Times New Roman" w:cs="Times New Roman"/>
          <w:bCs/>
          <w:sz w:val="24"/>
          <w:szCs w:val="24"/>
        </w:rPr>
        <w:t xml:space="preserve">Song Q, Hyten DL, Jia G, Quigley CV, </w:t>
      </w:r>
      <w:proofErr w:type="spellStart"/>
      <w:r w:rsidRPr="00314A27">
        <w:rPr>
          <w:rFonts w:ascii="Times New Roman" w:hAnsi="Times New Roman" w:cs="Times New Roman"/>
          <w:bCs/>
          <w:sz w:val="24"/>
          <w:szCs w:val="24"/>
        </w:rPr>
        <w:t>Fickus</w:t>
      </w:r>
      <w:proofErr w:type="spellEnd"/>
      <w:r w:rsidRPr="00314A27">
        <w:rPr>
          <w:rFonts w:ascii="Times New Roman" w:hAnsi="Times New Roman" w:cs="Times New Roman"/>
          <w:bCs/>
          <w:sz w:val="24"/>
          <w:szCs w:val="24"/>
        </w:rPr>
        <w:t xml:space="preserve"> EW, Nelson RL, Cregan PB (2013) Development and evaluation of SoySNP50K a high</w:t>
      </w:r>
      <w:r>
        <w:rPr>
          <w:rFonts w:ascii="Times New Roman" w:hAnsi="Times New Roman" w:cs="Times New Roman"/>
          <w:bCs/>
          <w:sz w:val="24"/>
          <w:szCs w:val="24"/>
        </w:rPr>
        <w:t xml:space="preserve"> </w:t>
      </w:r>
      <w:r w:rsidRPr="00314A27">
        <w:rPr>
          <w:rFonts w:ascii="Times New Roman" w:hAnsi="Times New Roman" w:cs="Times New Roman"/>
          <w:bCs/>
          <w:sz w:val="24"/>
          <w:szCs w:val="24"/>
        </w:rPr>
        <w:t xml:space="preserve">density genotyping array for soybean. </w:t>
      </w:r>
      <w:proofErr w:type="spellStart"/>
      <w:r w:rsidRPr="00314A27">
        <w:rPr>
          <w:rFonts w:ascii="Times New Roman" w:hAnsi="Times New Roman" w:cs="Times New Roman"/>
          <w:bCs/>
          <w:sz w:val="24"/>
          <w:szCs w:val="24"/>
        </w:rPr>
        <w:t>PLoS</w:t>
      </w:r>
      <w:proofErr w:type="spellEnd"/>
      <w:r w:rsidRPr="00314A27">
        <w:rPr>
          <w:rFonts w:ascii="Times New Roman" w:hAnsi="Times New Roman" w:cs="Times New Roman"/>
          <w:bCs/>
          <w:sz w:val="24"/>
          <w:szCs w:val="24"/>
        </w:rPr>
        <w:t xml:space="preserve"> ONE 8:54985</w:t>
      </w:r>
    </w:p>
    <w:p w14:paraId="68AB67CA" w14:textId="77777777" w:rsidR="009B69C4" w:rsidRPr="009B69C4" w:rsidRDefault="009B69C4" w:rsidP="00BD1BF0">
      <w:pPr>
        <w:spacing w:after="0" w:line="240" w:lineRule="auto"/>
        <w:jc w:val="both"/>
        <w:rPr>
          <w:rFonts w:ascii="Times New Roman" w:hAnsi="Times New Roman" w:cs="Times New Roman"/>
          <w:bCs/>
          <w:sz w:val="24"/>
          <w:szCs w:val="24"/>
        </w:rPr>
      </w:pPr>
    </w:p>
    <w:sectPr w:rsidR="009B69C4" w:rsidRPr="009B69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TIX-Regular">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53DFF"/>
    <w:multiLevelType w:val="hybridMultilevel"/>
    <w:tmpl w:val="14045540"/>
    <w:lvl w:ilvl="0" w:tplc="F8C06D9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51070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8E6"/>
    <w:rsid w:val="000228EB"/>
    <w:rsid w:val="0002450D"/>
    <w:rsid w:val="000415FB"/>
    <w:rsid w:val="00074948"/>
    <w:rsid w:val="00090467"/>
    <w:rsid w:val="001F4B32"/>
    <w:rsid w:val="00203DC8"/>
    <w:rsid w:val="00231690"/>
    <w:rsid w:val="002E42AE"/>
    <w:rsid w:val="002E7500"/>
    <w:rsid w:val="00314A27"/>
    <w:rsid w:val="003949A8"/>
    <w:rsid w:val="003C726B"/>
    <w:rsid w:val="0045138B"/>
    <w:rsid w:val="004E2366"/>
    <w:rsid w:val="00533CC6"/>
    <w:rsid w:val="00557B31"/>
    <w:rsid w:val="005854AE"/>
    <w:rsid w:val="005C6765"/>
    <w:rsid w:val="005F067E"/>
    <w:rsid w:val="00606DB0"/>
    <w:rsid w:val="006375AC"/>
    <w:rsid w:val="00682F0F"/>
    <w:rsid w:val="006F6584"/>
    <w:rsid w:val="00701145"/>
    <w:rsid w:val="007324D2"/>
    <w:rsid w:val="00762FC2"/>
    <w:rsid w:val="00767EB1"/>
    <w:rsid w:val="00776AF0"/>
    <w:rsid w:val="00791494"/>
    <w:rsid w:val="007E62C0"/>
    <w:rsid w:val="007F50FF"/>
    <w:rsid w:val="00856EAD"/>
    <w:rsid w:val="00870790"/>
    <w:rsid w:val="00875F4E"/>
    <w:rsid w:val="00885085"/>
    <w:rsid w:val="00902236"/>
    <w:rsid w:val="009468E6"/>
    <w:rsid w:val="00984121"/>
    <w:rsid w:val="009B69C4"/>
    <w:rsid w:val="009C0670"/>
    <w:rsid w:val="00A15EF4"/>
    <w:rsid w:val="00A31226"/>
    <w:rsid w:val="00A6393A"/>
    <w:rsid w:val="00A82CC9"/>
    <w:rsid w:val="00A92CCC"/>
    <w:rsid w:val="00AE22A9"/>
    <w:rsid w:val="00B64CDF"/>
    <w:rsid w:val="00B85F0C"/>
    <w:rsid w:val="00BD1BF0"/>
    <w:rsid w:val="00C64AAB"/>
    <w:rsid w:val="00C818BA"/>
    <w:rsid w:val="00C83B2F"/>
    <w:rsid w:val="00C871FD"/>
    <w:rsid w:val="00CB60D8"/>
    <w:rsid w:val="00D12ABB"/>
    <w:rsid w:val="00D25718"/>
    <w:rsid w:val="00DC0339"/>
    <w:rsid w:val="00DF053C"/>
    <w:rsid w:val="00DF64F8"/>
    <w:rsid w:val="00E67AC4"/>
    <w:rsid w:val="00E801C7"/>
    <w:rsid w:val="00EF51B5"/>
    <w:rsid w:val="00F02D26"/>
    <w:rsid w:val="00F3002B"/>
    <w:rsid w:val="00F754C1"/>
    <w:rsid w:val="00FC0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06FCC4"/>
  <w15:chartTrackingRefBased/>
  <w15:docId w15:val="{780915AC-C711-4063-A503-52F80522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8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68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8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8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8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8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8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8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8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8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8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8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8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8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8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8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8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8E6"/>
    <w:rPr>
      <w:rFonts w:eastAsiaTheme="majorEastAsia" w:cstheme="majorBidi"/>
      <w:color w:val="272727" w:themeColor="text1" w:themeTint="D8"/>
    </w:rPr>
  </w:style>
  <w:style w:type="paragraph" w:styleId="Title">
    <w:name w:val="Title"/>
    <w:basedOn w:val="Normal"/>
    <w:next w:val="Normal"/>
    <w:link w:val="TitleChar"/>
    <w:uiPriority w:val="10"/>
    <w:qFormat/>
    <w:rsid w:val="009468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8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8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8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8E6"/>
    <w:pPr>
      <w:spacing w:before="160"/>
      <w:jc w:val="center"/>
    </w:pPr>
    <w:rPr>
      <w:i/>
      <w:iCs/>
      <w:color w:val="404040" w:themeColor="text1" w:themeTint="BF"/>
    </w:rPr>
  </w:style>
  <w:style w:type="character" w:customStyle="1" w:styleId="QuoteChar">
    <w:name w:val="Quote Char"/>
    <w:basedOn w:val="DefaultParagraphFont"/>
    <w:link w:val="Quote"/>
    <w:uiPriority w:val="29"/>
    <w:rsid w:val="009468E6"/>
    <w:rPr>
      <w:i/>
      <w:iCs/>
      <w:color w:val="404040" w:themeColor="text1" w:themeTint="BF"/>
    </w:rPr>
  </w:style>
  <w:style w:type="paragraph" w:styleId="ListParagraph">
    <w:name w:val="List Paragraph"/>
    <w:basedOn w:val="Normal"/>
    <w:uiPriority w:val="34"/>
    <w:qFormat/>
    <w:rsid w:val="009468E6"/>
    <w:pPr>
      <w:ind w:left="720"/>
      <w:contextualSpacing/>
    </w:pPr>
  </w:style>
  <w:style w:type="character" w:styleId="IntenseEmphasis">
    <w:name w:val="Intense Emphasis"/>
    <w:basedOn w:val="DefaultParagraphFont"/>
    <w:uiPriority w:val="21"/>
    <w:qFormat/>
    <w:rsid w:val="009468E6"/>
    <w:rPr>
      <w:i/>
      <w:iCs/>
      <w:color w:val="0F4761" w:themeColor="accent1" w:themeShade="BF"/>
    </w:rPr>
  </w:style>
  <w:style w:type="paragraph" w:styleId="IntenseQuote">
    <w:name w:val="Intense Quote"/>
    <w:basedOn w:val="Normal"/>
    <w:next w:val="Normal"/>
    <w:link w:val="IntenseQuoteChar"/>
    <w:uiPriority w:val="30"/>
    <w:qFormat/>
    <w:rsid w:val="009468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8E6"/>
    <w:rPr>
      <w:i/>
      <w:iCs/>
      <w:color w:val="0F4761" w:themeColor="accent1" w:themeShade="BF"/>
    </w:rPr>
  </w:style>
  <w:style w:type="character" w:styleId="IntenseReference">
    <w:name w:val="Intense Reference"/>
    <w:basedOn w:val="DefaultParagraphFont"/>
    <w:uiPriority w:val="32"/>
    <w:qFormat/>
    <w:rsid w:val="009468E6"/>
    <w:rPr>
      <w:b/>
      <w:bCs/>
      <w:smallCaps/>
      <w:color w:val="0F4761" w:themeColor="accent1" w:themeShade="BF"/>
      <w:spacing w:val="5"/>
    </w:rPr>
  </w:style>
  <w:style w:type="table" w:styleId="TableGrid">
    <w:name w:val="Table Grid"/>
    <w:basedOn w:val="TableNormal"/>
    <w:uiPriority w:val="39"/>
    <w:rsid w:val="00FC0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60D8"/>
    <w:rPr>
      <w:color w:val="467886" w:themeColor="hyperlink"/>
      <w:u w:val="single"/>
    </w:rPr>
  </w:style>
  <w:style w:type="character" w:styleId="UnresolvedMention">
    <w:name w:val="Unresolved Mention"/>
    <w:basedOn w:val="DefaultParagraphFont"/>
    <w:uiPriority w:val="99"/>
    <w:semiHidden/>
    <w:unhideWhenUsed/>
    <w:rsid w:val="00CB6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79693">
      <w:bodyDiv w:val="1"/>
      <w:marLeft w:val="0"/>
      <w:marRight w:val="0"/>
      <w:marTop w:val="0"/>
      <w:marBottom w:val="0"/>
      <w:divBdr>
        <w:top w:val="none" w:sz="0" w:space="0" w:color="auto"/>
        <w:left w:val="none" w:sz="0" w:space="0" w:color="auto"/>
        <w:bottom w:val="none" w:sz="0" w:space="0" w:color="auto"/>
        <w:right w:val="none" w:sz="0" w:space="0" w:color="auto"/>
      </w:divBdr>
    </w:div>
    <w:div w:id="591427694">
      <w:bodyDiv w:val="1"/>
      <w:marLeft w:val="0"/>
      <w:marRight w:val="0"/>
      <w:marTop w:val="0"/>
      <w:marBottom w:val="0"/>
      <w:divBdr>
        <w:top w:val="none" w:sz="0" w:space="0" w:color="auto"/>
        <w:left w:val="none" w:sz="0" w:space="0" w:color="auto"/>
        <w:bottom w:val="none" w:sz="0" w:space="0" w:color="auto"/>
        <w:right w:val="none" w:sz="0" w:space="0" w:color="auto"/>
      </w:divBdr>
    </w:div>
    <w:div w:id="141316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ybase.or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4</Pages>
  <Words>1172</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Farhan</dc:creator>
  <cp:keywords/>
  <dc:description/>
  <cp:lastModifiedBy>Wang, Dechun</cp:lastModifiedBy>
  <cp:revision>25</cp:revision>
  <dcterms:created xsi:type="dcterms:W3CDTF">2024-03-30T01:44:00Z</dcterms:created>
  <dcterms:modified xsi:type="dcterms:W3CDTF">2024-03-30T02:01:00Z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cefa373e5344250bbecd051cf79b867d5ff21b5990c8bea20fafa10eab036316</vt:lpwstr>
  </property>
</Properties>
</file>