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6E375" w14:textId="77777777" w:rsidR="008C5D65" w:rsidRDefault="008C5D65" w:rsidP="008C5D65">
      <w:pPr>
        <w:jc w:val="center"/>
        <w:rPr>
          <w:sz w:val="28"/>
        </w:rPr>
      </w:pPr>
      <w:r w:rsidRPr="008C5D65">
        <w:rPr>
          <w:sz w:val="28"/>
        </w:rPr>
        <w:t xml:space="preserve">Mid-Year Report </w:t>
      </w:r>
      <w:r>
        <w:rPr>
          <w:sz w:val="28"/>
        </w:rPr>
        <w:t>f</w:t>
      </w:r>
      <w:r w:rsidRPr="008C5D65">
        <w:rPr>
          <w:sz w:val="28"/>
        </w:rPr>
        <w:t>or FY24 Research Projects</w:t>
      </w:r>
    </w:p>
    <w:p w14:paraId="09AA3D42" w14:textId="46404298" w:rsidR="00797EC7" w:rsidRDefault="008C5D65" w:rsidP="008C5D65">
      <w:pPr>
        <w:jc w:val="center"/>
      </w:pPr>
      <w:r w:rsidRPr="008C5D65">
        <w:t xml:space="preserve">Funded </w:t>
      </w:r>
      <w:r>
        <w:t>b</w:t>
      </w:r>
      <w:r w:rsidRPr="008C5D65">
        <w:t xml:space="preserve">y </w:t>
      </w:r>
      <w:r>
        <w:t>t</w:t>
      </w:r>
      <w:r w:rsidRPr="008C5D65">
        <w:t>he North Dakota Soybean Council</w:t>
      </w:r>
    </w:p>
    <w:p w14:paraId="2A4797EA" w14:textId="1320F47A" w:rsidR="00D22906" w:rsidRPr="008C5D65" w:rsidRDefault="00D22906" w:rsidP="008C5D65">
      <w:pPr>
        <w:jc w:val="center"/>
      </w:pPr>
      <w:r>
        <w:t>Submitted by Iris Feng, 11/30/2023</w:t>
      </w:r>
    </w:p>
    <w:p w14:paraId="62FCCB3D" w14:textId="5475333B" w:rsidR="00E3373D" w:rsidRPr="003B1FA2" w:rsidRDefault="00E3373D" w:rsidP="00E3373D">
      <w:pPr>
        <w:pStyle w:val="ListParagraph"/>
        <w:numPr>
          <w:ilvl w:val="0"/>
          <w:numId w:val="1"/>
        </w:numPr>
        <w:rPr>
          <w:b/>
        </w:rPr>
      </w:pPr>
      <w:r w:rsidRPr="003B1FA2">
        <w:rPr>
          <w:b/>
        </w:rPr>
        <w:t>Research Project Title, Principal and Co-Investigators</w:t>
      </w:r>
    </w:p>
    <w:p w14:paraId="2F3B3A86" w14:textId="692A512B" w:rsidR="00AA214D" w:rsidRDefault="00EB6B54" w:rsidP="008E144F">
      <w:pPr>
        <w:pStyle w:val="ListParagraph"/>
        <w:ind w:left="0"/>
      </w:pPr>
      <w:r>
        <w:t xml:space="preserve">Title: </w:t>
      </w:r>
      <w:r w:rsidRPr="00EB6B54">
        <w:t>Anaerobic Digestion of Defatted Soybean Meal for Biogas and Biofertilizer Productions</w:t>
      </w:r>
    </w:p>
    <w:p w14:paraId="2DA80170" w14:textId="2092CDE5" w:rsidR="00EB6B54" w:rsidRDefault="00EB6B54" w:rsidP="008E144F">
      <w:pPr>
        <w:pStyle w:val="ListParagraph"/>
        <w:ind w:left="0"/>
      </w:pPr>
      <w:r>
        <w:t>PI: Iris (Xiaoyu) Feng</w:t>
      </w:r>
      <w:r w:rsidR="008C5D65">
        <w:t xml:space="preserve"> and </w:t>
      </w:r>
      <w:r>
        <w:t xml:space="preserve">Co-PI: </w:t>
      </w:r>
      <w:r w:rsidRPr="00EB6B54">
        <w:t>Ademola Ajayi-Banji</w:t>
      </w:r>
    </w:p>
    <w:p w14:paraId="170DE131" w14:textId="3FE3A489" w:rsidR="00E3373D" w:rsidRPr="003B1FA2" w:rsidRDefault="00E3373D" w:rsidP="00E3373D">
      <w:pPr>
        <w:pStyle w:val="ListParagraph"/>
        <w:numPr>
          <w:ilvl w:val="0"/>
          <w:numId w:val="1"/>
        </w:numPr>
        <w:rPr>
          <w:b/>
        </w:rPr>
      </w:pPr>
      <w:r w:rsidRPr="003B1FA2">
        <w:rPr>
          <w:b/>
        </w:rPr>
        <w:t>Research Overview and Objectives</w:t>
      </w:r>
    </w:p>
    <w:p w14:paraId="48BF83D8" w14:textId="448BA5C4" w:rsidR="00A87CDC" w:rsidRPr="0037510F" w:rsidRDefault="00A87CDC" w:rsidP="0037510F">
      <w:pPr>
        <w:pStyle w:val="ListParagraph"/>
        <w:spacing w:before="160" w:after="120" w:line="240" w:lineRule="auto"/>
        <w:ind w:left="0"/>
        <w:contextualSpacing w:val="0"/>
        <w:rPr>
          <w:i/>
          <w:u w:val="single"/>
        </w:rPr>
      </w:pPr>
      <w:r w:rsidRPr="0037510F">
        <w:rPr>
          <w:i/>
          <w:u w:val="single"/>
        </w:rPr>
        <w:t>Overview:</w:t>
      </w:r>
    </w:p>
    <w:p w14:paraId="1B2BE9EC" w14:textId="3B28EE59" w:rsidR="00EB6B54" w:rsidRDefault="008356F1" w:rsidP="0037510F">
      <w:pPr>
        <w:pStyle w:val="ListParagraph"/>
        <w:ind w:left="0"/>
      </w:pPr>
      <w:r w:rsidRPr="008356F1">
        <w:t>Renewable energy drive will boost soybeans production to approximately 5.3 billion by 2030 with over 390,000 metric tons of defatted soybean meal (DSM) annually</w:t>
      </w:r>
      <w:r w:rsidR="00D3168F">
        <w:t xml:space="preserve"> in North Dakota</w:t>
      </w:r>
      <w:r w:rsidRPr="008356F1">
        <w:t>.</w:t>
      </w:r>
      <w:r w:rsidR="00D3168F">
        <w:t xml:space="preserve"> </w:t>
      </w:r>
      <w:r w:rsidR="00D3168F" w:rsidRPr="00D3168F">
        <w:t>DSM contains valuable protein and essential micronutrients, but an anti-nutritional reagent employed to optimize soybean oil significantly restricts its food applications. Additionally, due to the small livestock size in ND, only 23% of projected DSM would be consumed annually for animal feed. Thus, there is a pressing demand to explore and expand new applications for DSM. Anaerobic digestion (AD) is a well-established technology that decomposes biomass in the absence of oxygen, generating biogas and biofertilizer</w:t>
      </w:r>
      <w:r w:rsidR="0037510F">
        <w:t xml:space="preserve"> which</w:t>
      </w:r>
      <w:r w:rsidR="00257F77">
        <w:t xml:space="preserve"> can be locally utilized for heating and plant operations, and as a</w:t>
      </w:r>
      <w:r w:rsidR="0037510F">
        <w:t xml:space="preserve"> </w:t>
      </w:r>
      <w:r w:rsidR="00257F77">
        <w:t>substitute for commercial fertilizer. This innovative use of DSM</w:t>
      </w:r>
      <w:r w:rsidR="0037510F">
        <w:t xml:space="preserve"> </w:t>
      </w:r>
      <w:r w:rsidR="00257F77">
        <w:t>offers ND producers a sustainable and cost-efficient alternative for renewable energy production</w:t>
      </w:r>
      <w:r w:rsidR="0037510F">
        <w:t xml:space="preserve"> </w:t>
      </w:r>
      <w:r w:rsidR="00257F77">
        <w:t>and nutrient recovery</w:t>
      </w:r>
      <w:r w:rsidR="0037510F">
        <w:t>.</w:t>
      </w:r>
    </w:p>
    <w:p w14:paraId="1EC8F1A5" w14:textId="11DE9FAB" w:rsidR="003842DD" w:rsidRPr="0037510F" w:rsidRDefault="003842DD" w:rsidP="0037510F">
      <w:pPr>
        <w:pStyle w:val="ListParagraph"/>
        <w:spacing w:before="160" w:after="120" w:line="240" w:lineRule="auto"/>
        <w:ind w:left="0"/>
        <w:contextualSpacing w:val="0"/>
        <w:rPr>
          <w:i/>
          <w:u w:val="single"/>
        </w:rPr>
      </w:pPr>
      <w:r w:rsidRPr="0037510F">
        <w:rPr>
          <w:i/>
          <w:u w:val="single"/>
        </w:rPr>
        <w:t>Objectives:</w:t>
      </w:r>
    </w:p>
    <w:p w14:paraId="4E354ED2" w14:textId="6F12FB51" w:rsidR="00400D73" w:rsidRDefault="008E144F" w:rsidP="00D22906">
      <w:pPr>
        <w:pStyle w:val="ListParagraph"/>
        <w:ind w:left="0"/>
      </w:pPr>
      <w:r w:rsidRPr="008E144F">
        <w:t xml:space="preserve">This proposal aims to assess the new use of DSM by </w:t>
      </w:r>
      <w:r w:rsidR="00D22906">
        <w:t xml:space="preserve">1) </w:t>
      </w:r>
      <w:r w:rsidRPr="008E144F">
        <w:t xml:space="preserve">investigating the effect of physical properties and chemical pretreatments of DSM for increasing biogas yields in AD; </w:t>
      </w:r>
      <w:r w:rsidR="00D22906">
        <w:t xml:space="preserve">2) </w:t>
      </w:r>
      <w:r w:rsidRPr="008E144F">
        <w:t>enhancing methane production and biofertilizer quality from DSM with co-digestion inclusion and additives of biochar and nanoparticles for energy sustainability and nutrient recovery.</w:t>
      </w:r>
    </w:p>
    <w:p w14:paraId="386DCC37" w14:textId="7F9FB032" w:rsidR="00EF1453" w:rsidRPr="0037510F" w:rsidRDefault="00EF1453" w:rsidP="0037510F">
      <w:pPr>
        <w:pStyle w:val="ListParagraph"/>
        <w:spacing w:before="160" w:after="120" w:line="240" w:lineRule="auto"/>
        <w:ind w:left="0"/>
        <w:contextualSpacing w:val="0"/>
        <w:rPr>
          <w:i/>
          <w:u w:val="single"/>
        </w:rPr>
      </w:pPr>
      <w:r w:rsidRPr="0037510F">
        <w:rPr>
          <w:i/>
          <w:u w:val="single"/>
        </w:rPr>
        <w:t>Specific objectives include:</w:t>
      </w:r>
    </w:p>
    <w:p w14:paraId="2EF8E3C0" w14:textId="6223144A" w:rsidR="00EF1453" w:rsidRDefault="00EF1453" w:rsidP="0037510F">
      <w:pPr>
        <w:spacing w:after="0"/>
      </w:pPr>
      <w:r>
        <w:t>Objective 1: Evaluate the impact of particle sizes, total solids (liquid and solid states), and bioreactor temperatures on methane yield of DSM anaerobically digested in lab-scale reactors.</w:t>
      </w:r>
    </w:p>
    <w:p w14:paraId="2C3772CA" w14:textId="2632039A" w:rsidR="00EF1453" w:rsidRDefault="00EF1453" w:rsidP="0037510F">
      <w:pPr>
        <w:spacing w:after="0"/>
      </w:pPr>
      <w:r>
        <w:t>Objective 2: Investigate the effect of wet-state alkaline pretreatments of DSM on methane yield and nutrients in digestate.</w:t>
      </w:r>
    </w:p>
    <w:p w14:paraId="67C0E83C" w14:textId="63511107" w:rsidR="00EF1453" w:rsidRDefault="00EF1453" w:rsidP="0037510F">
      <w:pPr>
        <w:spacing w:after="0"/>
      </w:pPr>
      <w:r>
        <w:t>Objective 3: Enhance methane yield and biofertilizer quality of anaerobically digested alkaline pretreated DSM with co-digestion inclusion and use of biochar and nanoparticles additives.</w:t>
      </w:r>
    </w:p>
    <w:p w14:paraId="0A84DC36" w14:textId="3828096A" w:rsidR="00E3373D" w:rsidRPr="003B1FA2" w:rsidRDefault="00E3373D" w:rsidP="00E3373D">
      <w:pPr>
        <w:pStyle w:val="ListParagraph"/>
        <w:numPr>
          <w:ilvl w:val="0"/>
          <w:numId w:val="1"/>
        </w:numPr>
        <w:rPr>
          <w:b/>
        </w:rPr>
      </w:pPr>
      <w:r w:rsidRPr="003B1FA2">
        <w:rPr>
          <w:b/>
        </w:rPr>
        <w:t>Completed Work: Deliverables and/or Milestones</w:t>
      </w:r>
    </w:p>
    <w:p w14:paraId="6A79F5AD" w14:textId="732E1216" w:rsidR="00EB6B54" w:rsidRDefault="003B1FA2" w:rsidP="003842DD">
      <w:pPr>
        <w:pStyle w:val="ListParagraph"/>
        <w:ind w:left="0"/>
      </w:pPr>
      <w:r>
        <w:t>The following work has been completed:</w:t>
      </w:r>
    </w:p>
    <w:p w14:paraId="72FE0816" w14:textId="63F47E3B" w:rsidR="00EB6B54" w:rsidRDefault="0062210D" w:rsidP="00EF1453">
      <w:pPr>
        <w:pStyle w:val="ListParagraph"/>
        <w:numPr>
          <w:ilvl w:val="0"/>
          <w:numId w:val="6"/>
        </w:numPr>
      </w:pPr>
      <w:r>
        <w:t>Collection and analysis of r</w:t>
      </w:r>
      <w:r w:rsidR="00EF1453">
        <w:t>aw sample</w:t>
      </w:r>
      <w:r>
        <w:t>s to understand the characteristics of DSM for biogas production.</w:t>
      </w:r>
    </w:p>
    <w:p w14:paraId="447A3E03" w14:textId="71385781" w:rsidR="00EF1453" w:rsidRDefault="00EF1453" w:rsidP="00EF1453">
      <w:pPr>
        <w:pStyle w:val="ListParagraph"/>
        <w:numPr>
          <w:ilvl w:val="0"/>
          <w:numId w:val="6"/>
        </w:numPr>
      </w:pPr>
      <w:r>
        <w:t>Inoculum preparation for the project</w:t>
      </w:r>
      <w:r w:rsidR="0062210D">
        <w:t>.</w:t>
      </w:r>
    </w:p>
    <w:p w14:paraId="2759BFB8" w14:textId="77777777" w:rsidR="0062210D" w:rsidRDefault="0062210D" w:rsidP="00EF1453">
      <w:pPr>
        <w:pStyle w:val="ListParagraph"/>
        <w:numPr>
          <w:ilvl w:val="0"/>
          <w:numId w:val="6"/>
        </w:numPr>
      </w:pPr>
      <w:r>
        <w:t xml:space="preserve">Two experiments </w:t>
      </w:r>
      <w:bookmarkStart w:id="0" w:name="_Hlk151979411"/>
      <w:r>
        <w:t>for evaluating the impacts of</w:t>
      </w:r>
      <w:r w:rsidR="00EF1453">
        <w:t xml:space="preserve"> three </w:t>
      </w:r>
      <w:r w:rsidR="00EF1453" w:rsidRPr="00EF1453">
        <w:t xml:space="preserve">particle sizes, </w:t>
      </w:r>
      <w:r w:rsidR="00EF1453">
        <w:t xml:space="preserve">and two temperature at solid states </w:t>
      </w:r>
      <w:r>
        <w:t>on methane yield</w:t>
      </w:r>
      <w:r w:rsidR="00EF1453">
        <w:t xml:space="preserve"> </w:t>
      </w:r>
      <w:r w:rsidRPr="0062210D">
        <w:t xml:space="preserve">of DSM </w:t>
      </w:r>
      <w:bookmarkEnd w:id="0"/>
      <w:r>
        <w:t xml:space="preserve">under anaerobic digestion has been completed. Data has been collected and analyzed. </w:t>
      </w:r>
    </w:p>
    <w:p w14:paraId="2453D84B" w14:textId="724F9933" w:rsidR="0062210D" w:rsidRDefault="0062210D" w:rsidP="0062210D">
      <w:pPr>
        <w:pStyle w:val="ListParagraph"/>
        <w:numPr>
          <w:ilvl w:val="0"/>
          <w:numId w:val="6"/>
        </w:numPr>
      </w:pPr>
      <w:r>
        <w:t xml:space="preserve">Experiments for </w:t>
      </w:r>
      <w:r w:rsidRPr="0062210D">
        <w:t xml:space="preserve">evaluating the impacts of three particle sizes, and two temperature at </w:t>
      </w:r>
      <w:r>
        <w:t>liquid</w:t>
      </w:r>
      <w:r w:rsidRPr="0062210D">
        <w:t xml:space="preserve"> states on methane yield </w:t>
      </w:r>
      <w:r>
        <w:t>are ongoing.</w:t>
      </w:r>
    </w:p>
    <w:p w14:paraId="72B53229" w14:textId="77777777" w:rsidR="00D22906" w:rsidRDefault="00D22906" w:rsidP="00D22906"/>
    <w:p w14:paraId="3170D858" w14:textId="5C08A4AC" w:rsidR="00EB6B54" w:rsidRPr="00D22906" w:rsidRDefault="00E3373D" w:rsidP="00D22906">
      <w:pPr>
        <w:pStyle w:val="ListParagraph"/>
        <w:numPr>
          <w:ilvl w:val="0"/>
          <w:numId w:val="1"/>
        </w:numPr>
        <w:rPr>
          <w:b/>
        </w:rPr>
      </w:pPr>
      <w:r w:rsidRPr="003B1FA2">
        <w:rPr>
          <w:b/>
        </w:rPr>
        <w:lastRenderedPageBreak/>
        <w:t>Progress of Work and Results to Date</w:t>
      </w:r>
    </w:p>
    <w:p w14:paraId="556DAB36" w14:textId="08136DFA" w:rsidR="00EF1453" w:rsidRDefault="00EF1453" w:rsidP="00172E0D">
      <w:pPr>
        <w:pStyle w:val="ListParagraph"/>
        <w:numPr>
          <w:ilvl w:val="0"/>
          <w:numId w:val="5"/>
        </w:numPr>
      </w:pPr>
      <w:r>
        <w:t xml:space="preserve">DSM samples were collected from the Northern Crops Institute, NDSU, Fargo, ND, and the raw samples </w:t>
      </w:r>
      <w:r w:rsidR="003F5254">
        <w:t>was</w:t>
      </w:r>
      <w:r>
        <w:t xml:space="preserve"> analyzed at</w:t>
      </w:r>
      <w:r w:rsidR="0062210D">
        <w:t xml:space="preserve"> </w:t>
      </w:r>
      <w:r>
        <w:t>NDSU Microcore Lab for Scanning Electron Microscopy (SEM) analysis</w:t>
      </w:r>
      <w:r w:rsidR="007C0888">
        <w:t xml:space="preserve"> and at </w:t>
      </w:r>
      <w:r w:rsidR="007C0888" w:rsidRPr="007C0888">
        <w:t>NDSU Animal Science and Soil Testing labs</w:t>
      </w:r>
      <w:r w:rsidR="007C0888">
        <w:t xml:space="preserve"> for chemical properties and nutrient analysis. </w:t>
      </w:r>
      <w:r w:rsidR="00172E0D">
        <w:t xml:space="preserve">Samples </w:t>
      </w:r>
      <w:r w:rsidR="00172E0D">
        <w:t>were</w:t>
      </w:r>
      <w:r w:rsidR="00172E0D">
        <w:t xml:space="preserve"> grated with a blender and sieved</w:t>
      </w:r>
      <w:r w:rsidR="00172E0D">
        <w:t xml:space="preserve"> </w:t>
      </w:r>
      <w:r w:rsidR="00172E0D">
        <w:t xml:space="preserve">into three grades with respect to particle size </w:t>
      </w:r>
      <w:r w:rsidR="00172E0D">
        <w:t xml:space="preserve">of </w:t>
      </w:r>
      <w:r w:rsidR="00172E0D">
        <w:t>fine</w:t>
      </w:r>
      <w:r w:rsidR="00172E0D">
        <w:t xml:space="preserve"> (</w:t>
      </w:r>
      <w:r w:rsidR="00172E0D">
        <w:t>&lt; 0.48 mm</w:t>
      </w:r>
      <w:r w:rsidR="00172E0D">
        <w:t xml:space="preserve">), </w:t>
      </w:r>
      <w:r w:rsidR="00172E0D">
        <w:t>medium</w:t>
      </w:r>
      <w:r w:rsidR="00172E0D">
        <w:t xml:space="preserve"> (</w:t>
      </w:r>
      <w:r w:rsidR="00172E0D">
        <w:t>0.48 – 0.70 mm</w:t>
      </w:r>
      <w:r w:rsidR="00172E0D">
        <w:t>), and</w:t>
      </w:r>
      <w:r w:rsidR="00172E0D">
        <w:t xml:space="preserve"> large</w:t>
      </w:r>
      <w:r w:rsidR="00172E0D">
        <w:t xml:space="preserve"> (</w:t>
      </w:r>
      <w:r w:rsidR="00172E0D">
        <w:t>0.72 – 1.00 mm).</w:t>
      </w:r>
      <w:r w:rsidR="00172E0D">
        <w:t xml:space="preserve"> </w:t>
      </w:r>
      <w:r w:rsidR="007C0888">
        <w:t>The results are presented in Figure 1 and Table 1.</w:t>
      </w:r>
    </w:p>
    <w:p w14:paraId="4153D84D" w14:textId="4F7DF2B8" w:rsidR="007C0888" w:rsidRDefault="008C5D65" w:rsidP="0037510F">
      <w:pPr>
        <w:pStyle w:val="ListParagraph"/>
        <w:ind w:left="360"/>
      </w:pPr>
      <w:r>
        <w:rPr>
          <w:noProof/>
        </w:rPr>
        <w:drawing>
          <wp:anchor distT="0" distB="0" distL="114300" distR="114300" simplePos="0" relativeHeight="251659264" behindDoc="0" locked="0" layoutInCell="1" allowOverlap="1" wp14:anchorId="2F4371CF" wp14:editId="42B4335D">
            <wp:simplePos x="0" y="0"/>
            <wp:positionH relativeFrom="column">
              <wp:posOffset>485775</wp:posOffset>
            </wp:positionH>
            <wp:positionV relativeFrom="paragraph">
              <wp:posOffset>197485</wp:posOffset>
            </wp:positionV>
            <wp:extent cx="2181225" cy="1636443"/>
            <wp:effectExtent l="0" t="0" r="0"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1225" cy="1636443"/>
                    </a:xfrm>
                    <a:prstGeom prst="rect">
                      <a:avLst/>
                    </a:prstGeom>
                    <a:noFill/>
                  </pic:spPr>
                </pic:pic>
              </a:graphicData>
            </a:graphic>
          </wp:anchor>
        </w:drawing>
      </w:r>
      <w:r>
        <w:rPr>
          <w:noProof/>
        </w:rPr>
        <w:drawing>
          <wp:anchor distT="0" distB="0" distL="114300" distR="114300" simplePos="0" relativeHeight="251658240" behindDoc="0" locked="0" layoutInCell="1" allowOverlap="1" wp14:anchorId="79969B7A" wp14:editId="04D6C245">
            <wp:simplePos x="0" y="0"/>
            <wp:positionH relativeFrom="column">
              <wp:posOffset>3124200</wp:posOffset>
            </wp:positionH>
            <wp:positionV relativeFrom="paragraph">
              <wp:posOffset>181610</wp:posOffset>
            </wp:positionV>
            <wp:extent cx="2219325" cy="166497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19325" cy="1664970"/>
                    </a:xfrm>
                    <a:prstGeom prst="rect">
                      <a:avLst/>
                    </a:prstGeom>
                    <a:noFill/>
                  </pic:spPr>
                </pic:pic>
              </a:graphicData>
            </a:graphic>
          </wp:anchor>
        </w:drawing>
      </w:r>
      <w:r>
        <w:t>a).                                                                               b).</w:t>
      </w:r>
    </w:p>
    <w:p w14:paraId="7840FFBA" w14:textId="24B7FBDA" w:rsidR="00ED1A5D" w:rsidRDefault="008C5D65" w:rsidP="008C5D65">
      <w:pPr>
        <w:pStyle w:val="ListParagraph"/>
        <w:ind w:left="360"/>
      </w:pPr>
      <w:r>
        <w:t xml:space="preserve">Figure 1. </w:t>
      </w:r>
      <w:r w:rsidRPr="008C5D65">
        <w:t xml:space="preserve">Scanning Electron Microscopy (SEM) analysis </w:t>
      </w:r>
      <w:r>
        <w:t xml:space="preserve">for soybean meal raw samples: a). </w:t>
      </w:r>
      <w:r w:rsidR="00ED1A5D">
        <w:t>Fine</w:t>
      </w:r>
      <w:r>
        <w:t xml:space="preserve"> particle size; b). </w:t>
      </w:r>
      <w:r w:rsidR="00ED1A5D">
        <w:t>Medium</w:t>
      </w:r>
      <w:r>
        <w:t xml:space="preserve"> particle size</w:t>
      </w:r>
    </w:p>
    <w:p w14:paraId="4FB65608" w14:textId="210F5324" w:rsidR="00A11E4E" w:rsidRDefault="00A11E4E" w:rsidP="0062210D">
      <w:pPr>
        <w:pStyle w:val="ListParagraph"/>
        <w:ind w:left="360"/>
      </w:pPr>
    </w:p>
    <w:p w14:paraId="63F54492" w14:textId="136DF4CB" w:rsidR="00A11E4E" w:rsidRDefault="008C5D65" w:rsidP="0037510F">
      <w:pPr>
        <w:pStyle w:val="ListParagraph"/>
        <w:spacing w:after="120"/>
        <w:ind w:left="360"/>
      </w:pPr>
      <w:r>
        <w:t>Table 1. C</w:t>
      </w:r>
      <w:r w:rsidRPr="008C5D65">
        <w:t>hemical properties and nutrient analysis</w:t>
      </w:r>
      <w:r>
        <w:t xml:space="preserve"> of raw soybean meal samples.</w:t>
      </w:r>
    </w:p>
    <w:tbl>
      <w:tblPr>
        <w:tblW w:w="8500" w:type="dxa"/>
        <w:tblLook w:val="04A0" w:firstRow="1" w:lastRow="0" w:firstColumn="1" w:lastColumn="0" w:noHBand="0" w:noVBand="1"/>
      </w:tblPr>
      <w:tblGrid>
        <w:gridCol w:w="1556"/>
        <w:gridCol w:w="1840"/>
        <w:gridCol w:w="1340"/>
        <w:gridCol w:w="960"/>
        <w:gridCol w:w="960"/>
        <w:gridCol w:w="960"/>
        <w:gridCol w:w="960"/>
      </w:tblGrid>
      <w:tr w:rsidR="00A11E4E" w:rsidRPr="00A11E4E" w14:paraId="7A1D3B6B" w14:textId="77777777" w:rsidTr="00A11E4E">
        <w:trPr>
          <w:trHeight w:val="300"/>
        </w:trPr>
        <w:tc>
          <w:tcPr>
            <w:tcW w:w="1480" w:type="dxa"/>
            <w:tcBorders>
              <w:top w:val="single" w:sz="8" w:space="0" w:color="auto"/>
              <w:left w:val="nil"/>
              <w:bottom w:val="single" w:sz="4" w:space="0" w:color="auto"/>
              <w:right w:val="nil"/>
            </w:tcBorders>
            <w:shd w:val="clear" w:color="auto" w:fill="auto"/>
            <w:noWrap/>
            <w:vAlign w:val="bottom"/>
            <w:hideMark/>
          </w:tcPr>
          <w:p w14:paraId="6657B8A7"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Characteristics</w:t>
            </w:r>
          </w:p>
        </w:tc>
        <w:tc>
          <w:tcPr>
            <w:tcW w:w="1840" w:type="dxa"/>
            <w:tcBorders>
              <w:top w:val="single" w:sz="8" w:space="0" w:color="auto"/>
              <w:left w:val="nil"/>
              <w:bottom w:val="single" w:sz="4" w:space="0" w:color="auto"/>
              <w:right w:val="nil"/>
            </w:tcBorders>
            <w:shd w:val="clear" w:color="auto" w:fill="auto"/>
            <w:noWrap/>
            <w:vAlign w:val="bottom"/>
            <w:hideMark/>
          </w:tcPr>
          <w:p w14:paraId="4E53DB93"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Ammonia (mM)</w:t>
            </w:r>
          </w:p>
        </w:tc>
        <w:tc>
          <w:tcPr>
            <w:tcW w:w="1340" w:type="dxa"/>
            <w:tcBorders>
              <w:top w:val="single" w:sz="8" w:space="0" w:color="auto"/>
              <w:left w:val="nil"/>
              <w:bottom w:val="single" w:sz="4" w:space="0" w:color="auto"/>
              <w:right w:val="nil"/>
            </w:tcBorders>
            <w:shd w:val="clear" w:color="auto" w:fill="auto"/>
            <w:noWrap/>
            <w:vAlign w:val="bottom"/>
            <w:hideMark/>
          </w:tcPr>
          <w:p w14:paraId="021B6861"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Acetic (mM)</w:t>
            </w:r>
          </w:p>
        </w:tc>
        <w:tc>
          <w:tcPr>
            <w:tcW w:w="960" w:type="dxa"/>
            <w:tcBorders>
              <w:top w:val="single" w:sz="8" w:space="0" w:color="auto"/>
              <w:left w:val="nil"/>
              <w:bottom w:val="single" w:sz="4" w:space="0" w:color="auto"/>
              <w:right w:val="nil"/>
            </w:tcBorders>
            <w:shd w:val="clear" w:color="auto" w:fill="auto"/>
            <w:noWrap/>
            <w:vAlign w:val="bottom"/>
            <w:hideMark/>
          </w:tcPr>
          <w:p w14:paraId="707FF9C6"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C (%)</w:t>
            </w:r>
          </w:p>
        </w:tc>
        <w:tc>
          <w:tcPr>
            <w:tcW w:w="960" w:type="dxa"/>
            <w:tcBorders>
              <w:top w:val="single" w:sz="8" w:space="0" w:color="auto"/>
              <w:left w:val="nil"/>
              <w:bottom w:val="single" w:sz="4" w:space="0" w:color="auto"/>
              <w:right w:val="nil"/>
            </w:tcBorders>
            <w:shd w:val="clear" w:color="auto" w:fill="auto"/>
            <w:noWrap/>
            <w:vAlign w:val="bottom"/>
            <w:hideMark/>
          </w:tcPr>
          <w:p w14:paraId="789E0508"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N (%)</w:t>
            </w:r>
          </w:p>
        </w:tc>
        <w:tc>
          <w:tcPr>
            <w:tcW w:w="960" w:type="dxa"/>
            <w:tcBorders>
              <w:top w:val="single" w:sz="8" w:space="0" w:color="auto"/>
              <w:left w:val="nil"/>
              <w:bottom w:val="single" w:sz="4" w:space="0" w:color="auto"/>
              <w:right w:val="nil"/>
            </w:tcBorders>
            <w:shd w:val="clear" w:color="auto" w:fill="auto"/>
            <w:noWrap/>
            <w:vAlign w:val="bottom"/>
            <w:hideMark/>
          </w:tcPr>
          <w:p w14:paraId="61340E99"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S (%)</w:t>
            </w:r>
          </w:p>
        </w:tc>
        <w:tc>
          <w:tcPr>
            <w:tcW w:w="960" w:type="dxa"/>
            <w:tcBorders>
              <w:top w:val="single" w:sz="8" w:space="0" w:color="auto"/>
              <w:left w:val="nil"/>
              <w:bottom w:val="single" w:sz="4" w:space="0" w:color="auto"/>
              <w:right w:val="nil"/>
            </w:tcBorders>
            <w:shd w:val="clear" w:color="auto" w:fill="auto"/>
            <w:noWrap/>
            <w:vAlign w:val="bottom"/>
            <w:hideMark/>
          </w:tcPr>
          <w:p w14:paraId="2520E5D1"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 xml:space="preserve">DM (%) </w:t>
            </w:r>
          </w:p>
        </w:tc>
      </w:tr>
      <w:tr w:rsidR="00A11E4E" w:rsidRPr="00A11E4E" w14:paraId="1E87A7AF" w14:textId="77777777" w:rsidTr="00A11E4E">
        <w:trPr>
          <w:trHeight w:val="315"/>
        </w:trPr>
        <w:tc>
          <w:tcPr>
            <w:tcW w:w="1480" w:type="dxa"/>
            <w:tcBorders>
              <w:top w:val="nil"/>
              <w:left w:val="nil"/>
              <w:bottom w:val="nil"/>
              <w:right w:val="nil"/>
            </w:tcBorders>
            <w:shd w:val="clear" w:color="auto" w:fill="auto"/>
            <w:noWrap/>
            <w:vAlign w:val="bottom"/>
            <w:hideMark/>
          </w:tcPr>
          <w:p w14:paraId="4E7D766D"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Mean</w:t>
            </w:r>
          </w:p>
        </w:tc>
        <w:tc>
          <w:tcPr>
            <w:tcW w:w="1840" w:type="dxa"/>
            <w:tcBorders>
              <w:top w:val="nil"/>
              <w:left w:val="nil"/>
              <w:bottom w:val="nil"/>
              <w:right w:val="nil"/>
            </w:tcBorders>
            <w:shd w:val="clear" w:color="auto" w:fill="auto"/>
            <w:noWrap/>
            <w:vAlign w:val="bottom"/>
            <w:hideMark/>
          </w:tcPr>
          <w:p w14:paraId="3E35057F"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1.00</w:t>
            </w:r>
          </w:p>
        </w:tc>
        <w:tc>
          <w:tcPr>
            <w:tcW w:w="1340" w:type="dxa"/>
            <w:tcBorders>
              <w:top w:val="nil"/>
              <w:left w:val="nil"/>
              <w:bottom w:val="nil"/>
              <w:right w:val="nil"/>
            </w:tcBorders>
            <w:shd w:val="clear" w:color="auto" w:fill="auto"/>
            <w:noWrap/>
            <w:vAlign w:val="bottom"/>
            <w:hideMark/>
          </w:tcPr>
          <w:p w14:paraId="1320A112"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3.91</w:t>
            </w:r>
          </w:p>
        </w:tc>
        <w:tc>
          <w:tcPr>
            <w:tcW w:w="960" w:type="dxa"/>
            <w:tcBorders>
              <w:top w:val="nil"/>
              <w:left w:val="nil"/>
              <w:bottom w:val="nil"/>
              <w:right w:val="nil"/>
            </w:tcBorders>
            <w:shd w:val="clear" w:color="auto" w:fill="auto"/>
            <w:noWrap/>
            <w:vAlign w:val="bottom"/>
            <w:hideMark/>
          </w:tcPr>
          <w:p w14:paraId="65CFF166"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44.45</w:t>
            </w:r>
          </w:p>
        </w:tc>
        <w:tc>
          <w:tcPr>
            <w:tcW w:w="960" w:type="dxa"/>
            <w:tcBorders>
              <w:top w:val="nil"/>
              <w:left w:val="nil"/>
              <w:bottom w:val="nil"/>
              <w:right w:val="nil"/>
            </w:tcBorders>
            <w:shd w:val="clear" w:color="auto" w:fill="auto"/>
            <w:noWrap/>
            <w:vAlign w:val="bottom"/>
            <w:hideMark/>
          </w:tcPr>
          <w:p w14:paraId="756CC94B"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8.46</w:t>
            </w:r>
          </w:p>
        </w:tc>
        <w:tc>
          <w:tcPr>
            <w:tcW w:w="960" w:type="dxa"/>
            <w:tcBorders>
              <w:top w:val="nil"/>
              <w:left w:val="nil"/>
              <w:bottom w:val="nil"/>
              <w:right w:val="nil"/>
            </w:tcBorders>
            <w:shd w:val="clear" w:color="auto" w:fill="auto"/>
            <w:noWrap/>
            <w:vAlign w:val="bottom"/>
            <w:hideMark/>
          </w:tcPr>
          <w:p w14:paraId="69732A05"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0.44</w:t>
            </w:r>
          </w:p>
        </w:tc>
        <w:tc>
          <w:tcPr>
            <w:tcW w:w="960" w:type="dxa"/>
            <w:tcBorders>
              <w:top w:val="nil"/>
              <w:left w:val="nil"/>
              <w:bottom w:val="nil"/>
              <w:right w:val="nil"/>
            </w:tcBorders>
            <w:shd w:val="clear" w:color="auto" w:fill="auto"/>
            <w:noWrap/>
            <w:vAlign w:val="bottom"/>
            <w:hideMark/>
          </w:tcPr>
          <w:p w14:paraId="021FF1B0"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92.65</w:t>
            </w:r>
          </w:p>
        </w:tc>
      </w:tr>
      <w:tr w:rsidR="00A11E4E" w:rsidRPr="00A11E4E" w14:paraId="009F98E6" w14:textId="77777777" w:rsidTr="00A11E4E">
        <w:trPr>
          <w:trHeight w:val="300"/>
        </w:trPr>
        <w:tc>
          <w:tcPr>
            <w:tcW w:w="1480" w:type="dxa"/>
            <w:tcBorders>
              <w:top w:val="single" w:sz="8" w:space="0" w:color="auto"/>
              <w:left w:val="nil"/>
              <w:bottom w:val="single" w:sz="4" w:space="0" w:color="auto"/>
              <w:right w:val="nil"/>
            </w:tcBorders>
            <w:shd w:val="clear" w:color="auto" w:fill="auto"/>
            <w:noWrap/>
            <w:vAlign w:val="bottom"/>
            <w:hideMark/>
          </w:tcPr>
          <w:p w14:paraId="5538A7A3"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Characteristics</w:t>
            </w:r>
          </w:p>
        </w:tc>
        <w:tc>
          <w:tcPr>
            <w:tcW w:w="1840" w:type="dxa"/>
            <w:tcBorders>
              <w:top w:val="single" w:sz="8" w:space="0" w:color="auto"/>
              <w:left w:val="nil"/>
              <w:bottom w:val="single" w:sz="4" w:space="0" w:color="auto"/>
              <w:right w:val="nil"/>
            </w:tcBorders>
            <w:shd w:val="clear" w:color="auto" w:fill="auto"/>
            <w:noWrap/>
            <w:vAlign w:val="bottom"/>
            <w:hideMark/>
          </w:tcPr>
          <w:p w14:paraId="7983F87F"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Hemicellulose (%)</w:t>
            </w:r>
          </w:p>
        </w:tc>
        <w:tc>
          <w:tcPr>
            <w:tcW w:w="1340" w:type="dxa"/>
            <w:tcBorders>
              <w:top w:val="single" w:sz="8" w:space="0" w:color="auto"/>
              <w:left w:val="nil"/>
              <w:bottom w:val="single" w:sz="4" w:space="0" w:color="auto"/>
              <w:right w:val="nil"/>
            </w:tcBorders>
            <w:shd w:val="clear" w:color="auto" w:fill="auto"/>
            <w:noWrap/>
            <w:vAlign w:val="bottom"/>
            <w:hideMark/>
          </w:tcPr>
          <w:p w14:paraId="56E109A2"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Cellulose (%)</w:t>
            </w:r>
          </w:p>
        </w:tc>
        <w:tc>
          <w:tcPr>
            <w:tcW w:w="960" w:type="dxa"/>
            <w:tcBorders>
              <w:top w:val="single" w:sz="8" w:space="0" w:color="auto"/>
              <w:left w:val="nil"/>
              <w:bottom w:val="single" w:sz="4" w:space="0" w:color="auto"/>
              <w:right w:val="nil"/>
            </w:tcBorders>
            <w:shd w:val="clear" w:color="auto" w:fill="auto"/>
            <w:noWrap/>
            <w:vAlign w:val="bottom"/>
            <w:hideMark/>
          </w:tcPr>
          <w:p w14:paraId="123B8277"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CP (%)</w:t>
            </w:r>
          </w:p>
        </w:tc>
        <w:tc>
          <w:tcPr>
            <w:tcW w:w="960" w:type="dxa"/>
            <w:tcBorders>
              <w:top w:val="single" w:sz="8" w:space="0" w:color="auto"/>
              <w:left w:val="nil"/>
              <w:bottom w:val="single" w:sz="4" w:space="0" w:color="auto"/>
              <w:right w:val="nil"/>
            </w:tcBorders>
            <w:shd w:val="clear" w:color="auto" w:fill="auto"/>
            <w:noWrap/>
            <w:vAlign w:val="center"/>
            <w:hideMark/>
          </w:tcPr>
          <w:p w14:paraId="1008D751"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NDF (%)</w:t>
            </w:r>
          </w:p>
        </w:tc>
        <w:tc>
          <w:tcPr>
            <w:tcW w:w="960" w:type="dxa"/>
            <w:tcBorders>
              <w:top w:val="single" w:sz="8" w:space="0" w:color="auto"/>
              <w:left w:val="nil"/>
              <w:bottom w:val="single" w:sz="4" w:space="0" w:color="auto"/>
              <w:right w:val="nil"/>
            </w:tcBorders>
            <w:shd w:val="clear" w:color="auto" w:fill="auto"/>
            <w:noWrap/>
            <w:vAlign w:val="center"/>
            <w:hideMark/>
          </w:tcPr>
          <w:p w14:paraId="3E38E7DD"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ADF (%)</w:t>
            </w:r>
          </w:p>
        </w:tc>
        <w:tc>
          <w:tcPr>
            <w:tcW w:w="960" w:type="dxa"/>
            <w:tcBorders>
              <w:top w:val="single" w:sz="8" w:space="0" w:color="auto"/>
              <w:left w:val="nil"/>
              <w:bottom w:val="single" w:sz="4" w:space="0" w:color="auto"/>
              <w:right w:val="nil"/>
            </w:tcBorders>
            <w:shd w:val="clear" w:color="auto" w:fill="auto"/>
            <w:noWrap/>
            <w:vAlign w:val="center"/>
            <w:hideMark/>
          </w:tcPr>
          <w:p w14:paraId="2823CDEC" w14:textId="77777777" w:rsidR="00A11E4E" w:rsidRPr="00A11E4E" w:rsidRDefault="00A11E4E" w:rsidP="00A11E4E">
            <w:pPr>
              <w:spacing w:after="0" w:line="240" w:lineRule="auto"/>
              <w:jc w:val="center"/>
              <w:rPr>
                <w:rFonts w:ascii="Calibri" w:eastAsia="Times New Roman" w:hAnsi="Calibri" w:cs="Calibri"/>
                <w:b/>
                <w:bCs/>
                <w:color w:val="000000"/>
              </w:rPr>
            </w:pPr>
            <w:r w:rsidRPr="00A11E4E">
              <w:rPr>
                <w:rFonts w:ascii="Calibri" w:eastAsia="Times New Roman" w:hAnsi="Calibri" w:cs="Calibri"/>
                <w:b/>
                <w:bCs/>
                <w:color w:val="000000"/>
              </w:rPr>
              <w:t>ADL (%)</w:t>
            </w:r>
          </w:p>
        </w:tc>
      </w:tr>
      <w:tr w:rsidR="00A11E4E" w:rsidRPr="00A11E4E" w14:paraId="370D7E39" w14:textId="77777777" w:rsidTr="00A11E4E">
        <w:trPr>
          <w:trHeight w:val="315"/>
        </w:trPr>
        <w:tc>
          <w:tcPr>
            <w:tcW w:w="1480" w:type="dxa"/>
            <w:tcBorders>
              <w:top w:val="nil"/>
              <w:left w:val="nil"/>
              <w:bottom w:val="single" w:sz="8" w:space="0" w:color="auto"/>
              <w:right w:val="nil"/>
            </w:tcBorders>
            <w:shd w:val="clear" w:color="auto" w:fill="auto"/>
            <w:noWrap/>
            <w:vAlign w:val="bottom"/>
            <w:hideMark/>
          </w:tcPr>
          <w:p w14:paraId="05B971F2"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Mean</w:t>
            </w:r>
          </w:p>
        </w:tc>
        <w:tc>
          <w:tcPr>
            <w:tcW w:w="1840" w:type="dxa"/>
            <w:tcBorders>
              <w:top w:val="nil"/>
              <w:left w:val="nil"/>
              <w:bottom w:val="single" w:sz="8" w:space="0" w:color="auto"/>
              <w:right w:val="nil"/>
            </w:tcBorders>
            <w:shd w:val="clear" w:color="auto" w:fill="auto"/>
            <w:noWrap/>
            <w:vAlign w:val="bottom"/>
            <w:hideMark/>
          </w:tcPr>
          <w:p w14:paraId="365501D8"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6.04</w:t>
            </w:r>
          </w:p>
        </w:tc>
        <w:tc>
          <w:tcPr>
            <w:tcW w:w="1340" w:type="dxa"/>
            <w:tcBorders>
              <w:top w:val="nil"/>
              <w:left w:val="nil"/>
              <w:bottom w:val="single" w:sz="8" w:space="0" w:color="auto"/>
              <w:right w:val="nil"/>
            </w:tcBorders>
            <w:shd w:val="clear" w:color="auto" w:fill="auto"/>
            <w:noWrap/>
            <w:vAlign w:val="bottom"/>
            <w:hideMark/>
          </w:tcPr>
          <w:p w14:paraId="763491E4"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3.26</w:t>
            </w:r>
          </w:p>
        </w:tc>
        <w:tc>
          <w:tcPr>
            <w:tcW w:w="960" w:type="dxa"/>
            <w:tcBorders>
              <w:top w:val="nil"/>
              <w:left w:val="nil"/>
              <w:bottom w:val="single" w:sz="8" w:space="0" w:color="auto"/>
              <w:right w:val="nil"/>
            </w:tcBorders>
            <w:shd w:val="clear" w:color="auto" w:fill="auto"/>
            <w:noWrap/>
            <w:vAlign w:val="bottom"/>
            <w:hideMark/>
          </w:tcPr>
          <w:p w14:paraId="59CDD149"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52.82</w:t>
            </w:r>
          </w:p>
        </w:tc>
        <w:tc>
          <w:tcPr>
            <w:tcW w:w="960" w:type="dxa"/>
            <w:tcBorders>
              <w:top w:val="nil"/>
              <w:left w:val="nil"/>
              <w:bottom w:val="single" w:sz="8" w:space="0" w:color="auto"/>
              <w:right w:val="nil"/>
            </w:tcBorders>
            <w:shd w:val="clear" w:color="auto" w:fill="auto"/>
            <w:noWrap/>
            <w:vAlign w:val="bottom"/>
            <w:hideMark/>
          </w:tcPr>
          <w:p w14:paraId="47E2C84B"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9.47</w:t>
            </w:r>
          </w:p>
        </w:tc>
        <w:tc>
          <w:tcPr>
            <w:tcW w:w="960" w:type="dxa"/>
            <w:tcBorders>
              <w:top w:val="nil"/>
              <w:left w:val="nil"/>
              <w:bottom w:val="single" w:sz="8" w:space="0" w:color="auto"/>
              <w:right w:val="nil"/>
            </w:tcBorders>
            <w:shd w:val="clear" w:color="auto" w:fill="auto"/>
            <w:noWrap/>
            <w:vAlign w:val="bottom"/>
            <w:hideMark/>
          </w:tcPr>
          <w:p w14:paraId="622AB8DD"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6.22</w:t>
            </w:r>
          </w:p>
        </w:tc>
        <w:tc>
          <w:tcPr>
            <w:tcW w:w="960" w:type="dxa"/>
            <w:tcBorders>
              <w:top w:val="nil"/>
              <w:left w:val="nil"/>
              <w:bottom w:val="single" w:sz="8" w:space="0" w:color="auto"/>
              <w:right w:val="nil"/>
            </w:tcBorders>
            <w:shd w:val="clear" w:color="auto" w:fill="auto"/>
            <w:noWrap/>
            <w:vAlign w:val="bottom"/>
            <w:hideMark/>
          </w:tcPr>
          <w:p w14:paraId="1C02EB67" w14:textId="77777777" w:rsidR="00A11E4E" w:rsidRPr="00A11E4E" w:rsidRDefault="00A11E4E" w:rsidP="00A11E4E">
            <w:pPr>
              <w:spacing w:after="0" w:line="240" w:lineRule="auto"/>
              <w:jc w:val="center"/>
              <w:rPr>
                <w:rFonts w:ascii="Calibri" w:eastAsia="Times New Roman" w:hAnsi="Calibri" w:cs="Calibri"/>
                <w:color w:val="000000"/>
              </w:rPr>
            </w:pPr>
            <w:r w:rsidRPr="00A11E4E">
              <w:rPr>
                <w:rFonts w:ascii="Calibri" w:eastAsia="Times New Roman" w:hAnsi="Calibri" w:cs="Calibri"/>
                <w:color w:val="000000"/>
              </w:rPr>
              <w:t>0.18</w:t>
            </w:r>
          </w:p>
        </w:tc>
      </w:tr>
    </w:tbl>
    <w:p w14:paraId="352B7BE2" w14:textId="77777777" w:rsidR="00601251" w:rsidRDefault="00601251" w:rsidP="008C5D65"/>
    <w:p w14:paraId="6B4E29DB" w14:textId="01076F95" w:rsidR="00EF1453" w:rsidRDefault="00EF1453" w:rsidP="00EF1453">
      <w:pPr>
        <w:pStyle w:val="ListParagraph"/>
        <w:numPr>
          <w:ilvl w:val="0"/>
          <w:numId w:val="5"/>
        </w:numPr>
      </w:pPr>
      <w:r>
        <w:t xml:space="preserve">The first experiment was designated for evaluating </w:t>
      </w:r>
      <w:r w:rsidRPr="00EF1453">
        <w:t xml:space="preserve">impact of </w:t>
      </w:r>
      <w:r>
        <w:t>t</w:t>
      </w:r>
      <w:r w:rsidR="007C0888">
        <w:t>hree</w:t>
      </w:r>
      <w:r>
        <w:t xml:space="preserve"> </w:t>
      </w:r>
      <w:r w:rsidRPr="00EF1453">
        <w:t xml:space="preserve">particle sizes and </w:t>
      </w:r>
      <w:r w:rsidR="007C0888">
        <w:t xml:space="preserve">two </w:t>
      </w:r>
      <w:r w:rsidRPr="00EF1453">
        <w:t xml:space="preserve">bioreactor temperatures </w:t>
      </w:r>
      <w:r w:rsidR="007C0888">
        <w:t>(</w:t>
      </w:r>
      <w:r w:rsidR="007C0888" w:rsidRPr="007C0888">
        <w:t>mesophilic</w:t>
      </w:r>
      <w:r w:rsidR="007C0888">
        <w:t>—35</w:t>
      </w:r>
      <w:r w:rsidR="007C0888">
        <w:rPr>
          <w:rFonts w:cstheme="minorHAnsi"/>
        </w:rPr>
        <w:t>°</w:t>
      </w:r>
      <w:r w:rsidR="007C0888">
        <w:t>C</w:t>
      </w:r>
      <w:r w:rsidR="007C0888" w:rsidRPr="007C0888">
        <w:t xml:space="preserve"> and thermophilic</w:t>
      </w:r>
      <w:r w:rsidR="007C0888">
        <w:t>—55</w:t>
      </w:r>
      <w:r w:rsidR="007C0888">
        <w:rPr>
          <w:rFonts w:cstheme="minorHAnsi"/>
        </w:rPr>
        <w:t>°</w:t>
      </w:r>
      <w:r w:rsidR="007C0888">
        <w:t>C) at solid state (</w:t>
      </w:r>
      <w:r w:rsidR="007C0888" w:rsidRPr="00616839">
        <w:rPr>
          <w:highlight w:val="yellow"/>
        </w:rPr>
        <w:t>10% total solid</w:t>
      </w:r>
      <w:r w:rsidR="007C0888">
        <w:t xml:space="preserve">) </w:t>
      </w:r>
      <w:r w:rsidRPr="00EF1453">
        <w:t>on methane yield of DSM anaerobically digested in lab-scale reactors</w:t>
      </w:r>
      <w:r>
        <w:t xml:space="preserve">. </w:t>
      </w:r>
      <w:r w:rsidR="007C0888">
        <w:t xml:space="preserve">The experiment was conducted in two runs including a total of 18 treatments with triplites. </w:t>
      </w:r>
      <w:r w:rsidR="0037510F">
        <w:t xml:space="preserve">Figures 2-4 </w:t>
      </w:r>
      <w:r w:rsidR="004420E3">
        <w:t>show the measurements of pH, o</w:t>
      </w:r>
      <w:r w:rsidR="004420E3" w:rsidRPr="004420E3">
        <w:t xml:space="preserve">xygen reduction potential (ORP) </w:t>
      </w:r>
      <w:r w:rsidR="004420E3">
        <w:t>and e</w:t>
      </w:r>
      <w:r w:rsidR="004420E3" w:rsidRPr="004420E3">
        <w:t>lectrical conductivity (EC)</w:t>
      </w:r>
      <w:r w:rsidR="004420E3">
        <w:t xml:space="preserve"> of </w:t>
      </w:r>
      <w:r w:rsidR="00F01221">
        <w:t xml:space="preserve">control inoculum and </w:t>
      </w:r>
      <w:r w:rsidR="008622CD">
        <w:t xml:space="preserve">treatments of three particle sizes in both mesophilic and thermophilic conditions. The first run </w:t>
      </w:r>
      <w:r w:rsidR="008622CD">
        <w:t>last</w:t>
      </w:r>
      <w:r w:rsidR="008622CD">
        <w:t>ed</w:t>
      </w:r>
      <w:r w:rsidR="008622CD">
        <w:t xml:space="preserve"> </w:t>
      </w:r>
      <w:r w:rsidR="008622CD">
        <w:t xml:space="preserve">for </w:t>
      </w:r>
      <w:r w:rsidR="008622CD">
        <w:t xml:space="preserve">four weeks </w:t>
      </w:r>
      <w:r w:rsidR="008622CD">
        <w:t>between October 14</w:t>
      </w:r>
      <w:r w:rsidR="008622CD" w:rsidRPr="008622CD">
        <w:rPr>
          <w:vertAlign w:val="superscript"/>
        </w:rPr>
        <w:t>th</w:t>
      </w:r>
      <w:r w:rsidR="008622CD">
        <w:t xml:space="preserve"> and November 14</w:t>
      </w:r>
      <w:r w:rsidR="008622CD" w:rsidRPr="008622CD">
        <w:rPr>
          <w:vertAlign w:val="superscript"/>
        </w:rPr>
        <w:t>th</w:t>
      </w:r>
      <w:r w:rsidR="008622CD">
        <w:t xml:space="preserve"> to collect data of daily gas yield and total gas yield accumulation. AD was conducted in two water baths at setup temperatures of </w:t>
      </w:r>
      <w:r w:rsidR="008622CD" w:rsidRPr="007C0888">
        <w:t>mesophilic</w:t>
      </w:r>
      <w:r w:rsidR="008622CD">
        <w:t>—35</w:t>
      </w:r>
      <w:r w:rsidR="008622CD">
        <w:rPr>
          <w:rFonts w:cstheme="minorHAnsi"/>
        </w:rPr>
        <w:t>°</w:t>
      </w:r>
      <w:r w:rsidR="008622CD">
        <w:t>C</w:t>
      </w:r>
      <w:r w:rsidR="008622CD" w:rsidRPr="007C0888">
        <w:t xml:space="preserve"> and thermophilic</w:t>
      </w:r>
      <w:r w:rsidR="008622CD">
        <w:t>—55</w:t>
      </w:r>
      <w:r w:rsidR="008622CD">
        <w:rPr>
          <w:rFonts w:cstheme="minorHAnsi"/>
        </w:rPr>
        <w:t>°</w:t>
      </w:r>
      <w:r w:rsidR="008622CD">
        <w:t>C</w:t>
      </w:r>
      <w:r w:rsidR="008622CD">
        <w:t xml:space="preserve">, respectively. Due to the space limitation, triplicated controls and treatments were conducted in two runs separately. The </w:t>
      </w:r>
      <w:r w:rsidR="00172E0D">
        <w:t>second run is ongoing. D</w:t>
      </w:r>
      <w:r w:rsidR="00172E0D" w:rsidRPr="00172E0D">
        <w:t>aily gas yield and total gas yield accumulation</w:t>
      </w:r>
      <w:r w:rsidR="00172E0D">
        <w:t xml:space="preserve"> are shown in Figures 5 and 6</w:t>
      </w:r>
      <w:r w:rsidR="00172E0D" w:rsidRPr="00172E0D">
        <w:t xml:space="preserve"> </w:t>
      </w:r>
      <w:r w:rsidR="00172E0D">
        <w:t xml:space="preserve">under </w:t>
      </w:r>
      <w:r w:rsidR="00172E0D" w:rsidRPr="007C0888">
        <w:t>mesophilic</w:t>
      </w:r>
      <w:r w:rsidR="00172E0D">
        <w:t xml:space="preserve"> condition</w:t>
      </w:r>
      <w:r w:rsidR="00172E0D">
        <w:t xml:space="preserve">, and in Figures 7 and 8 under thermophilic condition, respectively. </w:t>
      </w:r>
      <w:r w:rsidR="00FC10EC">
        <w:t xml:space="preserve">Methane concentrations (%) and hydrogen </w:t>
      </w:r>
      <w:proofErr w:type="spellStart"/>
      <w:r w:rsidR="00FC10EC" w:rsidRPr="00FC10EC">
        <w:t>sulphide</w:t>
      </w:r>
      <w:proofErr w:type="spellEnd"/>
      <w:r w:rsidR="00FC10EC" w:rsidRPr="00FC10EC">
        <w:t xml:space="preserve"> concentration</w:t>
      </w:r>
      <w:r w:rsidR="00FC10EC">
        <w:t xml:space="preserve">s (ppm) were analyzed using GC and are shown in Table 2 and 3, respectively.  </w:t>
      </w:r>
      <w:bookmarkStart w:id="1" w:name="_GoBack"/>
      <w:bookmarkEnd w:id="1"/>
    </w:p>
    <w:p w14:paraId="1F62284C" w14:textId="26B42262" w:rsidR="00F85EF5" w:rsidRDefault="00C77AEA" w:rsidP="000204A1">
      <w:pPr>
        <w:jc w:val="center"/>
      </w:pPr>
      <w:r>
        <w:rPr>
          <w:noProof/>
        </w:rPr>
        <w:lastRenderedPageBreak/>
        <w:drawing>
          <wp:inline distT="0" distB="0" distL="0" distR="0" wp14:anchorId="2B6002C5" wp14:editId="2F523AA3">
            <wp:extent cx="3931920" cy="23635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1920" cy="2363509"/>
                    </a:xfrm>
                    <a:prstGeom prst="rect">
                      <a:avLst/>
                    </a:prstGeom>
                    <a:noFill/>
                  </pic:spPr>
                </pic:pic>
              </a:graphicData>
            </a:graphic>
          </wp:inline>
        </w:drawing>
      </w:r>
    </w:p>
    <w:p w14:paraId="6797CB50" w14:textId="639A61A0" w:rsidR="008C5D65" w:rsidRDefault="008C5D65" w:rsidP="00C77AEA">
      <w:r>
        <w:t xml:space="preserve">Figure 2. pH measurements of control inoculum and treatments </w:t>
      </w:r>
      <w:r w:rsidR="000204A1">
        <w:t xml:space="preserve">for three particle sizes </w:t>
      </w:r>
      <w:r>
        <w:t xml:space="preserve">under </w:t>
      </w:r>
      <w:r w:rsidR="000204A1">
        <w:t>mesophilic and thermophilic conditions.</w:t>
      </w:r>
    </w:p>
    <w:p w14:paraId="6AFA5680" w14:textId="0C1C867E" w:rsidR="007C278B" w:rsidRDefault="00C77AEA" w:rsidP="000B243E">
      <w:pPr>
        <w:pStyle w:val="ListParagraph"/>
        <w:jc w:val="center"/>
      </w:pPr>
      <w:r>
        <w:rPr>
          <w:noProof/>
        </w:rPr>
        <w:drawing>
          <wp:inline distT="0" distB="0" distL="0" distR="0" wp14:anchorId="578F683B" wp14:editId="1C83021D">
            <wp:extent cx="3931920" cy="23635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31920" cy="2363509"/>
                    </a:xfrm>
                    <a:prstGeom prst="rect">
                      <a:avLst/>
                    </a:prstGeom>
                    <a:noFill/>
                  </pic:spPr>
                </pic:pic>
              </a:graphicData>
            </a:graphic>
          </wp:inline>
        </w:drawing>
      </w:r>
    </w:p>
    <w:p w14:paraId="0DF6F45A" w14:textId="4D3AA636" w:rsidR="000B243E" w:rsidRDefault="000B243E" w:rsidP="000B243E">
      <w:r>
        <w:t>Figure 3. Oxygen reduction potential (ORP) measurements of control inoculum and treatments for three particle sizes under mesophilic and thermophilic conditions.</w:t>
      </w:r>
    </w:p>
    <w:p w14:paraId="3D60432D" w14:textId="78591E93" w:rsidR="000B243E" w:rsidRPr="000B243E" w:rsidRDefault="000B243E" w:rsidP="000B243E">
      <w:pPr>
        <w:pStyle w:val="ListParagraph"/>
        <w:jc w:val="center"/>
        <w:rPr>
          <w:b/>
        </w:rPr>
      </w:pPr>
    </w:p>
    <w:p w14:paraId="0F7A56E9" w14:textId="59BDBEC8" w:rsidR="00C77AEA" w:rsidRDefault="00C77AEA" w:rsidP="000B243E">
      <w:pPr>
        <w:pStyle w:val="ListParagraph"/>
        <w:jc w:val="center"/>
      </w:pPr>
      <w:r>
        <w:rPr>
          <w:noProof/>
        </w:rPr>
        <w:lastRenderedPageBreak/>
        <w:drawing>
          <wp:inline distT="0" distB="0" distL="0" distR="0" wp14:anchorId="2DBF758F" wp14:editId="21A32DB0">
            <wp:extent cx="3931920" cy="23635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1920" cy="2363509"/>
                    </a:xfrm>
                    <a:prstGeom prst="rect">
                      <a:avLst/>
                    </a:prstGeom>
                    <a:noFill/>
                  </pic:spPr>
                </pic:pic>
              </a:graphicData>
            </a:graphic>
          </wp:inline>
        </w:drawing>
      </w:r>
    </w:p>
    <w:p w14:paraId="1B347C45" w14:textId="77777777" w:rsidR="000B243E" w:rsidRDefault="000B243E" w:rsidP="000B243E">
      <w:r>
        <w:t>Figure 4. Electrical conductivity (EC) measurements of control inoculum and treatments for three particle sizes under mesophilic and thermophilic conditions.</w:t>
      </w:r>
    </w:p>
    <w:p w14:paraId="40F5F83E" w14:textId="77777777" w:rsidR="000B243E" w:rsidRDefault="000B243E" w:rsidP="000B243E">
      <w:pPr>
        <w:jc w:val="center"/>
      </w:pPr>
      <w:r>
        <w:rPr>
          <w:noProof/>
        </w:rPr>
        <w:drawing>
          <wp:inline distT="0" distB="0" distL="0" distR="0" wp14:anchorId="17768850" wp14:editId="65EE9588">
            <wp:extent cx="5029200" cy="306505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29200" cy="3065050"/>
                    </a:xfrm>
                    <a:prstGeom prst="rect">
                      <a:avLst/>
                    </a:prstGeom>
                    <a:noFill/>
                  </pic:spPr>
                </pic:pic>
              </a:graphicData>
            </a:graphic>
          </wp:inline>
        </w:drawing>
      </w:r>
    </w:p>
    <w:p w14:paraId="6728D35D" w14:textId="0CEB7BB8" w:rsidR="00773DF7" w:rsidRDefault="000B243E" w:rsidP="000B243E">
      <w:r>
        <w:t>Figure 5. D</w:t>
      </w:r>
      <w:r w:rsidR="00773DF7">
        <w:t>aily gas yield</w:t>
      </w:r>
      <w:r>
        <w:t xml:space="preserve"> of three particle sizes under Mesophilic condition.</w:t>
      </w:r>
    </w:p>
    <w:p w14:paraId="55282CDA" w14:textId="77777777" w:rsidR="000B243E" w:rsidRDefault="00773DF7" w:rsidP="000B243E">
      <w:pPr>
        <w:pStyle w:val="ListParagraph"/>
      </w:pPr>
      <w:r>
        <w:rPr>
          <w:noProof/>
        </w:rPr>
        <w:lastRenderedPageBreak/>
        <w:drawing>
          <wp:inline distT="0" distB="0" distL="0" distR="0" wp14:anchorId="3140A16A" wp14:editId="76A3B8D2">
            <wp:extent cx="5029200" cy="3081957"/>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200" cy="3081957"/>
                    </a:xfrm>
                    <a:prstGeom prst="rect">
                      <a:avLst/>
                    </a:prstGeom>
                    <a:noFill/>
                  </pic:spPr>
                </pic:pic>
              </a:graphicData>
            </a:graphic>
          </wp:inline>
        </w:drawing>
      </w:r>
    </w:p>
    <w:p w14:paraId="3548CCEB" w14:textId="29AC6194" w:rsidR="00773DF7" w:rsidRDefault="000B243E" w:rsidP="000B243E">
      <w:r>
        <w:t>Figure 6. A</w:t>
      </w:r>
      <w:r w:rsidR="00773DF7">
        <w:t>ccumulated</w:t>
      </w:r>
      <w:r>
        <w:t xml:space="preserve"> gas</w:t>
      </w:r>
      <w:r w:rsidR="00773DF7">
        <w:t xml:space="preserve"> production</w:t>
      </w:r>
      <w:r>
        <w:t xml:space="preserve"> of three particle sizes under Mesophilic condition.</w:t>
      </w:r>
    </w:p>
    <w:p w14:paraId="02617FB5" w14:textId="18C3022A" w:rsidR="00773DF7" w:rsidRDefault="000B243E" w:rsidP="000A2ACA">
      <w:pPr>
        <w:pStyle w:val="ListParagraph"/>
      </w:pPr>
      <w:r>
        <w:rPr>
          <w:noProof/>
        </w:rPr>
        <w:drawing>
          <wp:inline distT="0" distB="0" distL="0" distR="0" wp14:anchorId="0DC3E383" wp14:editId="5425E608">
            <wp:extent cx="5029200" cy="307483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9200" cy="3074837"/>
                    </a:xfrm>
                    <a:prstGeom prst="rect">
                      <a:avLst/>
                    </a:prstGeom>
                    <a:noFill/>
                  </pic:spPr>
                </pic:pic>
              </a:graphicData>
            </a:graphic>
          </wp:inline>
        </w:drawing>
      </w:r>
    </w:p>
    <w:p w14:paraId="51E3332E" w14:textId="49F0CE98" w:rsidR="00960264" w:rsidRDefault="000A2ACA" w:rsidP="000A2ACA">
      <w:r>
        <w:t>Figure 7. Daily gas yield of three particle sizes under Thermophilic condition.</w:t>
      </w:r>
    </w:p>
    <w:p w14:paraId="5CC5735D" w14:textId="7565156B" w:rsidR="00773DF7" w:rsidRDefault="00773DF7" w:rsidP="00EB6B54">
      <w:pPr>
        <w:pStyle w:val="ListParagraph"/>
      </w:pPr>
      <w:r>
        <w:rPr>
          <w:noProof/>
        </w:rPr>
        <w:lastRenderedPageBreak/>
        <w:drawing>
          <wp:inline distT="0" distB="0" distL="0" distR="0" wp14:anchorId="0FC8E70B" wp14:editId="1B902D19">
            <wp:extent cx="5029200" cy="3063240"/>
            <wp:effectExtent l="0" t="0" r="0" b="381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29200" cy="3063240"/>
                    </a:xfrm>
                    <a:prstGeom prst="rect">
                      <a:avLst/>
                    </a:prstGeom>
                    <a:noFill/>
                  </pic:spPr>
                </pic:pic>
              </a:graphicData>
            </a:graphic>
          </wp:inline>
        </w:drawing>
      </w:r>
    </w:p>
    <w:p w14:paraId="1E3C93C1" w14:textId="69E9F059" w:rsidR="000A2ACA" w:rsidRDefault="000A2ACA" w:rsidP="000A2ACA">
      <w:r>
        <w:t>Figure 8. Accumulated gas production of three particle sizes under Thermophilic condition.</w:t>
      </w:r>
    </w:p>
    <w:p w14:paraId="4694500C" w14:textId="15681F92" w:rsidR="00A502B2" w:rsidRDefault="000A2ACA" w:rsidP="000A2ACA">
      <w:r>
        <w:t xml:space="preserve">Table 2. </w:t>
      </w:r>
      <w:r w:rsidR="00A502B2">
        <w:t>Methane concentration</w:t>
      </w:r>
      <w:r w:rsidR="00D22906">
        <w:t>.</w:t>
      </w:r>
    </w:p>
    <w:tbl>
      <w:tblPr>
        <w:tblW w:w="6880" w:type="dxa"/>
        <w:jc w:val="center"/>
        <w:tblLook w:val="04A0" w:firstRow="1" w:lastRow="0" w:firstColumn="1" w:lastColumn="0" w:noHBand="0" w:noVBand="1"/>
      </w:tblPr>
      <w:tblGrid>
        <w:gridCol w:w="1278"/>
        <w:gridCol w:w="1082"/>
        <w:gridCol w:w="890"/>
        <w:gridCol w:w="908"/>
        <w:gridCol w:w="1082"/>
        <w:gridCol w:w="890"/>
        <w:gridCol w:w="908"/>
      </w:tblGrid>
      <w:tr w:rsidR="00A502B2" w:rsidRPr="00A502B2" w14:paraId="017329DA" w14:textId="77777777" w:rsidTr="00D22906">
        <w:trPr>
          <w:trHeight w:val="300"/>
          <w:jc w:val="center"/>
        </w:trPr>
        <w:tc>
          <w:tcPr>
            <w:tcW w:w="1120" w:type="dxa"/>
            <w:vMerge w:val="restart"/>
            <w:tcBorders>
              <w:top w:val="single" w:sz="8" w:space="0" w:color="auto"/>
              <w:left w:val="nil"/>
              <w:bottom w:val="single" w:sz="4" w:space="0" w:color="auto"/>
              <w:right w:val="nil"/>
            </w:tcBorders>
            <w:shd w:val="clear" w:color="auto" w:fill="auto"/>
            <w:noWrap/>
            <w:vAlign w:val="center"/>
            <w:hideMark/>
          </w:tcPr>
          <w:p w14:paraId="13BC67E0" w14:textId="77777777" w:rsidR="00A502B2" w:rsidRPr="00A502B2" w:rsidRDefault="00A502B2" w:rsidP="00A502B2">
            <w:pPr>
              <w:spacing w:after="0" w:line="240" w:lineRule="auto"/>
              <w:jc w:val="center"/>
              <w:rPr>
                <w:rFonts w:ascii="Calibri" w:eastAsia="Times New Roman" w:hAnsi="Calibri" w:cs="Calibri"/>
                <w:b/>
                <w:bCs/>
                <w:color w:val="000000"/>
              </w:rPr>
            </w:pPr>
            <w:r w:rsidRPr="00A502B2">
              <w:rPr>
                <w:rFonts w:ascii="Calibri" w:eastAsia="Times New Roman" w:hAnsi="Calibri" w:cs="Calibri"/>
                <w:b/>
                <w:bCs/>
                <w:color w:val="000000"/>
              </w:rPr>
              <w:t>Date</w:t>
            </w:r>
          </w:p>
        </w:tc>
        <w:tc>
          <w:tcPr>
            <w:tcW w:w="2880" w:type="dxa"/>
            <w:gridSpan w:val="3"/>
            <w:tcBorders>
              <w:top w:val="single" w:sz="8" w:space="0" w:color="auto"/>
              <w:left w:val="single" w:sz="4" w:space="0" w:color="auto"/>
              <w:bottom w:val="single" w:sz="4" w:space="0" w:color="auto"/>
              <w:right w:val="single" w:sz="4" w:space="0" w:color="000000"/>
            </w:tcBorders>
            <w:shd w:val="clear" w:color="auto" w:fill="auto"/>
            <w:noWrap/>
            <w:vAlign w:val="bottom"/>
            <w:hideMark/>
          </w:tcPr>
          <w:p w14:paraId="3DE9C56F" w14:textId="77777777" w:rsidR="00A502B2" w:rsidRPr="00A502B2" w:rsidRDefault="00A502B2" w:rsidP="00A502B2">
            <w:pPr>
              <w:spacing w:after="0" w:line="240" w:lineRule="auto"/>
              <w:jc w:val="center"/>
              <w:rPr>
                <w:rFonts w:ascii="Calibri" w:eastAsia="Times New Roman" w:hAnsi="Calibri" w:cs="Calibri"/>
                <w:b/>
                <w:bCs/>
                <w:color w:val="000000"/>
              </w:rPr>
            </w:pPr>
            <w:r w:rsidRPr="00A502B2">
              <w:rPr>
                <w:rFonts w:ascii="Calibri" w:eastAsia="Times New Roman" w:hAnsi="Calibri" w:cs="Calibri"/>
                <w:b/>
                <w:bCs/>
                <w:color w:val="000000"/>
              </w:rPr>
              <w:t>Mesophilic (%)</w:t>
            </w:r>
          </w:p>
        </w:tc>
        <w:tc>
          <w:tcPr>
            <w:tcW w:w="2880" w:type="dxa"/>
            <w:gridSpan w:val="3"/>
            <w:tcBorders>
              <w:top w:val="single" w:sz="8" w:space="0" w:color="auto"/>
              <w:left w:val="nil"/>
              <w:bottom w:val="single" w:sz="4" w:space="0" w:color="auto"/>
              <w:right w:val="nil"/>
            </w:tcBorders>
            <w:shd w:val="clear" w:color="auto" w:fill="auto"/>
            <w:noWrap/>
            <w:vAlign w:val="bottom"/>
            <w:hideMark/>
          </w:tcPr>
          <w:p w14:paraId="4C4801A0" w14:textId="77777777" w:rsidR="00A502B2" w:rsidRPr="00A502B2" w:rsidRDefault="00A502B2" w:rsidP="00A502B2">
            <w:pPr>
              <w:spacing w:after="0" w:line="240" w:lineRule="auto"/>
              <w:jc w:val="center"/>
              <w:rPr>
                <w:rFonts w:ascii="Calibri" w:eastAsia="Times New Roman" w:hAnsi="Calibri" w:cs="Calibri"/>
                <w:b/>
                <w:bCs/>
                <w:color w:val="000000"/>
              </w:rPr>
            </w:pPr>
            <w:r w:rsidRPr="00A502B2">
              <w:rPr>
                <w:rFonts w:ascii="Calibri" w:eastAsia="Times New Roman" w:hAnsi="Calibri" w:cs="Calibri"/>
                <w:b/>
                <w:bCs/>
                <w:color w:val="000000"/>
              </w:rPr>
              <w:t>Thermophilic (%)</w:t>
            </w:r>
          </w:p>
        </w:tc>
      </w:tr>
      <w:tr w:rsidR="00A502B2" w:rsidRPr="00A502B2" w14:paraId="1C1F302D" w14:textId="77777777" w:rsidTr="00D22906">
        <w:trPr>
          <w:trHeight w:val="300"/>
          <w:jc w:val="center"/>
        </w:trPr>
        <w:tc>
          <w:tcPr>
            <w:tcW w:w="1120" w:type="dxa"/>
            <w:vMerge/>
            <w:tcBorders>
              <w:top w:val="single" w:sz="8" w:space="0" w:color="auto"/>
              <w:left w:val="nil"/>
              <w:bottom w:val="single" w:sz="4" w:space="0" w:color="auto"/>
              <w:right w:val="nil"/>
            </w:tcBorders>
            <w:vAlign w:val="center"/>
            <w:hideMark/>
          </w:tcPr>
          <w:p w14:paraId="3A1931B0" w14:textId="77777777" w:rsidR="00A502B2" w:rsidRPr="00A502B2" w:rsidRDefault="00A502B2" w:rsidP="00A502B2">
            <w:pPr>
              <w:spacing w:after="0" w:line="240" w:lineRule="auto"/>
              <w:rPr>
                <w:rFonts w:ascii="Calibri" w:eastAsia="Times New Roman" w:hAnsi="Calibri" w:cs="Calibri"/>
                <w:b/>
                <w:bCs/>
                <w:color w:val="000000"/>
              </w:rPr>
            </w:pPr>
          </w:p>
        </w:tc>
        <w:tc>
          <w:tcPr>
            <w:tcW w:w="1082" w:type="dxa"/>
            <w:tcBorders>
              <w:top w:val="nil"/>
              <w:left w:val="single" w:sz="4" w:space="0" w:color="auto"/>
              <w:bottom w:val="single" w:sz="4" w:space="0" w:color="auto"/>
              <w:right w:val="nil"/>
            </w:tcBorders>
            <w:shd w:val="clear" w:color="auto" w:fill="auto"/>
            <w:noWrap/>
            <w:vAlign w:val="bottom"/>
            <w:hideMark/>
          </w:tcPr>
          <w:p w14:paraId="73940E31"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PS_M</w:t>
            </w:r>
          </w:p>
        </w:tc>
        <w:tc>
          <w:tcPr>
            <w:tcW w:w="890" w:type="dxa"/>
            <w:tcBorders>
              <w:top w:val="nil"/>
              <w:left w:val="nil"/>
              <w:bottom w:val="single" w:sz="4" w:space="0" w:color="auto"/>
              <w:right w:val="nil"/>
            </w:tcBorders>
            <w:shd w:val="clear" w:color="auto" w:fill="auto"/>
            <w:noWrap/>
            <w:vAlign w:val="bottom"/>
            <w:hideMark/>
          </w:tcPr>
          <w:p w14:paraId="11F170A1"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PS_L</w:t>
            </w:r>
          </w:p>
        </w:tc>
        <w:tc>
          <w:tcPr>
            <w:tcW w:w="908" w:type="dxa"/>
            <w:tcBorders>
              <w:top w:val="nil"/>
              <w:left w:val="nil"/>
              <w:bottom w:val="single" w:sz="4" w:space="0" w:color="auto"/>
              <w:right w:val="single" w:sz="4" w:space="0" w:color="auto"/>
            </w:tcBorders>
            <w:shd w:val="clear" w:color="auto" w:fill="auto"/>
            <w:noWrap/>
            <w:vAlign w:val="bottom"/>
            <w:hideMark/>
          </w:tcPr>
          <w:p w14:paraId="767A89A8"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PS_F</w:t>
            </w:r>
          </w:p>
        </w:tc>
        <w:tc>
          <w:tcPr>
            <w:tcW w:w="1082" w:type="dxa"/>
            <w:tcBorders>
              <w:top w:val="nil"/>
              <w:left w:val="nil"/>
              <w:bottom w:val="single" w:sz="4" w:space="0" w:color="auto"/>
              <w:right w:val="nil"/>
            </w:tcBorders>
            <w:shd w:val="clear" w:color="auto" w:fill="auto"/>
            <w:noWrap/>
            <w:vAlign w:val="bottom"/>
            <w:hideMark/>
          </w:tcPr>
          <w:p w14:paraId="55FFE293"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PS_M</w:t>
            </w:r>
          </w:p>
        </w:tc>
        <w:tc>
          <w:tcPr>
            <w:tcW w:w="890" w:type="dxa"/>
            <w:tcBorders>
              <w:top w:val="nil"/>
              <w:left w:val="nil"/>
              <w:bottom w:val="single" w:sz="4" w:space="0" w:color="auto"/>
              <w:right w:val="nil"/>
            </w:tcBorders>
            <w:shd w:val="clear" w:color="auto" w:fill="auto"/>
            <w:noWrap/>
            <w:vAlign w:val="bottom"/>
            <w:hideMark/>
          </w:tcPr>
          <w:p w14:paraId="54A3F4A6"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PS_L</w:t>
            </w:r>
          </w:p>
        </w:tc>
        <w:tc>
          <w:tcPr>
            <w:tcW w:w="908" w:type="dxa"/>
            <w:tcBorders>
              <w:top w:val="nil"/>
              <w:left w:val="nil"/>
              <w:bottom w:val="single" w:sz="4" w:space="0" w:color="auto"/>
              <w:right w:val="nil"/>
            </w:tcBorders>
            <w:shd w:val="clear" w:color="auto" w:fill="auto"/>
            <w:noWrap/>
            <w:vAlign w:val="bottom"/>
            <w:hideMark/>
          </w:tcPr>
          <w:p w14:paraId="30ED5694"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PS_F</w:t>
            </w:r>
          </w:p>
        </w:tc>
      </w:tr>
      <w:tr w:rsidR="00A502B2" w:rsidRPr="00A502B2" w14:paraId="08F0DBA3" w14:textId="77777777" w:rsidTr="00D22906">
        <w:trPr>
          <w:trHeight w:val="300"/>
          <w:jc w:val="center"/>
        </w:trPr>
        <w:tc>
          <w:tcPr>
            <w:tcW w:w="1120" w:type="dxa"/>
            <w:tcBorders>
              <w:top w:val="nil"/>
              <w:left w:val="nil"/>
              <w:bottom w:val="nil"/>
              <w:right w:val="nil"/>
            </w:tcBorders>
            <w:shd w:val="clear" w:color="auto" w:fill="auto"/>
            <w:noWrap/>
            <w:vAlign w:val="bottom"/>
            <w:hideMark/>
          </w:tcPr>
          <w:p w14:paraId="738801F7"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10/17/2023</w:t>
            </w:r>
          </w:p>
        </w:tc>
        <w:tc>
          <w:tcPr>
            <w:tcW w:w="1082" w:type="dxa"/>
            <w:tcBorders>
              <w:top w:val="nil"/>
              <w:left w:val="single" w:sz="4" w:space="0" w:color="auto"/>
              <w:bottom w:val="nil"/>
              <w:right w:val="nil"/>
            </w:tcBorders>
            <w:shd w:val="clear" w:color="auto" w:fill="auto"/>
            <w:noWrap/>
            <w:vAlign w:val="bottom"/>
            <w:hideMark/>
          </w:tcPr>
          <w:p w14:paraId="43C055D8"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65.7</w:t>
            </w:r>
          </w:p>
        </w:tc>
        <w:tc>
          <w:tcPr>
            <w:tcW w:w="890" w:type="dxa"/>
            <w:tcBorders>
              <w:top w:val="nil"/>
              <w:left w:val="nil"/>
              <w:bottom w:val="nil"/>
              <w:right w:val="nil"/>
            </w:tcBorders>
            <w:shd w:val="clear" w:color="auto" w:fill="auto"/>
            <w:noWrap/>
            <w:vAlign w:val="bottom"/>
            <w:hideMark/>
          </w:tcPr>
          <w:p w14:paraId="44AA15B6"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68.7</w:t>
            </w:r>
          </w:p>
        </w:tc>
        <w:tc>
          <w:tcPr>
            <w:tcW w:w="908" w:type="dxa"/>
            <w:tcBorders>
              <w:top w:val="nil"/>
              <w:left w:val="nil"/>
              <w:bottom w:val="nil"/>
              <w:right w:val="single" w:sz="4" w:space="0" w:color="auto"/>
            </w:tcBorders>
            <w:shd w:val="clear" w:color="auto" w:fill="auto"/>
            <w:noWrap/>
            <w:vAlign w:val="bottom"/>
            <w:hideMark/>
          </w:tcPr>
          <w:p w14:paraId="4C0FC394"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57.5</w:t>
            </w:r>
          </w:p>
        </w:tc>
        <w:tc>
          <w:tcPr>
            <w:tcW w:w="1082" w:type="dxa"/>
            <w:tcBorders>
              <w:top w:val="nil"/>
              <w:left w:val="nil"/>
              <w:bottom w:val="nil"/>
              <w:right w:val="nil"/>
            </w:tcBorders>
            <w:shd w:val="clear" w:color="auto" w:fill="auto"/>
            <w:noWrap/>
            <w:vAlign w:val="bottom"/>
            <w:hideMark/>
          </w:tcPr>
          <w:p w14:paraId="13CEE427"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30.0</w:t>
            </w:r>
          </w:p>
        </w:tc>
        <w:tc>
          <w:tcPr>
            <w:tcW w:w="890" w:type="dxa"/>
            <w:tcBorders>
              <w:top w:val="nil"/>
              <w:left w:val="nil"/>
              <w:bottom w:val="nil"/>
              <w:right w:val="nil"/>
            </w:tcBorders>
            <w:shd w:val="clear" w:color="auto" w:fill="auto"/>
            <w:noWrap/>
            <w:vAlign w:val="bottom"/>
            <w:hideMark/>
          </w:tcPr>
          <w:p w14:paraId="0313686A"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30.4</w:t>
            </w:r>
          </w:p>
        </w:tc>
        <w:tc>
          <w:tcPr>
            <w:tcW w:w="908" w:type="dxa"/>
            <w:tcBorders>
              <w:top w:val="nil"/>
              <w:left w:val="nil"/>
              <w:bottom w:val="nil"/>
              <w:right w:val="nil"/>
            </w:tcBorders>
            <w:shd w:val="clear" w:color="auto" w:fill="auto"/>
            <w:noWrap/>
            <w:vAlign w:val="bottom"/>
            <w:hideMark/>
          </w:tcPr>
          <w:p w14:paraId="1A995F7C"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23.1</w:t>
            </w:r>
          </w:p>
        </w:tc>
      </w:tr>
      <w:tr w:rsidR="00A502B2" w:rsidRPr="00A502B2" w14:paraId="2E9B31A0" w14:textId="77777777" w:rsidTr="00D22906">
        <w:trPr>
          <w:trHeight w:val="300"/>
          <w:jc w:val="center"/>
        </w:trPr>
        <w:tc>
          <w:tcPr>
            <w:tcW w:w="1120" w:type="dxa"/>
            <w:tcBorders>
              <w:top w:val="nil"/>
              <w:left w:val="nil"/>
              <w:bottom w:val="nil"/>
              <w:right w:val="nil"/>
            </w:tcBorders>
            <w:shd w:val="clear" w:color="auto" w:fill="auto"/>
            <w:noWrap/>
            <w:vAlign w:val="bottom"/>
            <w:hideMark/>
          </w:tcPr>
          <w:p w14:paraId="1B26C08D"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10/22/2023</w:t>
            </w:r>
          </w:p>
        </w:tc>
        <w:tc>
          <w:tcPr>
            <w:tcW w:w="1082" w:type="dxa"/>
            <w:tcBorders>
              <w:top w:val="nil"/>
              <w:left w:val="single" w:sz="4" w:space="0" w:color="auto"/>
              <w:bottom w:val="nil"/>
              <w:right w:val="nil"/>
            </w:tcBorders>
            <w:shd w:val="clear" w:color="auto" w:fill="auto"/>
            <w:noWrap/>
            <w:vAlign w:val="bottom"/>
            <w:hideMark/>
          </w:tcPr>
          <w:p w14:paraId="38B5ADE0"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52.1</w:t>
            </w:r>
          </w:p>
        </w:tc>
        <w:tc>
          <w:tcPr>
            <w:tcW w:w="890" w:type="dxa"/>
            <w:tcBorders>
              <w:top w:val="nil"/>
              <w:left w:val="nil"/>
              <w:bottom w:val="nil"/>
              <w:right w:val="nil"/>
            </w:tcBorders>
            <w:shd w:val="clear" w:color="auto" w:fill="auto"/>
            <w:noWrap/>
            <w:vAlign w:val="bottom"/>
            <w:hideMark/>
          </w:tcPr>
          <w:p w14:paraId="2CDC3D3F"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54.8</w:t>
            </w:r>
          </w:p>
        </w:tc>
        <w:tc>
          <w:tcPr>
            <w:tcW w:w="908" w:type="dxa"/>
            <w:tcBorders>
              <w:top w:val="nil"/>
              <w:left w:val="nil"/>
              <w:bottom w:val="nil"/>
              <w:right w:val="single" w:sz="4" w:space="0" w:color="auto"/>
            </w:tcBorders>
            <w:shd w:val="clear" w:color="auto" w:fill="auto"/>
            <w:noWrap/>
            <w:vAlign w:val="bottom"/>
            <w:hideMark/>
          </w:tcPr>
          <w:p w14:paraId="18266FAF"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55.1</w:t>
            </w:r>
          </w:p>
        </w:tc>
        <w:tc>
          <w:tcPr>
            <w:tcW w:w="1082" w:type="dxa"/>
            <w:tcBorders>
              <w:top w:val="nil"/>
              <w:left w:val="nil"/>
              <w:bottom w:val="nil"/>
              <w:right w:val="nil"/>
            </w:tcBorders>
            <w:shd w:val="clear" w:color="auto" w:fill="auto"/>
            <w:noWrap/>
            <w:vAlign w:val="bottom"/>
            <w:hideMark/>
          </w:tcPr>
          <w:p w14:paraId="15973F3B"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21.7</w:t>
            </w:r>
          </w:p>
        </w:tc>
        <w:tc>
          <w:tcPr>
            <w:tcW w:w="890" w:type="dxa"/>
            <w:tcBorders>
              <w:top w:val="nil"/>
              <w:left w:val="nil"/>
              <w:bottom w:val="nil"/>
              <w:right w:val="nil"/>
            </w:tcBorders>
            <w:shd w:val="clear" w:color="auto" w:fill="auto"/>
            <w:noWrap/>
            <w:vAlign w:val="bottom"/>
            <w:hideMark/>
          </w:tcPr>
          <w:p w14:paraId="666165D1"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25.6</w:t>
            </w:r>
          </w:p>
        </w:tc>
        <w:tc>
          <w:tcPr>
            <w:tcW w:w="908" w:type="dxa"/>
            <w:tcBorders>
              <w:top w:val="nil"/>
              <w:left w:val="nil"/>
              <w:bottom w:val="nil"/>
              <w:right w:val="nil"/>
            </w:tcBorders>
            <w:shd w:val="clear" w:color="auto" w:fill="auto"/>
            <w:noWrap/>
            <w:vAlign w:val="bottom"/>
            <w:hideMark/>
          </w:tcPr>
          <w:p w14:paraId="418BE349"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24.3</w:t>
            </w:r>
          </w:p>
        </w:tc>
      </w:tr>
      <w:tr w:rsidR="00A502B2" w:rsidRPr="00A502B2" w14:paraId="1D9EDD9D" w14:textId="77777777" w:rsidTr="00D22906">
        <w:trPr>
          <w:trHeight w:val="300"/>
          <w:jc w:val="center"/>
        </w:trPr>
        <w:tc>
          <w:tcPr>
            <w:tcW w:w="1120" w:type="dxa"/>
            <w:tcBorders>
              <w:top w:val="nil"/>
              <w:left w:val="nil"/>
              <w:bottom w:val="nil"/>
              <w:right w:val="nil"/>
            </w:tcBorders>
            <w:shd w:val="clear" w:color="auto" w:fill="auto"/>
            <w:noWrap/>
            <w:vAlign w:val="bottom"/>
            <w:hideMark/>
          </w:tcPr>
          <w:p w14:paraId="12CB9341"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10/23/2023</w:t>
            </w:r>
          </w:p>
        </w:tc>
        <w:tc>
          <w:tcPr>
            <w:tcW w:w="1082" w:type="dxa"/>
            <w:tcBorders>
              <w:top w:val="nil"/>
              <w:left w:val="single" w:sz="4" w:space="0" w:color="auto"/>
              <w:bottom w:val="nil"/>
              <w:right w:val="nil"/>
            </w:tcBorders>
            <w:shd w:val="clear" w:color="auto" w:fill="auto"/>
            <w:noWrap/>
            <w:vAlign w:val="bottom"/>
            <w:hideMark/>
          </w:tcPr>
          <w:p w14:paraId="26DCED12"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54.4</w:t>
            </w:r>
          </w:p>
        </w:tc>
        <w:tc>
          <w:tcPr>
            <w:tcW w:w="890" w:type="dxa"/>
            <w:tcBorders>
              <w:top w:val="nil"/>
              <w:left w:val="nil"/>
              <w:bottom w:val="nil"/>
              <w:right w:val="nil"/>
            </w:tcBorders>
            <w:shd w:val="clear" w:color="auto" w:fill="auto"/>
            <w:noWrap/>
            <w:vAlign w:val="bottom"/>
            <w:hideMark/>
          </w:tcPr>
          <w:p w14:paraId="047F97D2"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59.6</w:t>
            </w:r>
          </w:p>
        </w:tc>
        <w:tc>
          <w:tcPr>
            <w:tcW w:w="908" w:type="dxa"/>
            <w:tcBorders>
              <w:top w:val="nil"/>
              <w:left w:val="nil"/>
              <w:bottom w:val="nil"/>
              <w:right w:val="single" w:sz="4" w:space="0" w:color="auto"/>
            </w:tcBorders>
            <w:shd w:val="clear" w:color="auto" w:fill="auto"/>
            <w:noWrap/>
            <w:vAlign w:val="bottom"/>
            <w:hideMark/>
          </w:tcPr>
          <w:p w14:paraId="2DF00352"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49.7</w:t>
            </w:r>
          </w:p>
        </w:tc>
        <w:tc>
          <w:tcPr>
            <w:tcW w:w="1082" w:type="dxa"/>
            <w:tcBorders>
              <w:top w:val="nil"/>
              <w:left w:val="nil"/>
              <w:bottom w:val="nil"/>
              <w:right w:val="nil"/>
            </w:tcBorders>
            <w:shd w:val="clear" w:color="auto" w:fill="auto"/>
            <w:noWrap/>
            <w:vAlign w:val="bottom"/>
            <w:hideMark/>
          </w:tcPr>
          <w:p w14:paraId="6BBC24D2"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24.0</w:t>
            </w:r>
          </w:p>
        </w:tc>
        <w:tc>
          <w:tcPr>
            <w:tcW w:w="890" w:type="dxa"/>
            <w:tcBorders>
              <w:top w:val="nil"/>
              <w:left w:val="nil"/>
              <w:bottom w:val="nil"/>
              <w:right w:val="nil"/>
            </w:tcBorders>
            <w:shd w:val="clear" w:color="auto" w:fill="auto"/>
            <w:noWrap/>
            <w:vAlign w:val="bottom"/>
            <w:hideMark/>
          </w:tcPr>
          <w:p w14:paraId="2BDD89CC"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26.4</w:t>
            </w:r>
          </w:p>
        </w:tc>
        <w:tc>
          <w:tcPr>
            <w:tcW w:w="908" w:type="dxa"/>
            <w:tcBorders>
              <w:top w:val="nil"/>
              <w:left w:val="nil"/>
              <w:bottom w:val="nil"/>
              <w:right w:val="nil"/>
            </w:tcBorders>
            <w:shd w:val="clear" w:color="auto" w:fill="auto"/>
            <w:noWrap/>
            <w:vAlign w:val="bottom"/>
            <w:hideMark/>
          </w:tcPr>
          <w:p w14:paraId="6CFC142C"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27.4</w:t>
            </w:r>
          </w:p>
        </w:tc>
      </w:tr>
      <w:tr w:rsidR="00A502B2" w:rsidRPr="00A502B2" w14:paraId="6B3CAC6E" w14:textId="77777777" w:rsidTr="00D22906">
        <w:trPr>
          <w:trHeight w:val="300"/>
          <w:jc w:val="center"/>
        </w:trPr>
        <w:tc>
          <w:tcPr>
            <w:tcW w:w="1120" w:type="dxa"/>
            <w:tcBorders>
              <w:top w:val="nil"/>
              <w:left w:val="nil"/>
              <w:bottom w:val="nil"/>
              <w:right w:val="nil"/>
            </w:tcBorders>
            <w:shd w:val="clear" w:color="auto" w:fill="auto"/>
            <w:noWrap/>
            <w:vAlign w:val="bottom"/>
            <w:hideMark/>
          </w:tcPr>
          <w:p w14:paraId="72A88CCD"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10/29/2023</w:t>
            </w:r>
          </w:p>
        </w:tc>
        <w:tc>
          <w:tcPr>
            <w:tcW w:w="1082" w:type="dxa"/>
            <w:tcBorders>
              <w:top w:val="nil"/>
              <w:left w:val="single" w:sz="4" w:space="0" w:color="auto"/>
              <w:bottom w:val="nil"/>
              <w:right w:val="nil"/>
            </w:tcBorders>
            <w:shd w:val="clear" w:color="auto" w:fill="auto"/>
            <w:noWrap/>
            <w:vAlign w:val="bottom"/>
            <w:hideMark/>
          </w:tcPr>
          <w:p w14:paraId="472E7A3A"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41.9</w:t>
            </w:r>
          </w:p>
        </w:tc>
        <w:tc>
          <w:tcPr>
            <w:tcW w:w="890" w:type="dxa"/>
            <w:tcBorders>
              <w:top w:val="nil"/>
              <w:left w:val="nil"/>
              <w:bottom w:val="nil"/>
              <w:right w:val="nil"/>
            </w:tcBorders>
            <w:shd w:val="clear" w:color="auto" w:fill="auto"/>
            <w:noWrap/>
            <w:vAlign w:val="bottom"/>
            <w:hideMark/>
          </w:tcPr>
          <w:p w14:paraId="5D13D052"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57.3</w:t>
            </w:r>
          </w:p>
        </w:tc>
        <w:tc>
          <w:tcPr>
            <w:tcW w:w="908" w:type="dxa"/>
            <w:tcBorders>
              <w:top w:val="nil"/>
              <w:left w:val="nil"/>
              <w:bottom w:val="nil"/>
              <w:right w:val="single" w:sz="4" w:space="0" w:color="auto"/>
            </w:tcBorders>
            <w:shd w:val="clear" w:color="auto" w:fill="auto"/>
            <w:noWrap/>
            <w:vAlign w:val="bottom"/>
            <w:hideMark/>
          </w:tcPr>
          <w:p w14:paraId="5C2BBE0B"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53.3</w:t>
            </w:r>
          </w:p>
        </w:tc>
        <w:tc>
          <w:tcPr>
            <w:tcW w:w="1082" w:type="dxa"/>
            <w:tcBorders>
              <w:top w:val="nil"/>
              <w:left w:val="nil"/>
              <w:bottom w:val="nil"/>
              <w:right w:val="nil"/>
            </w:tcBorders>
            <w:shd w:val="clear" w:color="auto" w:fill="auto"/>
            <w:noWrap/>
            <w:vAlign w:val="bottom"/>
            <w:hideMark/>
          </w:tcPr>
          <w:p w14:paraId="15268730"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38.8</w:t>
            </w:r>
          </w:p>
        </w:tc>
        <w:tc>
          <w:tcPr>
            <w:tcW w:w="890" w:type="dxa"/>
            <w:tcBorders>
              <w:top w:val="nil"/>
              <w:left w:val="nil"/>
              <w:bottom w:val="nil"/>
              <w:right w:val="nil"/>
            </w:tcBorders>
            <w:shd w:val="clear" w:color="auto" w:fill="auto"/>
            <w:noWrap/>
            <w:vAlign w:val="bottom"/>
            <w:hideMark/>
          </w:tcPr>
          <w:p w14:paraId="021CF217"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47.2</w:t>
            </w:r>
          </w:p>
        </w:tc>
        <w:tc>
          <w:tcPr>
            <w:tcW w:w="908" w:type="dxa"/>
            <w:tcBorders>
              <w:top w:val="nil"/>
              <w:left w:val="nil"/>
              <w:bottom w:val="nil"/>
              <w:right w:val="nil"/>
            </w:tcBorders>
            <w:shd w:val="clear" w:color="auto" w:fill="auto"/>
            <w:noWrap/>
            <w:vAlign w:val="bottom"/>
            <w:hideMark/>
          </w:tcPr>
          <w:p w14:paraId="2B8011EE"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16.9</w:t>
            </w:r>
          </w:p>
        </w:tc>
      </w:tr>
      <w:tr w:rsidR="00A502B2" w:rsidRPr="00A502B2" w14:paraId="63169496" w14:textId="77777777" w:rsidTr="00D22906">
        <w:trPr>
          <w:trHeight w:val="300"/>
          <w:jc w:val="center"/>
        </w:trPr>
        <w:tc>
          <w:tcPr>
            <w:tcW w:w="1120" w:type="dxa"/>
            <w:tcBorders>
              <w:top w:val="nil"/>
              <w:left w:val="nil"/>
              <w:bottom w:val="nil"/>
              <w:right w:val="nil"/>
            </w:tcBorders>
            <w:shd w:val="clear" w:color="auto" w:fill="auto"/>
            <w:noWrap/>
            <w:vAlign w:val="bottom"/>
            <w:hideMark/>
          </w:tcPr>
          <w:p w14:paraId="11AFE80F"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11/1/2023</w:t>
            </w:r>
          </w:p>
        </w:tc>
        <w:tc>
          <w:tcPr>
            <w:tcW w:w="1082" w:type="dxa"/>
            <w:tcBorders>
              <w:top w:val="nil"/>
              <w:left w:val="single" w:sz="4" w:space="0" w:color="auto"/>
              <w:bottom w:val="nil"/>
              <w:right w:val="nil"/>
            </w:tcBorders>
            <w:shd w:val="clear" w:color="auto" w:fill="auto"/>
            <w:noWrap/>
            <w:vAlign w:val="bottom"/>
            <w:hideMark/>
          </w:tcPr>
          <w:p w14:paraId="246630BD" w14:textId="2133D7A0" w:rsidR="00A502B2" w:rsidRPr="00A502B2" w:rsidRDefault="00A502B2" w:rsidP="000A2ACA">
            <w:pPr>
              <w:spacing w:after="0" w:line="240" w:lineRule="auto"/>
              <w:jc w:val="center"/>
              <w:rPr>
                <w:rFonts w:ascii="Calibri" w:eastAsia="Times New Roman" w:hAnsi="Calibri" w:cs="Calibri"/>
                <w:color w:val="000000"/>
              </w:rPr>
            </w:pPr>
          </w:p>
        </w:tc>
        <w:tc>
          <w:tcPr>
            <w:tcW w:w="890" w:type="dxa"/>
            <w:tcBorders>
              <w:top w:val="nil"/>
              <w:left w:val="nil"/>
              <w:bottom w:val="nil"/>
              <w:right w:val="nil"/>
            </w:tcBorders>
            <w:shd w:val="clear" w:color="auto" w:fill="auto"/>
            <w:noWrap/>
            <w:vAlign w:val="bottom"/>
            <w:hideMark/>
          </w:tcPr>
          <w:p w14:paraId="7F68795B" w14:textId="77777777" w:rsidR="00A502B2" w:rsidRPr="00A502B2" w:rsidRDefault="00A502B2" w:rsidP="000A2ACA">
            <w:pPr>
              <w:spacing w:after="0" w:line="240" w:lineRule="auto"/>
              <w:jc w:val="center"/>
              <w:rPr>
                <w:rFonts w:ascii="Calibri" w:eastAsia="Times New Roman" w:hAnsi="Calibri" w:cs="Calibri"/>
                <w:color w:val="000000"/>
              </w:rPr>
            </w:pPr>
          </w:p>
        </w:tc>
        <w:tc>
          <w:tcPr>
            <w:tcW w:w="908" w:type="dxa"/>
            <w:tcBorders>
              <w:top w:val="nil"/>
              <w:left w:val="nil"/>
              <w:bottom w:val="nil"/>
              <w:right w:val="single" w:sz="4" w:space="0" w:color="auto"/>
            </w:tcBorders>
            <w:shd w:val="clear" w:color="auto" w:fill="auto"/>
            <w:noWrap/>
            <w:vAlign w:val="bottom"/>
            <w:hideMark/>
          </w:tcPr>
          <w:p w14:paraId="660488D3" w14:textId="5CE3E466" w:rsidR="00A502B2" w:rsidRPr="00A502B2" w:rsidRDefault="00A502B2" w:rsidP="000A2ACA">
            <w:pPr>
              <w:spacing w:after="0" w:line="240" w:lineRule="auto"/>
              <w:jc w:val="center"/>
              <w:rPr>
                <w:rFonts w:ascii="Calibri" w:eastAsia="Times New Roman" w:hAnsi="Calibri" w:cs="Calibri"/>
                <w:color w:val="000000"/>
              </w:rPr>
            </w:pPr>
          </w:p>
        </w:tc>
        <w:tc>
          <w:tcPr>
            <w:tcW w:w="1082" w:type="dxa"/>
            <w:tcBorders>
              <w:top w:val="nil"/>
              <w:left w:val="nil"/>
              <w:bottom w:val="nil"/>
              <w:right w:val="nil"/>
            </w:tcBorders>
            <w:shd w:val="clear" w:color="auto" w:fill="auto"/>
            <w:noWrap/>
            <w:vAlign w:val="bottom"/>
            <w:hideMark/>
          </w:tcPr>
          <w:p w14:paraId="5701EEBA"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37.8</w:t>
            </w:r>
          </w:p>
        </w:tc>
        <w:tc>
          <w:tcPr>
            <w:tcW w:w="890" w:type="dxa"/>
            <w:tcBorders>
              <w:top w:val="nil"/>
              <w:left w:val="nil"/>
              <w:bottom w:val="nil"/>
              <w:right w:val="nil"/>
            </w:tcBorders>
            <w:shd w:val="clear" w:color="auto" w:fill="auto"/>
            <w:noWrap/>
            <w:vAlign w:val="bottom"/>
            <w:hideMark/>
          </w:tcPr>
          <w:p w14:paraId="00303AE1"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35.9</w:t>
            </w:r>
          </w:p>
        </w:tc>
        <w:tc>
          <w:tcPr>
            <w:tcW w:w="908" w:type="dxa"/>
            <w:tcBorders>
              <w:top w:val="nil"/>
              <w:left w:val="nil"/>
              <w:bottom w:val="nil"/>
              <w:right w:val="nil"/>
            </w:tcBorders>
            <w:shd w:val="clear" w:color="auto" w:fill="auto"/>
            <w:noWrap/>
            <w:vAlign w:val="bottom"/>
            <w:hideMark/>
          </w:tcPr>
          <w:p w14:paraId="554F6D07"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15.3</w:t>
            </w:r>
          </w:p>
        </w:tc>
      </w:tr>
      <w:tr w:rsidR="00A502B2" w:rsidRPr="00A502B2" w14:paraId="1C314B15" w14:textId="77777777" w:rsidTr="00D22906">
        <w:trPr>
          <w:trHeight w:val="315"/>
          <w:jc w:val="center"/>
        </w:trPr>
        <w:tc>
          <w:tcPr>
            <w:tcW w:w="1120" w:type="dxa"/>
            <w:tcBorders>
              <w:top w:val="nil"/>
              <w:left w:val="nil"/>
              <w:bottom w:val="single" w:sz="8" w:space="0" w:color="auto"/>
              <w:right w:val="nil"/>
            </w:tcBorders>
            <w:shd w:val="clear" w:color="auto" w:fill="auto"/>
            <w:noWrap/>
            <w:vAlign w:val="bottom"/>
            <w:hideMark/>
          </w:tcPr>
          <w:p w14:paraId="744F2E0F"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11/4/2023</w:t>
            </w:r>
          </w:p>
        </w:tc>
        <w:tc>
          <w:tcPr>
            <w:tcW w:w="1082" w:type="dxa"/>
            <w:tcBorders>
              <w:top w:val="nil"/>
              <w:left w:val="single" w:sz="4" w:space="0" w:color="auto"/>
              <w:bottom w:val="single" w:sz="8" w:space="0" w:color="auto"/>
              <w:right w:val="nil"/>
            </w:tcBorders>
            <w:shd w:val="clear" w:color="auto" w:fill="auto"/>
            <w:noWrap/>
            <w:vAlign w:val="bottom"/>
            <w:hideMark/>
          </w:tcPr>
          <w:p w14:paraId="1CA6E10C"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45.9</w:t>
            </w:r>
          </w:p>
        </w:tc>
        <w:tc>
          <w:tcPr>
            <w:tcW w:w="890" w:type="dxa"/>
            <w:tcBorders>
              <w:top w:val="nil"/>
              <w:left w:val="nil"/>
              <w:bottom w:val="single" w:sz="8" w:space="0" w:color="auto"/>
              <w:right w:val="nil"/>
            </w:tcBorders>
            <w:shd w:val="clear" w:color="auto" w:fill="auto"/>
            <w:noWrap/>
            <w:vAlign w:val="bottom"/>
            <w:hideMark/>
          </w:tcPr>
          <w:p w14:paraId="49145CE7"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53.6</w:t>
            </w:r>
          </w:p>
        </w:tc>
        <w:tc>
          <w:tcPr>
            <w:tcW w:w="908" w:type="dxa"/>
            <w:tcBorders>
              <w:top w:val="nil"/>
              <w:left w:val="nil"/>
              <w:bottom w:val="single" w:sz="8" w:space="0" w:color="auto"/>
              <w:right w:val="single" w:sz="4" w:space="0" w:color="auto"/>
            </w:tcBorders>
            <w:shd w:val="clear" w:color="auto" w:fill="auto"/>
            <w:noWrap/>
            <w:vAlign w:val="bottom"/>
            <w:hideMark/>
          </w:tcPr>
          <w:p w14:paraId="2D3CF810"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54.2</w:t>
            </w:r>
          </w:p>
        </w:tc>
        <w:tc>
          <w:tcPr>
            <w:tcW w:w="1082" w:type="dxa"/>
            <w:tcBorders>
              <w:top w:val="nil"/>
              <w:left w:val="nil"/>
              <w:bottom w:val="single" w:sz="8" w:space="0" w:color="auto"/>
              <w:right w:val="nil"/>
            </w:tcBorders>
            <w:shd w:val="clear" w:color="auto" w:fill="auto"/>
            <w:noWrap/>
            <w:vAlign w:val="bottom"/>
            <w:hideMark/>
          </w:tcPr>
          <w:p w14:paraId="1705581B"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51.9</w:t>
            </w:r>
          </w:p>
        </w:tc>
        <w:tc>
          <w:tcPr>
            <w:tcW w:w="890" w:type="dxa"/>
            <w:tcBorders>
              <w:top w:val="nil"/>
              <w:left w:val="nil"/>
              <w:bottom w:val="single" w:sz="8" w:space="0" w:color="auto"/>
              <w:right w:val="nil"/>
            </w:tcBorders>
            <w:shd w:val="clear" w:color="auto" w:fill="auto"/>
            <w:noWrap/>
            <w:vAlign w:val="bottom"/>
            <w:hideMark/>
          </w:tcPr>
          <w:p w14:paraId="4311B290"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59.4</w:t>
            </w:r>
          </w:p>
        </w:tc>
        <w:tc>
          <w:tcPr>
            <w:tcW w:w="908" w:type="dxa"/>
            <w:tcBorders>
              <w:top w:val="nil"/>
              <w:left w:val="nil"/>
              <w:bottom w:val="single" w:sz="8" w:space="0" w:color="auto"/>
              <w:right w:val="nil"/>
            </w:tcBorders>
            <w:shd w:val="clear" w:color="auto" w:fill="auto"/>
            <w:noWrap/>
            <w:vAlign w:val="bottom"/>
            <w:hideMark/>
          </w:tcPr>
          <w:p w14:paraId="18FC2557" w14:textId="77777777" w:rsidR="00A502B2" w:rsidRPr="00A502B2" w:rsidRDefault="00A502B2" w:rsidP="000A2ACA">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23.4</w:t>
            </w:r>
          </w:p>
        </w:tc>
      </w:tr>
    </w:tbl>
    <w:p w14:paraId="50FB5628" w14:textId="6895312E" w:rsidR="00D22B02" w:rsidRDefault="00D22906" w:rsidP="00172E0D">
      <w:pPr>
        <w:spacing w:before="120" w:after="120"/>
      </w:pPr>
      <w:r>
        <w:t xml:space="preserve">Table 3. </w:t>
      </w:r>
      <w:r w:rsidR="00A502B2">
        <w:t xml:space="preserve">Hydrogen </w:t>
      </w:r>
      <w:proofErr w:type="spellStart"/>
      <w:r w:rsidR="00A502B2">
        <w:t>sulphide</w:t>
      </w:r>
      <w:proofErr w:type="spellEnd"/>
      <w:r w:rsidR="00A502B2">
        <w:t xml:space="preserve"> concentration</w:t>
      </w:r>
      <w:r>
        <w:t>.</w:t>
      </w:r>
    </w:p>
    <w:tbl>
      <w:tblPr>
        <w:tblW w:w="7341" w:type="dxa"/>
        <w:jc w:val="center"/>
        <w:tblLook w:val="04A0" w:firstRow="1" w:lastRow="0" w:firstColumn="1" w:lastColumn="0" w:noHBand="0" w:noVBand="1"/>
      </w:tblPr>
      <w:tblGrid>
        <w:gridCol w:w="1278"/>
        <w:gridCol w:w="1124"/>
        <w:gridCol w:w="988"/>
        <w:gridCol w:w="988"/>
        <w:gridCol w:w="1054"/>
        <w:gridCol w:w="926"/>
        <w:gridCol w:w="1141"/>
      </w:tblGrid>
      <w:tr w:rsidR="00A502B2" w:rsidRPr="00A502B2" w14:paraId="15A725DF" w14:textId="77777777" w:rsidTr="00D22906">
        <w:trPr>
          <w:trHeight w:val="300"/>
          <w:jc w:val="center"/>
        </w:trPr>
        <w:tc>
          <w:tcPr>
            <w:tcW w:w="1120" w:type="dxa"/>
            <w:vMerge w:val="restart"/>
            <w:tcBorders>
              <w:top w:val="single" w:sz="8" w:space="0" w:color="auto"/>
              <w:left w:val="nil"/>
              <w:bottom w:val="single" w:sz="4" w:space="0" w:color="auto"/>
              <w:right w:val="nil"/>
            </w:tcBorders>
            <w:shd w:val="clear" w:color="auto" w:fill="auto"/>
            <w:noWrap/>
            <w:vAlign w:val="center"/>
            <w:hideMark/>
          </w:tcPr>
          <w:p w14:paraId="508CFD5A" w14:textId="77777777" w:rsidR="00A502B2" w:rsidRPr="00A502B2" w:rsidRDefault="00A502B2" w:rsidP="00A502B2">
            <w:pPr>
              <w:spacing w:after="0" w:line="240" w:lineRule="auto"/>
              <w:jc w:val="center"/>
              <w:rPr>
                <w:rFonts w:ascii="Calibri" w:eastAsia="Times New Roman" w:hAnsi="Calibri" w:cs="Calibri"/>
                <w:b/>
                <w:bCs/>
                <w:color w:val="000000"/>
              </w:rPr>
            </w:pPr>
            <w:r w:rsidRPr="00A502B2">
              <w:rPr>
                <w:rFonts w:ascii="Calibri" w:eastAsia="Times New Roman" w:hAnsi="Calibri" w:cs="Calibri"/>
                <w:b/>
                <w:bCs/>
                <w:color w:val="000000"/>
              </w:rPr>
              <w:t>Date</w:t>
            </w:r>
          </w:p>
        </w:tc>
        <w:tc>
          <w:tcPr>
            <w:tcW w:w="3100" w:type="dxa"/>
            <w:gridSpan w:val="3"/>
            <w:tcBorders>
              <w:top w:val="single" w:sz="8" w:space="0" w:color="auto"/>
              <w:left w:val="single" w:sz="4" w:space="0" w:color="auto"/>
              <w:bottom w:val="single" w:sz="4" w:space="0" w:color="auto"/>
              <w:right w:val="single" w:sz="4" w:space="0" w:color="000000"/>
            </w:tcBorders>
            <w:shd w:val="clear" w:color="auto" w:fill="auto"/>
            <w:noWrap/>
            <w:vAlign w:val="bottom"/>
            <w:hideMark/>
          </w:tcPr>
          <w:p w14:paraId="4BE04827" w14:textId="77777777" w:rsidR="00A502B2" w:rsidRPr="00A502B2" w:rsidRDefault="00A502B2" w:rsidP="00A502B2">
            <w:pPr>
              <w:spacing w:after="0" w:line="240" w:lineRule="auto"/>
              <w:jc w:val="center"/>
              <w:rPr>
                <w:rFonts w:ascii="Calibri" w:eastAsia="Times New Roman" w:hAnsi="Calibri" w:cs="Calibri"/>
                <w:b/>
                <w:bCs/>
                <w:color w:val="000000"/>
              </w:rPr>
            </w:pPr>
            <w:r w:rsidRPr="00A502B2">
              <w:rPr>
                <w:rFonts w:ascii="Calibri" w:eastAsia="Times New Roman" w:hAnsi="Calibri" w:cs="Calibri"/>
                <w:b/>
                <w:bCs/>
                <w:color w:val="000000"/>
              </w:rPr>
              <w:t>Mesophilic (ppm)</w:t>
            </w:r>
          </w:p>
        </w:tc>
        <w:tc>
          <w:tcPr>
            <w:tcW w:w="3121" w:type="dxa"/>
            <w:gridSpan w:val="3"/>
            <w:tcBorders>
              <w:top w:val="single" w:sz="8" w:space="0" w:color="auto"/>
              <w:left w:val="nil"/>
              <w:bottom w:val="single" w:sz="4" w:space="0" w:color="auto"/>
              <w:right w:val="nil"/>
            </w:tcBorders>
            <w:shd w:val="clear" w:color="auto" w:fill="auto"/>
            <w:noWrap/>
            <w:vAlign w:val="bottom"/>
            <w:hideMark/>
          </w:tcPr>
          <w:p w14:paraId="763CCD91" w14:textId="77777777" w:rsidR="00A502B2" w:rsidRPr="00A502B2" w:rsidRDefault="00A502B2" w:rsidP="00A502B2">
            <w:pPr>
              <w:spacing w:after="0" w:line="240" w:lineRule="auto"/>
              <w:jc w:val="center"/>
              <w:rPr>
                <w:rFonts w:ascii="Calibri" w:eastAsia="Times New Roman" w:hAnsi="Calibri" w:cs="Calibri"/>
                <w:b/>
                <w:bCs/>
                <w:color w:val="000000"/>
              </w:rPr>
            </w:pPr>
            <w:r w:rsidRPr="00A502B2">
              <w:rPr>
                <w:rFonts w:ascii="Calibri" w:eastAsia="Times New Roman" w:hAnsi="Calibri" w:cs="Calibri"/>
                <w:b/>
                <w:bCs/>
                <w:color w:val="000000"/>
              </w:rPr>
              <w:t>Thermophilic (ppm)</w:t>
            </w:r>
          </w:p>
        </w:tc>
      </w:tr>
      <w:tr w:rsidR="00A502B2" w:rsidRPr="00A502B2" w14:paraId="1C5560D0" w14:textId="77777777" w:rsidTr="00D22906">
        <w:trPr>
          <w:trHeight w:val="300"/>
          <w:jc w:val="center"/>
        </w:trPr>
        <w:tc>
          <w:tcPr>
            <w:tcW w:w="1120" w:type="dxa"/>
            <w:vMerge/>
            <w:tcBorders>
              <w:top w:val="single" w:sz="8" w:space="0" w:color="auto"/>
              <w:left w:val="nil"/>
              <w:bottom w:val="single" w:sz="4" w:space="0" w:color="auto"/>
              <w:right w:val="nil"/>
            </w:tcBorders>
            <w:vAlign w:val="center"/>
            <w:hideMark/>
          </w:tcPr>
          <w:p w14:paraId="48648898" w14:textId="77777777" w:rsidR="00A502B2" w:rsidRPr="00A502B2" w:rsidRDefault="00A502B2" w:rsidP="00A502B2">
            <w:pPr>
              <w:spacing w:after="0" w:line="240" w:lineRule="auto"/>
              <w:rPr>
                <w:rFonts w:ascii="Calibri" w:eastAsia="Times New Roman" w:hAnsi="Calibri" w:cs="Calibri"/>
                <w:b/>
                <w:bCs/>
                <w:color w:val="000000"/>
              </w:rPr>
            </w:pPr>
          </w:p>
        </w:tc>
        <w:tc>
          <w:tcPr>
            <w:tcW w:w="1124" w:type="dxa"/>
            <w:tcBorders>
              <w:top w:val="nil"/>
              <w:left w:val="single" w:sz="4" w:space="0" w:color="auto"/>
              <w:bottom w:val="single" w:sz="4" w:space="0" w:color="auto"/>
              <w:right w:val="nil"/>
            </w:tcBorders>
            <w:shd w:val="clear" w:color="auto" w:fill="auto"/>
            <w:noWrap/>
            <w:vAlign w:val="bottom"/>
            <w:hideMark/>
          </w:tcPr>
          <w:p w14:paraId="53D90BFB"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PS_M</w:t>
            </w:r>
          </w:p>
        </w:tc>
        <w:tc>
          <w:tcPr>
            <w:tcW w:w="988" w:type="dxa"/>
            <w:tcBorders>
              <w:top w:val="nil"/>
              <w:left w:val="nil"/>
              <w:bottom w:val="single" w:sz="4" w:space="0" w:color="auto"/>
              <w:right w:val="nil"/>
            </w:tcBorders>
            <w:shd w:val="clear" w:color="auto" w:fill="auto"/>
            <w:noWrap/>
            <w:vAlign w:val="bottom"/>
            <w:hideMark/>
          </w:tcPr>
          <w:p w14:paraId="48AD7114"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PS_L</w:t>
            </w:r>
          </w:p>
        </w:tc>
        <w:tc>
          <w:tcPr>
            <w:tcW w:w="988" w:type="dxa"/>
            <w:tcBorders>
              <w:top w:val="nil"/>
              <w:left w:val="nil"/>
              <w:bottom w:val="single" w:sz="4" w:space="0" w:color="auto"/>
              <w:right w:val="single" w:sz="4" w:space="0" w:color="auto"/>
            </w:tcBorders>
            <w:shd w:val="clear" w:color="auto" w:fill="auto"/>
            <w:noWrap/>
            <w:vAlign w:val="bottom"/>
            <w:hideMark/>
          </w:tcPr>
          <w:p w14:paraId="40D7DE63"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PS_F</w:t>
            </w:r>
          </w:p>
        </w:tc>
        <w:tc>
          <w:tcPr>
            <w:tcW w:w="1054" w:type="dxa"/>
            <w:tcBorders>
              <w:top w:val="nil"/>
              <w:left w:val="nil"/>
              <w:bottom w:val="single" w:sz="4" w:space="0" w:color="auto"/>
              <w:right w:val="nil"/>
            </w:tcBorders>
            <w:shd w:val="clear" w:color="auto" w:fill="auto"/>
            <w:noWrap/>
            <w:vAlign w:val="bottom"/>
            <w:hideMark/>
          </w:tcPr>
          <w:p w14:paraId="347B58CD"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PS_M</w:t>
            </w:r>
          </w:p>
        </w:tc>
        <w:tc>
          <w:tcPr>
            <w:tcW w:w="926" w:type="dxa"/>
            <w:tcBorders>
              <w:top w:val="nil"/>
              <w:left w:val="nil"/>
              <w:bottom w:val="single" w:sz="4" w:space="0" w:color="auto"/>
              <w:right w:val="nil"/>
            </w:tcBorders>
            <w:shd w:val="clear" w:color="auto" w:fill="auto"/>
            <w:noWrap/>
            <w:vAlign w:val="bottom"/>
            <w:hideMark/>
          </w:tcPr>
          <w:p w14:paraId="7B0A8C55"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PS_L</w:t>
            </w:r>
          </w:p>
        </w:tc>
        <w:tc>
          <w:tcPr>
            <w:tcW w:w="1141" w:type="dxa"/>
            <w:tcBorders>
              <w:top w:val="nil"/>
              <w:left w:val="nil"/>
              <w:bottom w:val="single" w:sz="4" w:space="0" w:color="auto"/>
              <w:right w:val="nil"/>
            </w:tcBorders>
            <w:shd w:val="clear" w:color="auto" w:fill="auto"/>
            <w:noWrap/>
            <w:vAlign w:val="bottom"/>
            <w:hideMark/>
          </w:tcPr>
          <w:p w14:paraId="5EB68D3E" w14:textId="77777777" w:rsidR="00A502B2" w:rsidRPr="00A502B2" w:rsidRDefault="00A502B2" w:rsidP="00A502B2">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PS_F</w:t>
            </w:r>
          </w:p>
        </w:tc>
      </w:tr>
      <w:tr w:rsidR="00A502B2" w:rsidRPr="00A502B2" w14:paraId="62D38ED0" w14:textId="77777777" w:rsidTr="00D22906">
        <w:trPr>
          <w:trHeight w:val="300"/>
          <w:jc w:val="center"/>
        </w:trPr>
        <w:tc>
          <w:tcPr>
            <w:tcW w:w="1120" w:type="dxa"/>
            <w:tcBorders>
              <w:top w:val="single" w:sz="4" w:space="0" w:color="auto"/>
              <w:left w:val="nil"/>
              <w:bottom w:val="nil"/>
              <w:right w:val="nil"/>
            </w:tcBorders>
            <w:shd w:val="clear" w:color="auto" w:fill="auto"/>
            <w:noWrap/>
            <w:vAlign w:val="bottom"/>
            <w:hideMark/>
          </w:tcPr>
          <w:p w14:paraId="126FC483"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10/17/2023</w:t>
            </w:r>
          </w:p>
        </w:tc>
        <w:tc>
          <w:tcPr>
            <w:tcW w:w="1124" w:type="dxa"/>
            <w:tcBorders>
              <w:top w:val="nil"/>
              <w:left w:val="single" w:sz="4" w:space="0" w:color="auto"/>
              <w:bottom w:val="nil"/>
              <w:right w:val="nil"/>
            </w:tcBorders>
            <w:shd w:val="clear" w:color="auto" w:fill="auto"/>
            <w:noWrap/>
            <w:vAlign w:val="bottom"/>
            <w:hideMark/>
          </w:tcPr>
          <w:p w14:paraId="64D28ADD"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1645</w:t>
            </w:r>
          </w:p>
        </w:tc>
        <w:tc>
          <w:tcPr>
            <w:tcW w:w="988" w:type="dxa"/>
            <w:tcBorders>
              <w:top w:val="nil"/>
              <w:left w:val="nil"/>
              <w:bottom w:val="nil"/>
              <w:right w:val="nil"/>
            </w:tcBorders>
            <w:shd w:val="clear" w:color="auto" w:fill="auto"/>
            <w:noWrap/>
            <w:vAlign w:val="bottom"/>
            <w:hideMark/>
          </w:tcPr>
          <w:p w14:paraId="7C261FBE"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1563</w:t>
            </w:r>
          </w:p>
        </w:tc>
        <w:tc>
          <w:tcPr>
            <w:tcW w:w="988" w:type="dxa"/>
            <w:tcBorders>
              <w:top w:val="nil"/>
              <w:left w:val="nil"/>
              <w:bottom w:val="nil"/>
              <w:right w:val="single" w:sz="4" w:space="0" w:color="auto"/>
            </w:tcBorders>
            <w:shd w:val="clear" w:color="auto" w:fill="auto"/>
            <w:noWrap/>
            <w:vAlign w:val="bottom"/>
            <w:hideMark/>
          </w:tcPr>
          <w:p w14:paraId="5D9CA599"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2582</w:t>
            </w:r>
          </w:p>
        </w:tc>
        <w:tc>
          <w:tcPr>
            <w:tcW w:w="1054" w:type="dxa"/>
            <w:tcBorders>
              <w:top w:val="nil"/>
              <w:left w:val="nil"/>
              <w:bottom w:val="nil"/>
              <w:right w:val="nil"/>
            </w:tcBorders>
            <w:shd w:val="clear" w:color="auto" w:fill="auto"/>
            <w:noWrap/>
            <w:vAlign w:val="bottom"/>
            <w:hideMark/>
          </w:tcPr>
          <w:p w14:paraId="5D89B5DF"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8838</w:t>
            </w:r>
          </w:p>
        </w:tc>
        <w:tc>
          <w:tcPr>
            <w:tcW w:w="926" w:type="dxa"/>
            <w:tcBorders>
              <w:top w:val="nil"/>
              <w:left w:val="nil"/>
              <w:bottom w:val="nil"/>
              <w:right w:val="nil"/>
            </w:tcBorders>
            <w:shd w:val="clear" w:color="auto" w:fill="auto"/>
            <w:noWrap/>
            <w:vAlign w:val="bottom"/>
            <w:hideMark/>
          </w:tcPr>
          <w:p w14:paraId="07131D4F"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5226</w:t>
            </w:r>
          </w:p>
        </w:tc>
        <w:tc>
          <w:tcPr>
            <w:tcW w:w="1141" w:type="dxa"/>
            <w:tcBorders>
              <w:top w:val="nil"/>
              <w:left w:val="nil"/>
              <w:bottom w:val="nil"/>
              <w:right w:val="nil"/>
            </w:tcBorders>
            <w:shd w:val="clear" w:color="auto" w:fill="auto"/>
            <w:noWrap/>
            <w:vAlign w:val="bottom"/>
            <w:hideMark/>
          </w:tcPr>
          <w:p w14:paraId="03580564"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10039</w:t>
            </w:r>
          </w:p>
        </w:tc>
      </w:tr>
      <w:tr w:rsidR="00A502B2" w:rsidRPr="00A502B2" w14:paraId="0F36722D" w14:textId="77777777" w:rsidTr="00D22906">
        <w:trPr>
          <w:trHeight w:val="300"/>
          <w:jc w:val="center"/>
        </w:trPr>
        <w:tc>
          <w:tcPr>
            <w:tcW w:w="1120" w:type="dxa"/>
            <w:tcBorders>
              <w:top w:val="nil"/>
              <w:left w:val="nil"/>
              <w:bottom w:val="nil"/>
              <w:right w:val="nil"/>
            </w:tcBorders>
            <w:shd w:val="clear" w:color="auto" w:fill="auto"/>
            <w:noWrap/>
            <w:vAlign w:val="bottom"/>
            <w:hideMark/>
          </w:tcPr>
          <w:p w14:paraId="691AB852"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10/22/2023</w:t>
            </w:r>
          </w:p>
        </w:tc>
        <w:tc>
          <w:tcPr>
            <w:tcW w:w="1124" w:type="dxa"/>
            <w:tcBorders>
              <w:top w:val="nil"/>
              <w:left w:val="single" w:sz="4" w:space="0" w:color="auto"/>
              <w:bottom w:val="nil"/>
              <w:right w:val="nil"/>
            </w:tcBorders>
            <w:shd w:val="clear" w:color="auto" w:fill="auto"/>
            <w:noWrap/>
            <w:vAlign w:val="bottom"/>
            <w:hideMark/>
          </w:tcPr>
          <w:p w14:paraId="411E1E2C"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973</w:t>
            </w:r>
          </w:p>
        </w:tc>
        <w:tc>
          <w:tcPr>
            <w:tcW w:w="988" w:type="dxa"/>
            <w:tcBorders>
              <w:top w:val="nil"/>
              <w:left w:val="nil"/>
              <w:bottom w:val="nil"/>
              <w:right w:val="nil"/>
            </w:tcBorders>
            <w:shd w:val="clear" w:color="auto" w:fill="auto"/>
            <w:noWrap/>
            <w:vAlign w:val="bottom"/>
            <w:hideMark/>
          </w:tcPr>
          <w:p w14:paraId="3B78458B"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808</w:t>
            </w:r>
          </w:p>
        </w:tc>
        <w:tc>
          <w:tcPr>
            <w:tcW w:w="988" w:type="dxa"/>
            <w:tcBorders>
              <w:top w:val="nil"/>
              <w:left w:val="nil"/>
              <w:bottom w:val="nil"/>
              <w:right w:val="single" w:sz="4" w:space="0" w:color="auto"/>
            </w:tcBorders>
            <w:shd w:val="clear" w:color="auto" w:fill="auto"/>
            <w:noWrap/>
            <w:vAlign w:val="bottom"/>
            <w:hideMark/>
          </w:tcPr>
          <w:p w14:paraId="1010AAE2"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1166</w:t>
            </w:r>
          </w:p>
        </w:tc>
        <w:tc>
          <w:tcPr>
            <w:tcW w:w="1054" w:type="dxa"/>
            <w:tcBorders>
              <w:top w:val="nil"/>
              <w:left w:val="nil"/>
              <w:bottom w:val="nil"/>
              <w:right w:val="nil"/>
            </w:tcBorders>
            <w:shd w:val="clear" w:color="auto" w:fill="auto"/>
            <w:noWrap/>
            <w:vAlign w:val="bottom"/>
            <w:hideMark/>
          </w:tcPr>
          <w:p w14:paraId="6A785B38"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80</w:t>
            </w:r>
          </w:p>
        </w:tc>
        <w:tc>
          <w:tcPr>
            <w:tcW w:w="926" w:type="dxa"/>
            <w:tcBorders>
              <w:top w:val="nil"/>
              <w:left w:val="nil"/>
              <w:bottom w:val="nil"/>
              <w:right w:val="nil"/>
            </w:tcBorders>
            <w:shd w:val="clear" w:color="auto" w:fill="auto"/>
            <w:noWrap/>
            <w:vAlign w:val="bottom"/>
            <w:hideMark/>
          </w:tcPr>
          <w:p w14:paraId="26505940"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525</w:t>
            </w:r>
          </w:p>
        </w:tc>
        <w:tc>
          <w:tcPr>
            <w:tcW w:w="1141" w:type="dxa"/>
            <w:tcBorders>
              <w:top w:val="nil"/>
              <w:left w:val="nil"/>
              <w:bottom w:val="nil"/>
              <w:right w:val="nil"/>
            </w:tcBorders>
            <w:shd w:val="clear" w:color="auto" w:fill="auto"/>
            <w:noWrap/>
            <w:vAlign w:val="bottom"/>
            <w:hideMark/>
          </w:tcPr>
          <w:p w14:paraId="737CA0EC"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103</w:t>
            </w:r>
          </w:p>
        </w:tc>
      </w:tr>
      <w:tr w:rsidR="00A502B2" w:rsidRPr="00A502B2" w14:paraId="7728E3F2" w14:textId="77777777" w:rsidTr="00D22906">
        <w:trPr>
          <w:trHeight w:val="300"/>
          <w:jc w:val="center"/>
        </w:trPr>
        <w:tc>
          <w:tcPr>
            <w:tcW w:w="1120" w:type="dxa"/>
            <w:tcBorders>
              <w:top w:val="nil"/>
              <w:left w:val="nil"/>
              <w:bottom w:val="nil"/>
              <w:right w:val="nil"/>
            </w:tcBorders>
            <w:shd w:val="clear" w:color="auto" w:fill="auto"/>
            <w:noWrap/>
            <w:vAlign w:val="bottom"/>
            <w:hideMark/>
          </w:tcPr>
          <w:p w14:paraId="36C6E650"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10/23/2023</w:t>
            </w:r>
          </w:p>
        </w:tc>
        <w:tc>
          <w:tcPr>
            <w:tcW w:w="1124" w:type="dxa"/>
            <w:tcBorders>
              <w:top w:val="nil"/>
              <w:left w:val="single" w:sz="4" w:space="0" w:color="auto"/>
              <w:bottom w:val="nil"/>
              <w:right w:val="nil"/>
            </w:tcBorders>
            <w:shd w:val="clear" w:color="auto" w:fill="auto"/>
            <w:noWrap/>
            <w:vAlign w:val="bottom"/>
            <w:hideMark/>
          </w:tcPr>
          <w:p w14:paraId="077E6D39"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1277</w:t>
            </w:r>
          </w:p>
        </w:tc>
        <w:tc>
          <w:tcPr>
            <w:tcW w:w="988" w:type="dxa"/>
            <w:tcBorders>
              <w:top w:val="nil"/>
              <w:left w:val="nil"/>
              <w:bottom w:val="nil"/>
              <w:right w:val="nil"/>
            </w:tcBorders>
            <w:shd w:val="clear" w:color="auto" w:fill="auto"/>
            <w:noWrap/>
            <w:vAlign w:val="bottom"/>
            <w:hideMark/>
          </w:tcPr>
          <w:p w14:paraId="1830D53D"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1415</w:t>
            </w:r>
          </w:p>
        </w:tc>
        <w:tc>
          <w:tcPr>
            <w:tcW w:w="988" w:type="dxa"/>
            <w:tcBorders>
              <w:top w:val="nil"/>
              <w:left w:val="nil"/>
              <w:bottom w:val="nil"/>
              <w:right w:val="single" w:sz="4" w:space="0" w:color="auto"/>
            </w:tcBorders>
            <w:shd w:val="clear" w:color="auto" w:fill="auto"/>
            <w:noWrap/>
            <w:vAlign w:val="bottom"/>
            <w:hideMark/>
          </w:tcPr>
          <w:p w14:paraId="24713B1C"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1773</w:t>
            </w:r>
          </w:p>
        </w:tc>
        <w:tc>
          <w:tcPr>
            <w:tcW w:w="1054" w:type="dxa"/>
            <w:tcBorders>
              <w:top w:val="nil"/>
              <w:left w:val="nil"/>
              <w:bottom w:val="nil"/>
              <w:right w:val="nil"/>
            </w:tcBorders>
            <w:shd w:val="clear" w:color="auto" w:fill="auto"/>
            <w:noWrap/>
            <w:vAlign w:val="bottom"/>
            <w:hideMark/>
          </w:tcPr>
          <w:p w14:paraId="26F5729F"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90</w:t>
            </w:r>
          </w:p>
        </w:tc>
        <w:tc>
          <w:tcPr>
            <w:tcW w:w="926" w:type="dxa"/>
            <w:tcBorders>
              <w:top w:val="nil"/>
              <w:left w:val="nil"/>
              <w:bottom w:val="nil"/>
              <w:right w:val="nil"/>
            </w:tcBorders>
            <w:shd w:val="clear" w:color="auto" w:fill="auto"/>
            <w:noWrap/>
            <w:vAlign w:val="bottom"/>
            <w:hideMark/>
          </w:tcPr>
          <w:p w14:paraId="313B023F"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249</w:t>
            </w:r>
          </w:p>
        </w:tc>
        <w:tc>
          <w:tcPr>
            <w:tcW w:w="1141" w:type="dxa"/>
            <w:tcBorders>
              <w:top w:val="nil"/>
              <w:left w:val="nil"/>
              <w:bottom w:val="nil"/>
              <w:right w:val="nil"/>
            </w:tcBorders>
            <w:shd w:val="clear" w:color="auto" w:fill="auto"/>
            <w:noWrap/>
            <w:vAlign w:val="bottom"/>
            <w:hideMark/>
          </w:tcPr>
          <w:p w14:paraId="3FD2057A"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76</w:t>
            </w:r>
          </w:p>
        </w:tc>
      </w:tr>
      <w:tr w:rsidR="00A502B2" w:rsidRPr="00A502B2" w14:paraId="5E08134F" w14:textId="77777777" w:rsidTr="00D22906">
        <w:trPr>
          <w:trHeight w:val="300"/>
          <w:jc w:val="center"/>
        </w:trPr>
        <w:tc>
          <w:tcPr>
            <w:tcW w:w="1120" w:type="dxa"/>
            <w:tcBorders>
              <w:top w:val="nil"/>
              <w:left w:val="nil"/>
              <w:bottom w:val="nil"/>
              <w:right w:val="nil"/>
            </w:tcBorders>
            <w:shd w:val="clear" w:color="auto" w:fill="auto"/>
            <w:noWrap/>
            <w:vAlign w:val="bottom"/>
            <w:hideMark/>
          </w:tcPr>
          <w:p w14:paraId="76BDB7D1"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10/29/2023</w:t>
            </w:r>
          </w:p>
        </w:tc>
        <w:tc>
          <w:tcPr>
            <w:tcW w:w="1124" w:type="dxa"/>
            <w:tcBorders>
              <w:top w:val="nil"/>
              <w:left w:val="single" w:sz="4" w:space="0" w:color="auto"/>
              <w:bottom w:val="nil"/>
              <w:right w:val="nil"/>
            </w:tcBorders>
            <w:shd w:val="clear" w:color="auto" w:fill="auto"/>
            <w:noWrap/>
            <w:vAlign w:val="bottom"/>
            <w:hideMark/>
          </w:tcPr>
          <w:p w14:paraId="6741C555"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957</w:t>
            </w:r>
          </w:p>
        </w:tc>
        <w:tc>
          <w:tcPr>
            <w:tcW w:w="988" w:type="dxa"/>
            <w:tcBorders>
              <w:top w:val="nil"/>
              <w:left w:val="nil"/>
              <w:bottom w:val="nil"/>
              <w:right w:val="nil"/>
            </w:tcBorders>
            <w:shd w:val="clear" w:color="auto" w:fill="auto"/>
            <w:noWrap/>
            <w:vAlign w:val="bottom"/>
            <w:hideMark/>
          </w:tcPr>
          <w:p w14:paraId="613C4A2F"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737</w:t>
            </w:r>
          </w:p>
        </w:tc>
        <w:tc>
          <w:tcPr>
            <w:tcW w:w="988" w:type="dxa"/>
            <w:tcBorders>
              <w:top w:val="nil"/>
              <w:left w:val="nil"/>
              <w:bottom w:val="nil"/>
              <w:right w:val="single" w:sz="4" w:space="0" w:color="auto"/>
            </w:tcBorders>
            <w:shd w:val="clear" w:color="auto" w:fill="auto"/>
            <w:noWrap/>
            <w:vAlign w:val="bottom"/>
            <w:hideMark/>
          </w:tcPr>
          <w:p w14:paraId="60F6D406"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1610</w:t>
            </w:r>
          </w:p>
        </w:tc>
        <w:tc>
          <w:tcPr>
            <w:tcW w:w="1054" w:type="dxa"/>
            <w:tcBorders>
              <w:top w:val="nil"/>
              <w:left w:val="nil"/>
              <w:bottom w:val="nil"/>
              <w:right w:val="nil"/>
            </w:tcBorders>
            <w:shd w:val="clear" w:color="auto" w:fill="auto"/>
            <w:noWrap/>
            <w:vAlign w:val="bottom"/>
            <w:hideMark/>
          </w:tcPr>
          <w:p w14:paraId="7830DA0B"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201</w:t>
            </w:r>
          </w:p>
        </w:tc>
        <w:tc>
          <w:tcPr>
            <w:tcW w:w="926" w:type="dxa"/>
            <w:tcBorders>
              <w:top w:val="nil"/>
              <w:left w:val="nil"/>
              <w:bottom w:val="nil"/>
              <w:right w:val="nil"/>
            </w:tcBorders>
            <w:shd w:val="clear" w:color="auto" w:fill="auto"/>
            <w:noWrap/>
            <w:vAlign w:val="bottom"/>
            <w:hideMark/>
          </w:tcPr>
          <w:p w14:paraId="0529DF78"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463</w:t>
            </w:r>
          </w:p>
        </w:tc>
        <w:tc>
          <w:tcPr>
            <w:tcW w:w="1141" w:type="dxa"/>
            <w:tcBorders>
              <w:top w:val="nil"/>
              <w:left w:val="nil"/>
              <w:bottom w:val="nil"/>
              <w:right w:val="nil"/>
            </w:tcBorders>
            <w:shd w:val="clear" w:color="auto" w:fill="auto"/>
            <w:noWrap/>
            <w:vAlign w:val="bottom"/>
            <w:hideMark/>
          </w:tcPr>
          <w:p w14:paraId="326EC1A8"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8</w:t>
            </w:r>
          </w:p>
        </w:tc>
      </w:tr>
      <w:tr w:rsidR="00A502B2" w:rsidRPr="00A502B2" w14:paraId="60C21A59" w14:textId="77777777" w:rsidTr="00D22906">
        <w:trPr>
          <w:trHeight w:val="300"/>
          <w:jc w:val="center"/>
        </w:trPr>
        <w:tc>
          <w:tcPr>
            <w:tcW w:w="1120" w:type="dxa"/>
            <w:tcBorders>
              <w:top w:val="nil"/>
              <w:left w:val="nil"/>
              <w:bottom w:val="nil"/>
              <w:right w:val="nil"/>
            </w:tcBorders>
            <w:shd w:val="clear" w:color="auto" w:fill="auto"/>
            <w:noWrap/>
            <w:vAlign w:val="bottom"/>
            <w:hideMark/>
          </w:tcPr>
          <w:p w14:paraId="76D9B043"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11/1/2023</w:t>
            </w:r>
          </w:p>
        </w:tc>
        <w:tc>
          <w:tcPr>
            <w:tcW w:w="1124" w:type="dxa"/>
            <w:tcBorders>
              <w:top w:val="nil"/>
              <w:left w:val="single" w:sz="4" w:space="0" w:color="auto"/>
              <w:bottom w:val="nil"/>
              <w:right w:val="nil"/>
            </w:tcBorders>
            <w:shd w:val="clear" w:color="auto" w:fill="auto"/>
            <w:noWrap/>
            <w:vAlign w:val="bottom"/>
            <w:hideMark/>
          </w:tcPr>
          <w:p w14:paraId="184BF021" w14:textId="32454136" w:rsidR="00A502B2" w:rsidRPr="00A502B2" w:rsidRDefault="00A502B2" w:rsidP="00D22906">
            <w:pPr>
              <w:spacing w:after="0" w:line="240" w:lineRule="auto"/>
              <w:jc w:val="center"/>
              <w:rPr>
                <w:rFonts w:ascii="Calibri" w:eastAsia="Times New Roman" w:hAnsi="Calibri" w:cs="Calibri"/>
                <w:color w:val="000000"/>
              </w:rPr>
            </w:pPr>
          </w:p>
        </w:tc>
        <w:tc>
          <w:tcPr>
            <w:tcW w:w="988" w:type="dxa"/>
            <w:tcBorders>
              <w:top w:val="nil"/>
              <w:left w:val="nil"/>
              <w:bottom w:val="nil"/>
              <w:right w:val="nil"/>
            </w:tcBorders>
            <w:shd w:val="clear" w:color="auto" w:fill="auto"/>
            <w:noWrap/>
            <w:vAlign w:val="bottom"/>
            <w:hideMark/>
          </w:tcPr>
          <w:p w14:paraId="3447EA25" w14:textId="77777777" w:rsidR="00A502B2" w:rsidRPr="00A502B2" w:rsidRDefault="00A502B2" w:rsidP="00D22906">
            <w:pPr>
              <w:spacing w:after="0" w:line="240" w:lineRule="auto"/>
              <w:jc w:val="center"/>
              <w:rPr>
                <w:rFonts w:ascii="Calibri" w:eastAsia="Times New Roman" w:hAnsi="Calibri" w:cs="Calibri"/>
                <w:color w:val="000000"/>
              </w:rPr>
            </w:pPr>
          </w:p>
        </w:tc>
        <w:tc>
          <w:tcPr>
            <w:tcW w:w="988" w:type="dxa"/>
            <w:tcBorders>
              <w:top w:val="nil"/>
              <w:left w:val="nil"/>
              <w:bottom w:val="nil"/>
              <w:right w:val="single" w:sz="4" w:space="0" w:color="auto"/>
            </w:tcBorders>
            <w:shd w:val="clear" w:color="auto" w:fill="auto"/>
            <w:noWrap/>
            <w:vAlign w:val="bottom"/>
            <w:hideMark/>
          </w:tcPr>
          <w:p w14:paraId="45EE6435" w14:textId="25E3937A" w:rsidR="00A502B2" w:rsidRPr="00A502B2" w:rsidRDefault="00A502B2" w:rsidP="00D22906">
            <w:pPr>
              <w:spacing w:after="0" w:line="240" w:lineRule="auto"/>
              <w:jc w:val="center"/>
              <w:rPr>
                <w:rFonts w:ascii="Calibri" w:eastAsia="Times New Roman" w:hAnsi="Calibri" w:cs="Calibri"/>
                <w:color w:val="000000"/>
              </w:rPr>
            </w:pPr>
          </w:p>
        </w:tc>
        <w:tc>
          <w:tcPr>
            <w:tcW w:w="1054" w:type="dxa"/>
            <w:tcBorders>
              <w:top w:val="nil"/>
              <w:left w:val="nil"/>
              <w:bottom w:val="nil"/>
              <w:right w:val="nil"/>
            </w:tcBorders>
            <w:shd w:val="clear" w:color="auto" w:fill="auto"/>
            <w:noWrap/>
            <w:vAlign w:val="bottom"/>
            <w:hideMark/>
          </w:tcPr>
          <w:p w14:paraId="65872C21"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159</w:t>
            </w:r>
          </w:p>
        </w:tc>
        <w:tc>
          <w:tcPr>
            <w:tcW w:w="926" w:type="dxa"/>
            <w:tcBorders>
              <w:top w:val="nil"/>
              <w:left w:val="nil"/>
              <w:bottom w:val="nil"/>
              <w:right w:val="nil"/>
            </w:tcBorders>
            <w:shd w:val="clear" w:color="auto" w:fill="auto"/>
            <w:noWrap/>
            <w:vAlign w:val="bottom"/>
            <w:hideMark/>
          </w:tcPr>
          <w:p w14:paraId="0DB4D6E4"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235</w:t>
            </w:r>
          </w:p>
        </w:tc>
        <w:tc>
          <w:tcPr>
            <w:tcW w:w="1141" w:type="dxa"/>
            <w:tcBorders>
              <w:top w:val="nil"/>
              <w:left w:val="nil"/>
              <w:bottom w:val="nil"/>
              <w:right w:val="nil"/>
            </w:tcBorders>
            <w:shd w:val="clear" w:color="auto" w:fill="auto"/>
            <w:noWrap/>
            <w:vAlign w:val="bottom"/>
            <w:hideMark/>
          </w:tcPr>
          <w:p w14:paraId="6DA4A7B1"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8</w:t>
            </w:r>
          </w:p>
        </w:tc>
      </w:tr>
      <w:tr w:rsidR="00A502B2" w:rsidRPr="00A502B2" w14:paraId="24C7B8F2" w14:textId="77777777" w:rsidTr="00D22906">
        <w:trPr>
          <w:trHeight w:val="315"/>
          <w:jc w:val="center"/>
        </w:trPr>
        <w:tc>
          <w:tcPr>
            <w:tcW w:w="1120" w:type="dxa"/>
            <w:tcBorders>
              <w:top w:val="nil"/>
              <w:left w:val="nil"/>
              <w:bottom w:val="single" w:sz="8" w:space="0" w:color="auto"/>
              <w:right w:val="nil"/>
            </w:tcBorders>
            <w:shd w:val="clear" w:color="auto" w:fill="auto"/>
            <w:noWrap/>
            <w:vAlign w:val="bottom"/>
            <w:hideMark/>
          </w:tcPr>
          <w:p w14:paraId="1179BBA6" w14:textId="77777777" w:rsidR="00A502B2" w:rsidRPr="00A502B2" w:rsidRDefault="00A502B2" w:rsidP="00A502B2">
            <w:pPr>
              <w:spacing w:after="0" w:line="240" w:lineRule="auto"/>
              <w:jc w:val="right"/>
              <w:rPr>
                <w:rFonts w:ascii="Calibri" w:eastAsia="Times New Roman" w:hAnsi="Calibri" w:cs="Calibri"/>
                <w:color w:val="000000"/>
              </w:rPr>
            </w:pPr>
            <w:r w:rsidRPr="00A502B2">
              <w:rPr>
                <w:rFonts w:ascii="Calibri" w:eastAsia="Times New Roman" w:hAnsi="Calibri" w:cs="Calibri"/>
                <w:color w:val="000000"/>
              </w:rPr>
              <w:t>11/4/2023</w:t>
            </w:r>
          </w:p>
        </w:tc>
        <w:tc>
          <w:tcPr>
            <w:tcW w:w="1124" w:type="dxa"/>
            <w:tcBorders>
              <w:top w:val="nil"/>
              <w:left w:val="single" w:sz="4" w:space="0" w:color="auto"/>
              <w:bottom w:val="single" w:sz="8" w:space="0" w:color="auto"/>
              <w:right w:val="nil"/>
            </w:tcBorders>
            <w:shd w:val="clear" w:color="auto" w:fill="auto"/>
            <w:noWrap/>
            <w:vAlign w:val="bottom"/>
            <w:hideMark/>
          </w:tcPr>
          <w:p w14:paraId="062097B0"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1524</w:t>
            </w:r>
          </w:p>
        </w:tc>
        <w:tc>
          <w:tcPr>
            <w:tcW w:w="988" w:type="dxa"/>
            <w:tcBorders>
              <w:top w:val="nil"/>
              <w:left w:val="nil"/>
              <w:bottom w:val="single" w:sz="8" w:space="0" w:color="auto"/>
              <w:right w:val="nil"/>
            </w:tcBorders>
            <w:shd w:val="clear" w:color="auto" w:fill="auto"/>
            <w:noWrap/>
            <w:vAlign w:val="bottom"/>
            <w:hideMark/>
          </w:tcPr>
          <w:p w14:paraId="2B68003F"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1114</w:t>
            </w:r>
          </w:p>
        </w:tc>
        <w:tc>
          <w:tcPr>
            <w:tcW w:w="988" w:type="dxa"/>
            <w:tcBorders>
              <w:top w:val="nil"/>
              <w:left w:val="nil"/>
              <w:bottom w:val="single" w:sz="8" w:space="0" w:color="auto"/>
              <w:right w:val="single" w:sz="4" w:space="0" w:color="auto"/>
            </w:tcBorders>
            <w:shd w:val="clear" w:color="auto" w:fill="auto"/>
            <w:noWrap/>
            <w:vAlign w:val="bottom"/>
            <w:hideMark/>
          </w:tcPr>
          <w:p w14:paraId="4FDE4B66"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1552</w:t>
            </w:r>
          </w:p>
        </w:tc>
        <w:tc>
          <w:tcPr>
            <w:tcW w:w="1054" w:type="dxa"/>
            <w:tcBorders>
              <w:top w:val="nil"/>
              <w:left w:val="nil"/>
              <w:bottom w:val="single" w:sz="8" w:space="0" w:color="auto"/>
              <w:right w:val="nil"/>
            </w:tcBorders>
            <w:shd w:val="clear" w:color="auto" w:fill="auto"/>
            <w:noWrap/>
            <w:vAlign w:val="bottom"/>
            <w:hideMark/>
          </w:tcPr>
          <w:p w14:paraId="1DFF7215"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151</w:t>
            </w:r>
          </w:p>
        </w:tc>
        <w:tc>
          <w:tcPr>
            <w:tcW w:w="926" w:type="dxa"/>
            <w:tcBorders>
              <w:top w:val="nil"/>
              <w:left w:val="nil"/>
              <w:bottom w:val="single" w:sz="8" w:space="0" w:color="auto"/>
              <w:right w:val="nil"/>
            </w:tcBorders>
            <w:shd w:val="clear" w:color="auto" w:fill="auto"/>
            <w:noWrap/>
            <w:vAlign w:val="bottom"/>
            <w:hideMark/>
          </w:tcPr>
          <w:p w14:paraId="6BC843ED"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287</w:t>
            </w:r>
          </w:p>
        </w:tc>
        <w:tc>
          <w:tcPr>
            <w:tcW w:w="1141" w:type="dxa"/>
            <w:tcBorders>
              <w:top w:val="nil"/>
              <w:left w:val="nil"/>
              <w:bottom w:val="single" w:sz="8" w:space="0" w:color="auto"/>
              <w:right w:val="nil"/>
            </w:tcBorders>
            <w:shd w:val="clear" w:color="auto" w:fill="auto"/>
            <w:noWrap/>
            <w:vAlign w:val="bottom"/>
            <w:hideMark/>
          </w:tcPr>
          <w:p w14:paraId="7CE2D30E" w14:textId="77777777" w:rsidR="00A502B2" w:rsidRPr="00A502B2" w:rsidRDefault="00A502B2" w:rsidP="00D22906">
            <w:pPr>
              <w:spacing w:after="0" w:line="240" w:lineRule="auto"/>
              <w:jc w:val="center"/>
              <w:rPr>
                <w:rFonts w:ascii="Calibri" w:eastAsia="Times New Roman" w:hAnsi="Calibri" w:cs="Calibri"/>
                <w:color w:val="000000"/>
              </w:rPr>
            </w:pPr>
            <w:r w:rsidRPr="00A502B2">
              <w:rPr>
                <w:rFonts w:ascii="Calibri" w:eastAsia="Times New Roman" w:hAnsi="Calibri" w:cs="Calibri"/>
                <w:color w:val="000000"/>
              </w:rPr>
              <w:t>7</w:t>
            </w:r>
          </w:p>
        </w:tc>
      </w:tr>
    </w:tbl>
    <w:p w14:paraId="67679B66" w14:textId="77777777" w:rsidR="00D22B02" w:rsidRDefault="00D22B02" w:rsidP="00EB6B54">
      <w:pPr>
        <w:pStyle w:val="ListParagraph"/>
      </w:pPr>
    </w:p>
    <w:p w14:paraId="05153E8A" w14:textId="67A424B2" w:rsidR="00E3373D" w:rsidRPr="00D22906" w:rsidRDefault="00E3373D" w:rsidP="00E3373D">
      <w:pPr>
        <w:pStyle w:val="ListParagraph"/>
        <w:numPr>
          <w:ilvl w:val="0"/>
          <w:numId w:val="1"/>
        </w:numPr>
        <w:rPr>
          <w:b/>
        </w:rPr>
      </w:pPr>
      <w:r w:rsidRPr="00D22906">
        <w:rPr>
          <w:b/>
        </w:rPr>
        <w:t>Work to be Completed</w:t>
      </w:r>
    </w:p>
    <w:p w14:paraId="1F20C18B" w14:textId="2EC2E0F3" w:rsidR="00415D58" w:rsidRDefault="00415D58" w:rsidP="00415D58">
      <w:pPr>
        <w:ind w:left="360"/>
      </w:pPr>
      <w:r>
        <w:t>After completing the experiments of evaluating the particles sizes, temperatures, and total solids, the following experiments will need to be setup for further investigations:</w:t>
      </w:r>
    </w:p>
    <w:p w14:paraId="61289730" w14:textId="053C9CB4" w:rsidR="00415D58" w:rsidRDefault="00415D58" w:rsidP="00415D58">
      <w:pPr>
        <w:pStyle w:val="ListParagraph"/>
        <w:numPr>
          <w:ilvl w:val="0"/>
          <w:numId w:val="7"/>
        </w:numPr>
      </w:pPr>
      <w:r>
        <w:lastRenderedPageBreak/>
        <w:t>Investigate the effect of wet-state alkaline pretreatments of DSM on methane yield and nutrients in digestate.</w:t>
      </w:r>
    </w:p>
    <w:p w14:paraId="07C707DE" w14:textId="14C194BF" w:rsidR="00415D58" w:rsidRDefault="00415D58" w:rsidP="00415D58">
      <w:pPr>
        <w:pStyle w:val="ListParagraph"/>
        <w:numPr>
          <w:ilvl w:val="0"/>
          <w:numId w:val="7"/>
        </w:numPr>
      </w:pPr>
      <w:r>
        <w:t>Enhance methane yield and biofertilizer quality of anaerobically digested alkaline pretreated</w:t>
      </w:r>
    </w:p>
    <w:p w14:paraId="3C5BFC71" w14:textId="0904A308" w:rsidR="00415D58" w:rsidRDefault="00415D58" w:rsidP="00415D58">
      <w:pPr>
        <w:pStyle w:val="ListParagraph"/>
        <w:ind w:left="360"/>
      </w:pPr>
      <w:r>
        <w:t>DSM with co-digestion inclusion and use of biochar and nanoparticles additives.</w:t>
      </w:r>
    </w:p>
    <w:p w14:paraId="11EF2E18" w14:textId="0A16D0D9" w:rsidR="00415D58" w:rsidRDefault="00415D58" w:rsidP="00415D58">
      <w:pPr>
        <w:pStyle w:val="ListParagraph"/>
        <w:numPr>
          <w:ilvl w:val="0"/>
          <w:numId w:val="7"/>
        </w:numPr>
      </w:pPr>
      <w:r>
        <w:t xml:space="preserve">Analyze data and publish the results on peer-reviewed journals and attend local and national conferences to present the findings. </w:t>
      </w:r>
    </w:p>
    <w:p w14:paraId="2BA5DCFF" w14:textId="2C4A8AFC" w:rsidR="00415D58" w:rsidRDefault="00415D58" w:rsidP="00415D58">
      <w:pPr>
        <w:pStyle w:val="ListParagraph"/>
        <w:numPr>
          <w:ilvl w:val="0"/>
          <w:numId w:val="7"/>
        </w:numPr>
      </w:pPr>
      <w:r>
        <w:t>Prepare a dataset for LCA analysis in future (Multi-Year plan: 07/01/24~06/30/25).</w:t>
      </w:r>
    </w:p>
    <w:p w14:paraId="08999A96" w14:textId="77777777" w:rsidR="00EB6B54" w:rsidRDefault="00EB6B54" w:rsidP="00EB6B54">
      <w:pPr>
        <w:pStyle w:val="ListParagraph"/>
      </w:pPr>
    </w:p>
    <w:p w14:paraId="1B0CF2ED" w14:textId="2EDA5070" w:rsidR="00E3373D" w:rsidRPr="00D22906" w:rsidRDefault="00E3373D" w:rsidP="00E3373D">
      <w:pPr>
        <w:pStyle w:val="ListParagraph"/>
        <w:numPr>
          <w:ilvl w:val="0"/>
          <w:numId w:val="1"/>
        </w:numPr>
        <w:rPr>
          <w:b/>
        </w:rPr>
      </w:pPr>
      <w:r w:rsidRPr="00D22906">
        <w:rPr>
          <w:b/>
        </w:rPr>
        <w:t>Other relevant information: potential barriers to achieving objectives, risk mitigation strategies, or breakthroughs</w:t>
      </w:r>
    </w:p>
    <w:p w14:paraId="3AF46A5A" w14:textId="214633B4" w:rsidR="007C0888" w:rsidRDefault="000F7B85" w:rsidP="00415D58">
      <w:r>
        <w:t xml:space="preserve">A pretest was conducted to investigate the pH stability during the AD. </w:t>
      </w:r>
      <w:r w:rsidR="00415D58">
        <w:t xml:space="preserve">The experiment was </w:t>
      </w:r>
      <w:r w:rsidR="00A73F61">
        <w:t xml:space="preserve">interrupted and </w:t>
      </w:r>
      <w:r w:rsidR="00415D58">
        <w:t>delayed due to the</w:t>
      </w:r>
      <w:r w:rsidR="00E03D2A">
        <w:t xml:space="preserve"> </w:t>
      </w:r>
      <w:r w:rsidR="00A73F61">
        <w:t>ABEN Department</w:t>
      </w:r>
      <w:r w:rsidR="00415D58">
        <w:t xml:space="preserve"> </w:t>
      </w:r>
      <w:r w:rsidR="00A73F61">
        <w:t>relocation</w:t>
      </w:r>
      <w:r w:rsidR="00415D58">
        <w:t xml:space="preserve"> during the summer and fall semesters 2023</w:t>
      </w:r>
      <w:r w:rsidR="00A73F61">
        <w:t xml:space="preserve">, we borrowed a second water bath from pilot plan to speed up the study by conducting mesophilic and thermophilic treatments simultaneously. </w:t>
      </w:r>
    </w:p>
    <w:p w14:paraId="5AD029D0" w14:textId="6290152F" w:rsidR="00E3373D" w:rsidRDefault="00E3373D" w:rsidP="00E3373D">
      <w:pPr>
        <w:pStyle w:val="ListParagraph"/>
        <w:numPr>
          <w:ilvl w:val="0"/>
          <w:numId w:val="1"/>
        </w:numPr>
        <w:rPr>
          <w:b/>
        </w:rPr>
      </w:pPr>
      <w:r w:rsidRPr="00D22906">
        <w:rPr>
          <w:b/>
        </w:rPr>
        <w:t>Summary</w:t>
      </w:r>
    </w:p>
    <w:p w14:paraId="4C898670" w14:textId="0E1AF6D0" w:rsidR="00265A2B" w:rsidRPr="00265A2B" w:rsidRDefault="00265A2B" w:rsidP="00265A2B">
      <w:r w:rsidRPr="00265A2B">
        <w:t>In summary,</w:t>
      </w:r>
      <w:r w:rsidR="00FC10EC">
        <w:t xml:space="preserve"> based on the results of the current experiment, soybean meal is a promising feedstock for biogas production in AD. </w:t>
      </w:r>
      <w:r w:rsidR="00AD0F59">
        <w:t>The total biogas yield, methane production, and gas production rate are affected by the different</w:t>
      </w:r>
      <w:r w:rsidR="00FC10EC">
        <w:t xml:space="preserve"> particle sizes and temperature of AD</w:t>
      </w:r>
      <w:r w:rsidR="00AD0F59">
        <w:t>. The total gas production accumulated during four weeks of mesophilic was higher than that of thermophilic. The methane concentration of mesophilic was significantly greater than that of thermophilic especially in the early stage, however, the h</w:t>
      </w:r>
      <w:r w:rsidR="00AD0F59" w:rsidRPr="00AD0F59">
        <w:t xml:space="preserve">ydrogen </w:t>
      </w:r>
      <w:proofErr w:type="spellStart"/>
      <w:r w:rsidR="00AD0F59" w:rsidRPr="00AD0F59">
        <w:t>sulphide</w:t>
      </w:r>
      <w:proofErr w:type="spellEnd"/>
      <w:r w:rsidR="00AD0F59" w:rsidRPr="00AD0F59">
        <w:t xml:space="preserve"> concentration</w:t>
      </w:r>
      <w:r w:rsidR="00AD0F59">
        <w:t xml:space="preserve"> of thermophilic was significantly higher than that of mesophilic at start but dropped dramatically in the following weeks. </w:t>
      </w:r>
      <w:r w:rsidR="00AF7CD2">
        <w:t xml:space="preserve">The overall performance of biogas production in mesophilic condition was better than thermophilic condition, however, results of the current ongoing experiment should be included to draw the conclusion. After the temperature and particle size are selected, further investigation of </w:t>
      </w:r>
      <w:r w:rsidR="00AF7CD2" w:rsidRPr="00AF7CD2">
        <w:t xml:space="preserve">alkaline pretreatments </w:t>
      </w:r>
      <w:r w:rsidR="00AF7CD2">
        <w:t xml:space="preserve">and </w:t>
      </w:r>
      <w:r w:rsidR="00AF7CD2" w:rsidRPr="00AF7CD2">
        <w:t>co-digestion inclusion</w:t>
      </w:r>
      <w:r w:rsidR="00AF7CD2">
        <w:t xml:space="preserve"> would be conducted to enhance the methane production. Nutrient analysis of slurry should be conducted to investigate the quality of biofertilizer. </w:t>
      </w:r>
    </w:p>
    <w:sectPr w:rsidR="00265A2B" w:rsidRPr="00265A2B">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B35C7" w14:textId="77777777" w:rsidR="0012606D" w:rsidRDefault="0012606D" w:rsidP="007C278B">
      <w:pPr>
        <w:spacing w:after="0" w:line="240" w:lineRule="auto"/>
      </w:pPr>
      <w:r>
        <w:separator/>
      </w:r>
    </w:p>
  </w:endnote>
  <w:endnote w:type="continuationSeparator" w:id="0">
    <w:p w14:paraId="6B840949" w14:textId="77777777" w:rsidR="0012606D" w:rsidRDefault="0012606D" w:rsidP="007C2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1617"/>
      <w:docPartObj>
        <w:docPartGallery w:val="Page Numbers (Bottom of Page)"/>
        <w:docPartUnique/>
      </w:docPartObj>
    </w:sdtPr>
    <w:sdtEndPr>
      <w:rPr>
        <w:noProof/>
      </w:rPr>
    </w:sdtEndPr>
    <w:sdtContent>
      <w:p w14:paraId="19AB9B05" w14:textId="6F072895" w:rsidR="00172E0D" w:rsidRDefault="00172E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824612" w14:textId="77777777" w:rsidR="00172E0D" w:rsidRDefault="00172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5E0BBA" w14:textId="77777777" w:rsidR="0012606D" w:rsidRDefault="0012606D" w:rsidP="007C278B">
      <w:pPr>
        <w:spacing w:after="0" w:line="240" w:lineRule="auto"/>
      </w:pPr>
      <w:r>
        <w:separator/>
      </w:r>
    </w:p>
  </w:footnote>
  <w:footnote w:type="continuationSeparator" w:id="0">
    <w:p w14:paraId="55EA66AE" w14:textId="77777777" w:rsidR="0012606D" w:rsidRDefault="0012606D" w:rsidP="007C27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045C3"/>
    <w:multiLevelType w:val="hybridMultilevel"/>
    <w:tmpl w:val="0904318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0A84FCE"/>
    <w:multiLevelType w:val="hybridMultilevel"/>
    <w:tmpl w:val="AC1C342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36867A4"/>
    <w:multiLevelType w:val="hybridMultilevel"/>
    <w:tmpl w:val="A418CBC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686C85"/>
    <w:multiLevelType w:val="hybridMultilevel"/>
    <w:tmpl w:val="39AA86A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A170F0F"/>
    <w:multiLevelType w:val="hybridMultilevel"/>
    <w:tmpl w:val="C1BAAB8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A391CFA"/>
    <w:multiLevelType w:val="hybridMultilevel"/>
    <w:tmpl w:val="966C54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EB6AF0"/>
    <w:multiLevelType w:val="hybridMultilevel"/>
    <w:tmpl w:val="95705D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73D"/>
    <w:rsid w:val="000204A1"/>
    <w:rsid w:val="000A2ACA"/>
    <w:rsid w:val="000B243E"/>
    <w:rsid w:val="000F7B85"/>
    <w:rsid w:val="00103B60"/>
    <w:rsid w:val="0012606D"/>
    <w:rsid w:val="00172E0D"/>
    <w:rsid w:val="00257F77"/>
    <w:rsid w:val="00265A2B"/>
    <w:rsid w:val="00295C72"/>
    <w:rsid w:val="0037510F"/>
    <w:rsid w:val="003842DD"/>
    <w:rsid w:val="003B1FA2"/>
    <w:rsid w:val="003F5254"/>
    <w:rsid w:val="00400D73"/>
    <w:rsid w:val="00415D58"/>
    <w:rsid w:val="004420E3"/>
    <w:rsid w:val="00601251"/>
    <w:rsid w:val="00616839"/>
    <w:rsid w:val="0062210D"/>
    <w:rsid w:val="0065729E"/>
    <w:rsid w:val="00773DF7"/>
    <w:rsid w:val="00797EC7"/>
    <w:rsid w:val="007C0888"/>
    <w:rsid w:val="007C278B"/>
    <w:rsid w:val="00834332"/>
    <w:rsid w:val="008356F1"/>
    <w:rsid w:val="008622CD"/>
    <w:rsid w:val="00891728"/>
    <w:rsid w:val="008C5D65"/>
    <w:rsid w:val="008E144F"/>
    <w:rsid w:val="00960264"/>
    <w:rsid w:val="009F7EC4"/>
    <w:rsid w:val="00A11E4E"/>
    <w:rsid w:val="00A502B2"/>
    <w:rsid w:val="00A73F61"/>
    <w:rsid w:val="00A87CDC"/>
    <w:rsid w:val="00AA214D"/>
    <w:rsid w:val="00AD0F59"/>
    <w:rsid w:val="00AF7CD2"/>
    <w:rsid w:val="00BF48DB"/>
    <w:rsid w:val="00C77AEA"/>
    <w:rsid w:val="00D22906"/>
    <w:rsid w:val="00D22B02"/>
    <w:rsid w:val="00D3168F"/>
    <w:rsid w:val="00E03D2A"/>
    <w:rsid w:val="00E3373D"/>
    <w:rsid w:val="00EB6B54"/>
    <w:rsid w:val="00ED1A5D"/>
    <w:rsid w:val="00EF1453"/>
    <w:rsid w:val="00F01221"/>
    <w:rsid w:val="00F23DA8"/>
    <w:rsid w:val="00F273BA"/>
    <w:rsid w:val="00F85EF5"/>
    <w:rsid w:val="00FC1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9CB67"/>
  <w15:chartTrackingRefBased/>
  <w15:docId w15:val="{D667890F-84C1-49A5-99A2-EBA887FB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73D"/>
    <w:pPr>
      <w:ind w:left="720"/>
      <w:contextualSpacing/>
    </w:pPr>
  </w:style>
  <w:style w:type="paragraph" w:styleId="Header">
    <w:name w:val="header"/>
    <w:basedOn w:val="Normal"/>
    <w:link w:val="HeaderChar"/>
    <w:uiPriority w:val="99"/>
    <w:unhideWhenUsed/>
    <w:rsid w:val="007C27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78B"/>
  </w:style>
  <w:style w:type="paragraph" w:styleId="Footer">
    <w:name w:val="footer"/>
    <w:basedOn w:val="Normal"/>
    <w:link w:val="FooterChar"/>
    <w:uiPriority w:val="99"/>
    <w:unhideWhenUsed/>
    <w:rsid w:val="007C27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78B"/>
  </w:style>
  <w:style w:type="paragraph" w:styleId="Title">
    <w:name w:val="Title"/>
    <w:basedOn w:val="Normal"/>
    <w:next w:val="Normal"/>
    <w:link w:val="TitleChar"/>
    <w:uiPriority w:val="10"/>
    <w:qFormat/>
    <w:rsid w:val="008917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72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824495">
      <w:bodyDiv w:val="1"/>
      <w:marLeft w:val="0"/>
      <w:marRight w:val="0"/>
      <w:marTop w:val="0"/>
      <w:marBottom w:val="0"/>
      <w:divBdr>
        <w:top w:val="none" w:sz="0" w:space="0" w:color="auto"/>
        <w:left w:val="none" w:sz="0" w:space="0" w:color="auto"/>
        <w:bottom w:val="none" w:sz="0" w:space="0" w:color="auto"/>
        <w:right w:val="none" w:sz="0" w:space="0" w:color="auto"/>
      </w:divBdr>
    </w:div>
    <w:div w:id="585921374">
      <w:bodyDiv w:val="1"/>
      <w:marLeft w:val="0"/>
      <w:marRight w:val="0"/>
      <w:marTop w:val="0"/>
      <w:marBottom w:val="0"/>
      <w:divBdr>
        <w:top w:val="none" w:sz="0" w:space="0" w:color="auto"/>
        <w:left w:val="none" w:sz="0" w:space="0" w:color="auto"/>
        <w:bottom w:val="none" w:sz="0" w:space="0" w:color="auto"/>
        <w:right w:val="none" w:sz="0" w:space="0" w:color="auto"/>
      </w:divBdr>
    </w:div>
    <w:div w:id="151827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FC5475BD96174983BC6AFE0EB904E4" ma:contentTypeVersion="12" ma:contentTypeDescription="Create a new document." ma:contentTypeScope="" ma:versionID="ab64b694f40688d4da3e6a0e3ba3d3b1">
  <xsd:schema xmlns:xsd="http://www.w3.org/2001/XMLSchema" xmlns:xs="http://www.w3.org/2001/XMLSchema" xmlns:p="http://schemas.microsoft.com/office/2006/metadata/properties" xmlns:ns3="90f9b53a-3ac8-415f-bb2a-e36523a77dc6" targetNamespace="http://schemas.microsoft.com/office/2006/metadata/properties" ma:root="true" ma:fieldsID="325a4031b7300aaca04c0eab272e1a25" ns3:_="">
    <xsd:import namespace="90f9b53a-3ac8-415f-bb2a-e36523a77d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9b53a-3ac8-415f-bb2a-e36523a77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0f9b53a-3ac8-415f-bb2a-e36523a77dc6" xsi:nil="true"/>
  </documentManagement>
</p:properties>
</file>

<file path=customXml/itemProps1.xml><?xml version="1.0" encoding="utf-8"?>
<ds:datastoreItem xmlns:ds="http://schemas.openxmlformats.org/officeDocument/2006/customXml" ds:itemID="{304A7072-0A41-49AE-B4FB-398ACC8971C3}">
  <ds:schemaRefs>
    <ds:schemaRef ds:uri="http://schemas.microsoft.com/sharepoint/v3/contenttype/forms"/>
  </ds:schemaRefs>
</ds:datastoreItem>
</file>

<file path=customXml/itemProps2.xml><?xml version="1.0" encoding="utf-8"?>
<ds:datastoreItem xmlns:ds="http://schemas.openxmlformats.org/officeDocument/2006/customXml" ds:itemID="{69EFF8FC-6C47-4607-8BEE-A558B0B7D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9b53a-3ac8-415f-bb2a-e36523a77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1303C5-1C1E-4FC8-823D-80C362A17A0C}">
  <ds:schemaRefs>
    <ds:schemaRef ds:uri="http://purl.org/dc/dcmitype/"/>
    <ds:schemaRef ds:uri="http://purl.org/dc/elements/1.1/"/>
    <ds:schemaRef ds:uri="http://schemas.microsoft.com/office/infopath/2007/PartnerControls"/>
    <ds:schemaRef ds:uri="http://schemas.microsoft.com/office/2006/documentManagement/types"/>
    <ds:schemaRef ds:uri="http://purl.org/dc/terms/"/>
    <ds:schemaRef ds:uri="http://schemas.microsoft.com/office/2006/metadata/properties"/>
    <ds:schemaRef ds:uri="http://www.w3.org/XML/1998/namespace"/>
    <ds:schemaRef ds:uri="90f9b53a-3ac8-415f-bb2a-e36523a77dc6"/>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7</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Feng, Iris</dc:creator>
  <cp:keywords/>
  <dc:description/>
  <cp:lastModifiedBy>Feng, Iris</cp:lastModifiedBy>
  <cp:revision>7</cp:revision>
  <dcterms:created xsi:type="dcterms:W3CDTF">2023-11-27T23:42:00Z</dcterms:created>
  <dcterms:modified xsi:type="dcterms:W3CDTF">2023-11-30T19:28:00Z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0x0101006AFC5475BD96174983BC6AFE0EB904E4</vt:lpwstr>
  </property>
</Properties>
</file>