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808D6" w14:textId="314FAD09" w:rsidR="002E2DB0" w:rsidRPr="006D3118" w:rsidRDefault="1174B984" w:rsidP="003E0C2E">
      <w:pPr>
        <w:spacing w:after="0" w:line="240" w:lineRule="auto"/>
        <w:jc w:val="center"/>
        <w:rPr>
          <w:rFonts w:ascii="Times New Roman" w:eastAsia="Times New Roman" w:hAnsi="Times New Roman" w:cs="Times New Roman"/>
          <w:b/>
          <w:bCs/>
          <w:color w:val="000000" w:themeColor="text1"/>
          <w:sz w:val="20"/>
          <w:szCs w:val="20"/>
        </w:rPr>
      </w:pPr>
      <w:r w:rsidRPr="1E46BC7A">
        <w:rPr>
          <w:rFonts w:ascii="Times New Roman" w:eastAsia="Times New Roman" w:hAnsi="Times New Roman" w:cs="Times New Roman"/>
          <w:b/>
          <w:bCs/>
          <w:color w:val="000000" w:themeColor="text1"/>
          <w:sz w:val="20"/>
          <w:szCs w:val="20"/>
        </w:rPr>
        <w:t>BIOCONVERSION AND BIOAUGMENTATION OF SOYBEAN MEAL FOR SUSTAINABLE BIOFERTILIZER PRODUCTION</w:t>
      </w:r>
    </w:p>
    <w:p w14:paraId="78D785C0" w14:textId="48A38F92" w:rsidR="1A90EC14" w:rsidRDefault="1A90EC14" w:rsidP="003E0C2E">
      <w:pPr>
        <w:spacing w:after="0" w:line="240" w:lineRule="auto"/>
        <w:jc w:val="center"/>
        <w:rPr>
          <w:rFonts w:ascii="Times New Roman" w:eastAsia="Times New Roman" w:hAnsi="Times New Roman" w:cs="Times New Roman"/>
          <w:color w:val="000000" w:themeColor="text1"/>
          <w:sz w:val="20"/>
          <w:szCs w:val="20"/>
          <w:vertAlign w:val="superscript"/>
        </w:rPr>
      </w:pPr>
      <w:r w:rsidRPr="0A5A6F45">
        <w:rPr>
          <w:rFonts w:ascii="Times New Roman" w:eastAsia="Times New Roman" w:hAnsi="Times New Roman" w:cs="Times New Roman"/>
          <w:color w:val="000000" w:themeColor="text1"/>
          <w:sz w:val="20"/>
          <w:szCs w:val="20"/>
        </w:rPr>
        <w:t>Dr. Ademola Hammed</w:t>
      </w:r>
      <w:proofErr w:type="gramStart"/>
      <w:r w:rsidR="635A123A" w:rsidRPr="0A5A6F45">
        <w:rPr>
          <w:rFonts w:ascii="Times New Roman" w:eastAsia="Times New Roman" w:hAnsi="Times New Roman" w:cs="Times New Roman"/>
          <w:color w:val="000000" w:themeColor="text1"/>
          <w:sz w:val="20"/>
          <w:szCs w:val="20"/>
          <w:vertAlign w:val="superscript"/>
        </w:rPr>
        <w:t>1,</w:t>
      </w:r>
      <w:r w:rsidR="68CDADD2" w:rsidRPr="0A5A6F45">
        <w:rPr>
          <w:rFonts w:ascii="Times New Roman" w:eastAsia="Times New Roman" w:hAnsi="Times New Roman" w:cs="Times New Roman"/>
          <w:color w:val="000000" w:themeColor="text1"/>
          <w:sz w:val="20"/>
          <w:szCs w:val="20"/>
          <w:vertAlign w:val="superscript"/>
        </w:rPr>
        <w:t>*</w:t>
      </w:r>
      <w:proofErr w:type="gramEnd"/>
      <w:r w:rsidR="210BFCA0" w:rsidRPr="0A5A6F45">
        <w:rPr>
          <w:rFonts w:ascii="Times New Roman" w:eastAsia="Times New Roman" w:hAnsi="Times New Roman" w:cs="Times New Roman"/>
          <w:color w:val="000000" w:themeColor="text1"/>
          <w:sz w:val="20"/>
          <w:szCs w:val="20"/>
          <w:vertAlign w:val="superscript"/>
        </w:rPr>
        <w:t>*</w:t>
      </w:r>
      <w:r w:rsidR="210BFCA0" w:rsidRPr="0A5A6F45">
        <w:rPr>
          <w:rFonts w:ascii="Times New Roman" w:eastAsia="Times New Roman" w:hAnsi="Times New Roman" w:cs="Times New Roman"/>
          <w:color w:val="000000" w:themeColor="text1"/>
          <w:sz w:val="20"/>
          <w:szCs w:val="20"/>
        </w:rPr>
        <w:t xml:space="preserve">, Dr. </w:t>
      </w:r>
      <w:proofErr w:type="spellStart"/>
      <w:r w:rsidR="210BFCA0" w:rsidRPr="0A5A6F45">
        <w:rPr>
          <w:rFonts w:ascii="Times New Roman" w:eastAsia="Times New Roman" w:hAnsi="Times New Roman" w:cs="Times New Roman"/>
          <w:color w:val="000000" w:themeColor="text1"/>
          <w:sz w:val="20"/>
          <w:szCs w:val="20"/>
        </w:rPr>
        <w:t>Ewumbua</w:t>
      </w:r>
      <w:proofErr w:type="spellEnd"/>
      <w:r w:rsidR="210BFCA0" w:rsidRPr="0A5A6F45">
        <w:rPr>
          <w:rFonts w:ascii="Times New Roman" w:eastAsia="Times New Roman" w:hAnsi="Times New Roman" w:cs="Times New Roman"/>
          <w:color w:val="000000" w:themeColor="text1"/>
          <w:sz w:val="20"/>
          <w:szCs w:val="20"/>
        </w:rPr>
        <w:t xml:space="preserve"> </w:t>
      </w:r>
      <w:proofErr w:type="spellStart"/>
      <w:r w:rsidR="210BFCA0" w:rsidRPr="0A5A6F45">
        <w:rPr>
          <w:rFonts w:ascii="Times New Roman" w:eastAsia="Times New Roman" w:hAnsi="Times New Roman" w:cs="Times New Roman"/>
          <w:color w:val="000000" w:themeColor="text1"/>
          <w:sz w:val="20"/>
          <w:szCs w:val="20"/>
        </w:rPr>
        <w:t>Monono</w:t>
      </w:r>
      <w:proofErr w:type="spellEnd"/>
      <w:r w:rsidR="387FAA92" w:rsidRPr="0A5A6F45">
        <w:rPr>
          <w:rFonts w:ascii="Times New Roman" w:eastAsia="Times New Roman" w:hAnsi="Times New Roman" w:cs="Times New Roman"/>
          <w:color w:val="000000" w:themeColor="text1"/>
          <w:sz w:val="20"/>
          <w:szCs w:val="20"/>
          <w:vertAlign w:val="superscript"/>
        </w:rPr>
        <w:t xml:space="preserve"> 1,*</w:t>
      </w:r>
      <w:r w:rsidR="210BFCA0" w:rsidRPr="0A5A6F45">
        <w:rPr>
          <w:rFonts w:ascii="Times New Roman" w:eastAsia="Times New Roman" w:hAnsi="Times New Roman" w:cs="Times New Roman"/>
          <w:color w:val="000000" w:themeColor="text1"/>
          <w:sz w:val="20"/>
          <w:szCs w:val="20"/>
        </w:rPr>
        <w:t xml:space="preserve"> &amp; Dr. </w:t>
      </w:r>
      <w:proofErr w:type="spellStart"/>
      <w:r w:rsidR="210BFCA0" w:rsidRPr="0A5A6F45">
        <w:rPr>
          <w:rFonts w:ascii="Times New Roman" w:eastAsia="Times New Roman" w:hAnsi="Times New Roman" w:cs="Times New Roman"/>
          <w:color w:val="000000" w:themeColor="text1"/>
          <w:sz w:val="20"/>
          <w:szCs w:val="20"/>
        </w:rPr>
        <w:t>Niloy</w:t>
      </w:r>
      <w:proofErr w:type="spellEnd"/>
      <w:r w:rsidR="210BFCA0" w:rsidRPr="0A5A6F45">
        <w:rPr>
          <w:rFonts w:ascii="Times New Roman" w:eastAsia="Times New Roman" w:hAnsi="Times New Roman" w:cs="Times New Roman"/>
          <w:color w:val="000000" w:themeColor="text1"/>
          <w:sz w:val="20"/>
          <w:szCs w:val="20"/>
        </w:rPr>
        <w:t xml:space="preserve"> Chandra</w:t>
      </w:r>
      <w:r w:rsidR="102D03F3" w:rsidRPr="0A5A6F45">
        <w:rPr>
          <w:rFonts w:ascii="Times New Roman" w:eastAsia="Times New Roman" w:hAnsi="Times New Roman" w:cs="Times New Roman"/>
          <w:color w:val="000000" w:themeColor="text1"/>
          <w:sz w:val="20"/>
          <w:szCs w:val="20"/>
          <w:vertAlign w:val="superscript"/>
        </w:rPr>
        <w:t>1,*</w:t>
      </w:r>
    </w:p>
    <w:p w14:paraId="6AFE052F" w14:textId="05637717" w:rsidR="102D03F3" w:rsidRDefault="102D03F3" w:rsidP="003E0C2E">
      <w:pPr>
        <w:spacing w:after="0" w:line="240" w:lineRule="auto"/>
        <w:jc w:val="center"/>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vertAlign w:val="superscript"/>
        </w:rPr>
        <w:t>1</w:t>
      </w:r>
      <w:r w:rsidR="210BFCA0" w:rsidRPr="1E46BC7A">
        <w:rPr>
          <w:rFonts w:ascii="Times New Roman" w:eastAsia="Times New Roman" w:hAnsi="Times New Roman" w:cs="Times New Roman"/>
          <w:color w:val="000000" w:themeColor="text1"/>
          <w:sz w:val="20"/>
          <w:szCs w:val="20"/>
        </w:rPr>
        <w:t>Agricultural and Biosystems Engineering, North Dakota State University.</w:t>
      </w:r>
    </w:p>
    <w:p w14:paraId="6079F70F" w14:textId="1D000691" w:rsidR="68CDADD2" w:rsidRDefault="68CDADD2" w:rsidP="003E0C2E">
      <w:pPr>
        <w:spacing w:after="0" w:line="240" w:lineRule="auto"/>
        <w:jc w:val="center"/>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vertAlign w:val="superscript"/>
        </w:rPr>
        <w:t>*</w:t>
      </w:r>
      <w:r w:rsidR="709862C9" w:rsidRPr="1E46BC7A">
        <w:rPr>
          <w:rFonts w:ascii="Times New Roman" w:eastAsia="Times New Roman" w:hAnsi="Times New Roman" w:cs="Times New Roman"/>
          <w:color w:val="000000" w:themeColor="text1"/>
          <w:sz w:val="20"/>
          <w:szCs w:val="20"/>
          <w:vertAlign w:val="superscript"/>
        </w:rPr>
        <w:t>*</w:t>
      </w:r>
      <w:r w:rsidR="1A90EC14" w:rsidRPr="1E46BC7A">
        <w:rPr>
          <w:rFonts w:ascii="Times New Roman" w:eastAsia="Times New Roman" w:hAnsi="Times New Roman" w:cs="Times New Roman"/>
          <w:color w:val="000000" w:themeColor="text1"/>
          <w:sz w:val="20"/>
          <w:szCs w:val="20"/>
        </w:rPr>
        <w:t>Principal</w:t>
      </w:r>
      <w:r w:rsidR="7A7C0AF6" w:rsidRPr="1E46BC7A">
        <w:rPr>
          <w:rFonts w:ascii="Times New Roman" w:eastAsia="Times New Roman" w:hAnsi="Times New Roman" w:cs="Times New Roman"/>
          <w:color w:val="000000" w:themeColor="text1"/>
          <w:sz w:val="20"/>
          <w:szCs w:val="20"/>
        </w:rPr>
        <w:t xml:space="preserve">, </w:t>
      </w:r>
      <w:r w:rsidR="0E57C224" w:rsidRPr="1E46BC7A">
        <w:rPr>
          <w:rFonts w:ascii="Times New Roman" w:eastAsia="Times New Roman" w:hAnsi="Times New Roman" w:cs="Times New Roman"/>
          <w:color w:val="000000" w:themeColor="text1"/>
          <w:sz w:val="20"/>
          <w:szCs w:val="20"/>
          <w:vertAlign w:val="superscript"/>
        </w:rPr>
        <w:t>*</w:t>
      </w:r>
      <w:r w:rsidR="0E57C224" w:rsidRPr="1E46BC7A">
        <w:rPr>
          <w:rFonts w:ascii="Times New Roman" w:eastAsia="Times New Roman" w:hAnsi="Times New Roman" w:cs="Times New Roman"/>
          <w:color w:val="000000" w:themeColor="text1"/>
          <w:sz w:val="20"/>
          <w:szCs w:val="20"/>
        </w:rPr>
        <w:t>Co-principal investigator</w:t>
      </w:r>
    </w:p>
    <w:p w14:paraId="13D2924D" w14:textId="34A9E4D0" w:rsidR="63517ADC" w:rsidRDefault="63517ADC" w:rsidP="003E0C2E">
      <w:pPr>
        <w:spacing w:after="0" w:line="240" w:lineRule="auto"/>
        <w:rPr>
          <w:rFonts w:ascii="Times New Roman" w:eastAsia="Times New Roman" w:hAnsi="Times New Roman" w:cs="Times New Roman"/>
          <w:b/>
          <w:bCs/>
          <w:color w:val="000000" w:themeColor="text1"/>
          <w:sz w:val="20"/>
          <w:szCs w:val="20"/>
        </w:rPr>
      </w:pPr>
      <w:r w:rsidRPr="1E46BC7A">
        <w:rPr>
          <w:rFonts w:ascii="Times New Roman" w:eastAsia="Times New Roman" w:hAnsi="Times New Roman" w:cs="Times New Roman"/>
          <w:b/>
          <w:bCs/>
          <w:color w:val="000000" w:themeColor="text1"/>
          <w:sz w:val="20"/>
          <w:szCs w:val="20"/>
        </w:rPr>
        <w:t>Research Overview</w:t>
      </w:r>
      <w:r w:rsidR="69EE329B" w:rsidRPr="1E46BC7A">
        <w:rPr>
          <w:rFonts w:ascii="Times New Roman" w:eastAsia="Times New Roman" w:hAnsi="Times New Roman" w:cs="Times New Roman"/>
          <w:b/>
          <w:bCs/>
          <w:color w:val="000000" w:themeColor="text1"/>
          <w:sz w:val="20"/>
          <w:szCs w:val="20"/>
        </w:rPr>
        <w:t>:</w:t>
      </w:r>
    </w:p>
    <w:p w14:paraId="4CC6CDA0" w14:textId="738653FB" w:rsidR="1E46BC7A" w:rsidRDefault="00DB4AA6" w:rsidP="003E0C2E">
      <w:pPr>
        <w:spacing w:after="0" w:line="240" w:lineRule="auto"/>
        <w:jc w:val="both"/>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color w:val="000000" w:themeColor="text1"/>
          <w:sz w:val="20"/>
          <w:szCs w:val="20"/>
        </w:rPr>
        <w:t>F</w:t>
      </w:r>
      <w:r w:rsidR="74CE396D" w:rsidRPr="1E46BC7A">
        <w:rPr>
          <w:rFonts w:ascii="Times New Roman" w:eastAsia="Times New Roman" w:hAnsi="Times New Roman" w:cs="Times New Roman"/>
          <w:color w:val="000000" w:themeColor="text1"/>
          <w:sz w:val="20"/>
          <w:szCs w:val="20"/>
        </w:rPr>
        <w:t>armers heavily depend on ammonia containing fertilizer to improve crop yield and profitability. However, ammonia production is challenged by huge energy demand, release of 2% of global CO</w:t>
      </w:r>
      <w:r w:rsidR="74CE396D" w:rsidRPr="1E46BC7A">
        <w:rPr>
          <w:rFonts w:ascii="Times New Roman" w:eastAsia="Times New Roman" w:hAnsi="Times New Roman" w:cs="Times New Roman"/>
          <w:color w:val="000000" w:themeColor="text1"/>
          <w:sz w:val="20"/>
          <w:szCs w:val="20"/>
          <w:vertAlign w:val="subscript"/>
        </w:rPr>
        <w:t>2</w:t>
      </w:r>
      <w:r w:rsidR="74CE396D" w:rsidRPr="1E46BC7A">
        <w:rPr>
          <w:rFonts w:ascii="Times New Roman" w:eastAsia="Times New Roman" w:hAnsi="Times New Roman" w:cs="Times New Roman"/>
          <w:color w:val="000000" w:themeColor="text1"/>
          <w:sz w:val="20"/>
          <w:szCs w:val="20"/>
        </w:rPr>
        <w:t xml:space="preserve"> and political instability. A 25% nitrogen fertilizer produced by Russia is currently off market due to the ongoing Russia-Ukraine war and Russia has reduced gas supply to Europe that further caused 60% reduction of nitrogen fertilizer production.  Second, soybean oil is used as the major feedstock for biodiesel and will increase with biodiesel production upsurge in the United State. As a bioproduct of soybean oil production, soybean meal will become abundant calling for the development of alternative use technologies for value added products like biological ammonia (biofertilizer). The current research aims to upscale and improve the process via stepwise or hybrid processing methods (bioconversion and bioaugmentation). The bioconversion scale-up of our existing technology will focus on using microbes to convert soybean meal to biological ammonia while the bioaugmentation will focus on using different microbes to sequester air nitrogen to biological ammonia. </w:t>
      </w:r>
      <w:bookmarkStart w:id="0" w:name="_GoBack"/>
      <w:bookmarkEnd w:id="0"/>
    </w:p>
    <w:p w14:paraId="557469C0" w14:textId="0E6A5D37" w:rsidR="7F024582" w:rsidRDefault="7F024582" w:rsidP="003E0C2E">
      <w:pPr>
        <w:spacing w:after="0" w:line="240" w:lineRule="auto"/>
        <w:jc w:val="both"/>
        <w:rPr>
          <w:rFonts w:ascii="Times New Roman" w:eastAsia="Times New Roman" w:hAnsi="Times New Roman" w:cs="Times New Roman"/>
          <w:b/>
          <w:bCs/>
          <w:color w:val="000000" w:themeColor="text1"/>
          <w:sz w:val="20"/>
          <w:szCs w:val="20"/>
        </w:rPr>
      </w:pPr>
      <w:r w:rsidRPr="1E46BC7A">
        <w:rPr>
          <w:rFonts w:ascii="Times New Roman" w:eastAsia="Times New Roman" w:hAnsi="Times New Roman" w:cs="Times New Roman"/>
          <w:b/>
          <w:bCs/>
          <w:color w:val="000000" w:themeColor="text1"/>
          <w:sz w:val="20"/>
          <w:szCs w:val="20"/>
        </w:rPr>
        <w:t>Objectives:</w:t>
      </w:r>
    </w:p>
    <w:p w14:paraId="4A995F97" w14:textId="69F9E052" w:rsidR="74CE396D" w:rsidRDefault="74CE396D" w:rsidP="003E0C2E">
      <w:pPr>
        <w:pStyle w:val="ListParagraph"/>
        <w:numPr>
          <w:ilvl w:val="0"/>
          <w:numId w:val="9"/>
        </w:num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To develop an upscaled bioconversion of soy meal biological ammonia for biofertilizer production.</w:t>
      </w:r>
    </w:p>
    <w:p w14:paraId="4F60CD9B" w14:textId="181F6E02" w:rsidR="1E46BC7A" w:rsidRPr="003E0C2E" w:rsidRDefault="74CE396D" w:rsidP="003E0C2E">
      <w:pPr>
        <w:pStyle w:val="ListParagraph"/>
        <w:numPr>
          <w:ilvl w:val="0"/>
          <w:numId w:val="9"/>
        </w:numPr>
        <w:spacing w:after="0" w:line="240" w:lineRule="auto"/>
        <w:rPr>
          <w:rFonts w:ascii="Times New Roman" w:eastAsia="Times New Roman" w:hAnsi="Times New Roman" w:cs="Times New Roman"/>
          <w:b/>
          <w:bCs/>
          <w:color w:val="000000" w:themeColor="text1"/>
          <w:sz w:val="20"/>
          <w:szCs w:val="20"/>
        </w:rPr>
      </w:pPr>
      <w:r w:rsidRPr="003E0C2E">
        <w:rPr>
          <w:rFonts w:ascii="Times New Roman" w:eastAsia="Times New Roman" w:hAnsi="Times New Roman" w:cs="Times New Roman"/>
          <w:color w:val="000000" w:themeColor="text1"/>
          <w:sz w:val="20"/>
          <w:szCs w:val="20"/>
        </w:rPr>
        <w:t>To develop an enhanced nitrogen/protein bioaugmentation of soy meal biological ammonia for biofertilizer production.</w:t>
      </w:r>
    </w:p>
    <w:p w14:paraId="5EEC6F5A" w14:textId="6E15C87B" w:rsidR="78875328" w:rsidRDefault="78875328" w:rsidP="003E0C2E">
      <w:pPr>
        <w:spacing w:after="0" w:line="240" w:lineRule="auto"/>
        <w:rPr>
          <w:rFonts w:ascii="Times New Roman" w:eastAsia="Times New Roman" w:hAnsi="Times New Roman" w:cs="Times New Roman"/>
          <w:b/>
          <w:bCs/>
          <w:color w:val="000000" w:themeColor="text1"/>
          <w:sz w:val="20"/>
          <w:szCs w:val="20"/>
        </w:rPr>
      </w:pPr>
      <w:r w:rsidRPr="1E46BC7A">
        <w:rPr>
          <w:rFonts w:ascii="Times New Roman" w:eastAsia="Times New Roman" w:hAnsi="Times New Roman" w:cs="Times New Roman"/>
          <w:b/>
          <w:bCs/>
          <w:color w:val="000000" w:themeColor="text1"/>
          <w:sz w:val="20"/>
          <w:szCs w:val="20"/>
        </w:rPr>
        <w:t>Completed Work: Deliverables and/or Milestones</w:t>
      </w:r>
      <w:r w:rsidR="640BCE59" w:rsidRPr="1E46BC7A">
        <w:rPr>
          <w:rFonts w:ascii="Times New Roman" w:eastAsia="Times New Roman" w:hAnsi="Times New Roman" w:cs="Times New Roman"/>
          <w:b/>
          <w:bCs/>
          <w:color w:val="000000" w:themeColor="text1"/>
          <w:sz w:val="20"/>
          <w:szCs w:val="20"/>
        </w:rPr>
        <w:t>:</w:t>
      </w:r>
    </w:p>
    <w:p w14:paraId="6DE3131E" w14:textId="502D5DEE" w:rsidR="2AD35462" w:rsidRDefault="2AD35462" w:rsidP="003E0C2E">
      <w:p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The first objective has been completed, and the following milestones have been achieved</w:t>
      </w:r>
    </w:p>
    <w:p w14:paraId="3BF92675" w14:textId="43A6EACB" w:rsidR="2AD35462" w:rsidRDefault="2AD35462" w:rsidP="003E0C2E">
      <w:pPr>
        <w:pStyle w:val="ListParagraph"/>
        <w:numPr>
          <w:ilvl w:val="0"/>
          <w:numId w:val="7"/>
        </w:num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Knowledge of enzyme consortiums required to improve soybean bioprocessing.</w:t>
      </w:r>
    </w:p>
    <w:p w14:paraId="6024D0BC" w14:textId="310E50CD" w:rsidR="2AD35462" w:rsidRDefault="2AD35462" w:rsidP="003E0C2E">
      <w:pPr>
        <w:pStyle w:val="ListParagraph"/>
        <w:numPr>
          <w:ilvl w:val="0"/>
          <w:numId w:val="7"/>
        </w:num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Information about potential new use of soybean</w:t>
      </w:r>
      <w:r w:rsidR="54688AC8" w:rsidRPr="1E46BC7A">
        <w:rPr>
          <w:rFonts w:ascii="Times New Roman" w:eastAsia="Times New Roman" w:hAnsi="Times New Roman" w:cs="Times New Roman"/>
          <w:color w:val="000000" w:themeColor="text1"/>
          <w:sz w:val="20"/>
          <w:szCs w:val="20"/>
        </w:rPr>
        <w:t xml:space="preserve"> meal</w:t>
      </w:r>
      <w:r w:rsidRPr="1E46BC7A">
        <w:rPr>
          <w:rFonts w:ascii="Times New Roman" w:eastAsia="Times New Roman" w:hAnsi="Times New Roman" w:cs="Times New Roman"/>
          <w:color w:val="000000" w:themeColor="text1"/>
          <w:sz w:val="20"/>
          <w:szCs w:val="20"/>
        </w:rPr>
        <w:t xml:space="preserve"> for bio-ammonia production.</w:t>
      </w:r>
    </w:p>
    <w:p w14:paraId="65F94605" w14:textId="6615BE5E" w:rsidR="002E2DB0" w:rsidRPr="006D3118" w:rsidRDefault="002E2DB0" w:rsidP="003E0C2E">
      <w:pPr>
        <w:spacing w:after="0" w:line="240" w:lineRule="auto"/>
        <w:rPr>
          <w:rFonts w:ascii="Times New Roman" w:eastAsia="Times New Roman" w:hAnsi="Times New Roman" w:cs="Times New Roman"/>
          <w:b/>
          <w:bCs/>
          <w:color w:val="000000" w:themeColor="text1"/>
          <w:sz w:val="20"/>
          <w:szCs w:val="20"/>
        </w:rPr>
      </w:pPr>
      <w:r w:rsidRPr="1E46BC7A">
        <w:rPr>
          <w:rFonts w:ascii="Times New Roman" w:eastAsia="Times New Roman" w:hAnsi="Times New Roman" w:cs="Times New Roman"/>
          <w:b/>
          <w:bCs/>
          <w:color w:val="000000" w:themeColor="text1"/>
          <w:sz w:val="20"/>
          <w:szCs w:val="20"/>
        </w:rPr>
        <w:t>Progress of Work and Results to Date</w:t>
      </w:r>
      <w:r w:rsidR="1E2AE34A" w:rsidRPr="1E46BC7A">
        <w:rPr>
          <w:rFonts w:ascii="Times New Roman" w:eastAsia="Times New Roman" w:hAnsi="Times New Roman" w:cs="Times New Roman"/>
          <w:b/>
          <w:bCs/>
          <w:color w:val="000000" w:themeColor="text1"/>
          <w:sz w:val="20"/>
          <w:szCs w:val="20"/>
        </w:rPr>
        <w:t>:</w:t>
      </w:r>
    </w:p>
    <w:p w14:paraId="7E28EA1B" w14:textId="307C1B7C" w:rsidR="00CB44A5" w:rsidRPr="006D3118" w:rsidRDefault="00D75DB0" w:rsidP="003E0C2E">
      <w:p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Protein extraction</w:t>
      </w:r>
      <w:r w:rsidR="003E0C2E">
        <w:rPr>
          <w:rFonts w:ascii="Times New Roman" w:eastAsia="Times New Roman" w:hAnsi="Times New Roman" w:cs="Times New Roman"/>
          <w:color w:val="000000" w:themeColor="text1"/>
          <w:sz w:val="20"/>
          <w:szCs w:val="20"/>
        </w:rPr>
        <w:t xml:space="preserve">: </w:t>
      </w:r>
      <w:r w:rsidRPr="1E46BC7A">
        <w:rPr>
          <w:rFonts w:ascii="Times New Roman" w:eastAsia="Times New Roman" w:hAnsi="Times New Roman" w:cs="Times New Roman"/>
          <w:color w:val="000000" w:themeColor="text1"/>
          <w:sz w:val="20"/>
          <w:szCs w:val="20"/>
        </w:rPr>
        <w:t>Soybean meal flour of particle size 0.425 – 1 mm was soaked in 0.5% ammonium hydroxide (NH</w:t>
      </w:r>
      <w:r w:rsidRPr="1E46BC7A">
        <w:rPr>
          <w:rFonts w:ascii="Times New Roman" w:eastAsia="Times New Roman" w:hAnsi="Times New Roman" w:cs="Times New Roman"/>
          <w:color w:val="000000" w:themeColor="text1"/>
          <w:sz w:val="20"/>
          <w:szCs w:val="20"/>
          <w:vertAlign w:val="subscript"/>
        </w:rPr>
        <w:t>4</w:t>
      </w:r>
      <w:r w:rsidRPr="1E46BC7A">
        <w:rPr>
          <w:rFonts w:ascii="Times New Roman" w:eastAsia="Times New Roman" w:hAnsi="Times New Roman" w:cs="Times New Roman"/>
          <w:color w:val="000000" w:themeColor="text1"/>
          <w:sz w:val="20"/>
          <w:szCs w:val="20"/>
        </w:rPr>
        <w:t>OH) at 1:10 sample-to-solvent and incubated at 55</w:t>
      </w:r>
      <w:r w:rsidRPr="1E46BC7A">
        <w:rPr>
          <w:rFonts w:ascii="Times New Roman" w:eastAsia="Times New Roman" w:hAnsi="Times New Roman" w:cs="Times New Roman"/>
          <w:color w:val="000000" w:themeColor="text1"/>
          <w:sz w:val="20"/>
          <w:szCs w:val="20"/>
          <w:vertAlign w:val="superscript"/>
        </w:rPr>
        <w:t xml:space="preserve">o </w:t>
      </w:r>
      <w:r w:rsidRPr="1E46BC7A">
        <w:rPr>
          <w:rFonts w:ascii="Times New Roman" w:eastAsia="Times New Roman" w:hAnsi="Times New Roman" w:cs="Times New Roman"/>
          <w:color w:val="000000" w:themeColor="text1"/>
          <w:sz w:val="20"/>
          <w:szCs w:val="20"/>
        </w:rPr>
        <w:t xml:space="preserve">C with continuous shaking for 12 </w:t>
      </w:r>
      <w:r w:rsidR="006D3118" w:rsidRPr="1E46BC7A">
        <w:rPr>
          <w:rFonts w:ascii="Times New Roman" w:eastAsia="Times New Roman" w:hAnsi="Times New Roman" w:cs="Times New Roman"/>
          <w:color w:val="000000" w:themeColor="text1"/>
          <w:sz w:val="20"/>
          <w:szCs w:val="20"/>
        </w:rPr>
        <w:t>h</w:t>
      </w:r>
      <w:r w:rsidRPr="1E46BC7A">
        <w:rPr>
          <w:rFonts w:ascii="Times New Roman" w:eastAsia="Times New Roman" w:hAnsi="Times New Roman" w:cs="Times New Roman"/>
          <w:color w:val="000000" w:themeColor="text1"/>
          <w:sz w:val="20"/>
          <w:szCs w:val="20"/>
        </w:rPr>
        <w:t>. The mixture was centrifuged at 10, 000 ´ g, 25</w:t>
      </w:r>
      <w:r w:rsidRPr="1E46BC7A">
        <w:rPr>
          <w:rFonts w:ascii="Times New Roman" w:eastAsia="Times New Roman" w:hAnsi="Times New Roman" w:cs="Times New Roman"/>
          <w:color w:val="000000" w:themeColor="text1"/>
          <w:sz w:val="20"/>
          <w:szCs w:val="20"/>
          <w:vertAlign w:val="superscript"/>
        </w:rPr>
        <w:t>o</w:t>
      </w:r>
      <w:r w:rsidRPr="1E46BC7A">
        <w:rPr>
          <w:rFonts w:ascii="Times New Roman" w:eastAsia="Times New Roman" w:hAnsi="Times New Roman" w:cs="Times New Roman"/>
          <w:color w:val="000000" w:themeColor="text1"/>
          <w:sz w:val="20"/>
          <w:szCs w:val="20"/>
        </w:rPr>
        <w:t>C for 10 min. The supernatant was collected, and its pH was adjusted to protein isoelectric point (4.5 – 5). The protein isolate was sedimented overnight, the sediment was retrieved and washed (´2 dH</w:t>
      </w:r>
      <w:r w:rsidRPr="1E46BC7A">
        <w:rPr>
          <w:rFonts w:ascii="Times New Roman" w:eastAsia="Times New Roman" w:hAnsi="Times New Roman" w:cs="Times New Roman"/>
          <w:color w:val="000000" w:themeColor="text1"/>
          <w:sz w:val="20"/>
          <w:szCs w:val="20"/>
          <w:vertAlign w:val="subscript"/>
        </w:rPr>
        <w:t>2</w:t>
      </w:r>
      <w:r w:rsidRPr="1E46BC7A">
        <w:rPr>
          <w:rFonts w:ascii="Times New Roman" w:eastAsia="Times New Roman" w:hAnsi="Times New Roman" w:cs="Times New Roman"/>
          <w:color w:val="000000" w:themeColor="text1"/>
          <w:sz w:val="20"/>
          <w:szCs w:val="20"/>
        </w:rPr>
        <w:t>O) and dried at 60</w:t>
      </w:r>
      <w:r w:rsidRPr="1E46BC7A">
        <w:rPr>
          <w:rFonts w:ascii="Times New Roman" w:eastAsia="Times New Roman" w:hAnsi="Times New Roman" w:cs="Times New Roman"/>
          <w:color w:val="000000" w:themeColor="text1"/>
          <w:sz w:val="20"/>
          <w:szCs w:val="20"/>
          <w:vertAlign w:val="superscript"/>
        </w:rPr>
        <w:t>o</w:t>
      </w:r>
      <w:r w:rsidRPr="1E46BC7A">
        <w:rPr>
          <w:rFonts w:ascii="Times New Roman" w:eastAsia="Times New Roman" w:hAnsi="Times New Roman" w:cs="Times New Roman"/>
          <w:color w:val="000000" w:themeColor="text1"/>
          <w:sz w:val="20"/>
          <w:szCs w:val="20"/>
        </w:rPr>
        <w:t xml:space="preserve">C for 24 </w:t>
      </w:r>
      <w:r w:rsidR="006D3118" w:rsidRPr="1E46BC7A">
        <w:rPr>
          <w:rFonts w:ascii="Times New Roman" w:eastAsia="Times New Roman" w:hAnsi="Times New Roman" w:cs="Times New Roman"/>
          <w:color w:val="000000" w:themeColor="text1"/>
          <w:sz w:val="20"/>
          <w:szCs w:val="20"/>
        </w:rPr>
        <w:t>h</w:t>
      </w:r>
      <w:r w:rsidRPr="1E46BC7A">
        <w:rPr>
          <w:rFonts w:ascii="Times New Roman" w:eastAsia="Times New Roman" w:hAnsi="Times New Roman" w:cs="Times New Roman"/>
          <w:color w:val="000000" w:themeColor="text1"/>
          <w:sz w:val="20"/>
          <w:szCs w:val="20"/>
        </w:rPr>
        <w:t xml:space="preserve">. The extracted soybean meal protein isolate (SMPI) was hydrolyzed according to the protocol used by </w:t>
      </w:r>
      <w:r w:rsidRPr="1E46BC7A">
        <w:rPr>
          <w:rFonts w:asciiTheme="majorBidi" w:hAnsiTheme="majorBidi" w:cstheme="majorBidi"/>
          <w:sz w:val="24"/>
          <w:szCs w:val="24"/>
        </w:rPr>
        <w:fldChar w:fldCharType="begin" w:fldLock="1"/>
      </w:r>
      <w:r w:rsidRPr="1E46BC7A">
        <w:rPr>
          <w:rFonts w:asciiTheme="majorBidi" w:hAnsiTheme="majorBidi" w:cstheme="majorBidi"/>
          <w:sz w:val="24"/>
          <w:szCs w:val="24"/>
        </w:rPr>
        <w:instrText xml:space="preserve"> ADDIN ZOTERO_ITEM CSL_CITATION {"citationID":"e83wCVXy","properties":{"formattedCitation":"(Cui et al., 2013)","plainCitation":"(Cui et al., 2013)","noteIndex":0},"citationItems":[{"id":"T0Ke5Mf5/ZVArykJP","uris":["http://www.mendeley.com/documents/?uuid=bd34df0e-1ab0-4ce2-9fe7-d3662bfc9c1f"],"itemData":{"DOI":"10.1111/1750-3841.12309","ISSN":"00221147","PMID":"24279931","abstract":"Effects of limited enzymatic hydrolysis with pepsin on the functional properties and structure characteristics of soybean proteins were investigated. Hydrolysates with different incubation time (10 to 900 min) were prepared. Results showed that SPI hydrolyzed for 60 min exhibited the best emulsibility and the ability of resisting freezing/thawing. Sodium dodecyl sulfate-polyacrylamide gel electrophoresis proved that pepsin can degrade glycinin but had little effect on the α' subunit of β-conglycinin. The structure unfolding reached the largest extent after incubation for 60 min and the soluble and flexible aggregates were formed. After 120 min, glycinin was degraded totally and β-conglycinin formed insoluble aggregates. Moreover, 2 methods were applied for the deactivation of pepsin to obtain final hydrolysates at pH 2.0 and 7.0, respectively. The structure analysis revealed that the unfolding extent and structure characteristic were different in these 2 conditions. When adjusting the pH value from 2.0 to 7.0, the unfolding protein molecular would reaggregate again at pH 7.0 due to the charge neutralization, and the hydrodynamic diameter and λmax absorbance decreased compared to pH 2.0. Moreover, some of the insoluble aggregates formed at pH 2.0 became soluble at pH 7.0, because of the salt-in phenomenon. © 2013 Institute of Food Technologists®.","author":[{"dropping-particle":"","family":"Cui","given":"Chun","non-dropping-particle":"","parse-names":false,"suffix":""},{"dropping-particle":"","family":"Zhao","given":"Mouming","non-dropping-particle":"","parse-names":false,"suffix":""},{"dropping-particle":"","family":"Yuan","given":"Boen","non-dropping-particle":"","parse-names":false,"suffix":""},{"dropping-particle":"","family":"Zhang","given":"Yuanhong","non-dropping-particle":"","parse-names":false,"suffix":""},{"dropping-particle":"","family":"Ren","given":"Jiaoyan","non-dropping-particle":"","parse-names":false,"suffix":""}],"container-title":"Journal of Food Science","id":"ITEM-1","issue":"12","issued":{"date-parts":[["2013"]]},"title":"Effect of pH and pepsin limited hydrolysis on the structure and functional properties of soybean protein hydrolysates","type":"article-journal","volume":"78"}}],"schema":"https://github.com/citation-style-language/schema/raw/master/csl-citation.json"} </w:instrText>
      </w:r>
      <w:r w:rsidRPr="1E46BC7A">
        <w:rPr>
          <w:rFonts w:asciiTheme="majorBidi" w:hAnsiTheme="majorBidi" w:cstheme="majorBidi"/>
          <w:sz w:val="24"/>
          <w:szCs w:val="24"/>
        </w:rPr>
        <w:fldChar w:fldCharType="separate"/>
      </w:r>
      <w:r w:rsidR="00CB44A5" w:rsidRPr="1E46BC7A">
        <w:rPr>
          <w:rFonts w:ascii="Times New Roman" w:eastAsia="Times New Roman" w:hAnsi="Times New Roman" w:cs="Times New Roman"/>
          <w:color w:val="000000" w:themeColor="text1"/>
          <w:sz w:val="20"/>
          <w:szCs w:val="20"/>
        </w:rPr>
        <w:t>(Cui et al., 2013)</w:t>
      </w:r>
      <w:r w:rsidRPr="1E46BC7A">
        <w:rPr>
          <w:rFonts w:asciiTheme="majorBidi" w:hAnsiTheme="majorBidi" w:cstheme="majorBidi"/>
          <w:sz w:val="24"/>
          <w:szCs w:val="24"/>
        </w:rPr>
        <w:fldChar w:fldCharType="end"/>
      </w:r>
      <w:r w:rsidRPr="1E46BC7A">
        <w:rPr>
          <w:rFonts w:ascii="Times New Roman" w:eastAsia="Times New Roman" w:hAnsi="Times New Roman" w:cs="Times New Roman"/>
          <w:color w:val="000000" w:themeColor="text1"/>
          <w:sz w:val="20"/>
          <w:szCs w:val="20"/>
        </w:rPr>
        <w:t xml:space="preserve">. </w:t>
      </w:r>
    </w:p>
    <w:p w14:paraId="5ADF15AF" w14:textId="585C79EB" w:rsidR="00CB44A5" w:rsidRPr="006D3118" w:rsidRDefault="00CB44A5" w:rsidP="003E0C2E">
      <w:p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Soymeal protein hydrolysis f</w:t>
      </w:r>
      <w:r w:rsidR="002E2DB0" w:rsidRPr="1E46BC7A">
        <w:rPr>
          <w:rFonts w:ascii="Times New Roman" w:eastAsia="Times New Roman" w:hAnsi="Times New Roman" w:cs="Times New Roman"/>
          <w:color w:val="000000" w:themeColor="text1"/>
          <w:sz w:val="20"/>
          <w:szCs w:val="20"/>
        </w:rPr>
        <w:t>ermentation</w:t>
      </w:r>
      <w:r w:rsidR="003E0C2E">
        <w:rPr>
          <w:rFonts w:ascii="Times New Roman" w:eastAsia="Times New Roman" w:hAnsi="Times New Roman" w:cs="Times New Roman"/>
          <w:color w:val="000000" w:themeColor="text1"/>
          <w:sz w:val="20"/>
          <w:szCs w:val="20"/>
        </w:rPr>
        <w:t xml:space="preserve">: </w:t>
      </w:r>
      <w:r w:rsidR="006D3118" w:rsidRPr="1E46BC7A">
        <w:rPr>
          <w:rFonts w:ascii="Times New Roman" w:eastAsia="Times New Roman" w:hAnsi="Times New Roman" w:cs="Times New Roman"/>
          <w:color w:val="000000" w:themeColor="text1"/>
          <w:sz w:val="20"/>
          <w:szCs w:val="20"/>
        </w:rPr>
        <w:t xml:space="preserve">The extracted SMPI was hydrolyzed according to </w:t>
      </w:r>
      <w:r w:rsidR="006D3118" w:rsidRPr="1E46BC7A">
        <w:rPr>
          <w:rFonts w:asciiTheme="majorBidi" w:hAnsiTheme="majorBidi" w:cstheme="majorBidi"/>
          <w:sz w:val="24"/>
          <w:szCs w:val="24"/>
        </w:rPr>
        <w:fldChar w:fldCharType="begin"/>
      </w:r>
      <w:r w:rsidR="006D3118" w:rsidRPr="1E46BC7A">
        <w:rPr>
          <w:rFonts w:asciiTheme="majorBidi" w:hAnsiTheme="majorBidi" w:cstheme="majorBidi"/>
          <w:sz w:val="24"/>
          <w:szCs w:val="24"/>
        </w:rPr>
        <w:instrText xml:space="preserve"> ADDIN ZOTERO_ITEM CSL_CITATION {"citationID":"Mtudh5c8","properties":{"formattedCitation":"(Adeniyi et al., 2023)","plainCitation":"(Adeniyi et al., 2023)","dontUpdate":true,"noteIndex":0},"citationItems":[{"id":897,"uris":["http://zotero.org/users/9729071/items/7RDBWXNN"],"itemData":{"id":897,"type":"article-journal","container-title":"Bioprocess and Biosystems Engineering","note":"publisher: Springer","page":"1–10","source":"Google Scholar","title":"Developing rumen mimicry process for biological ammonia synthesis","author":[{"family":"Adeniyi","given":"Adewale"},{"family":"Bello","given":"Ibrahim"},{"family":"Mukaila","given":"Taofeek"},{"family":"Monono","given":"Ewumbua"},{"family":"Hammed","given":"Ademola"}],"issued":{"date-parts":[["2023"]]}}}],"schema":"https://github.com/citation-style-language/schema/raw/master/csl-citation.json"} </w:instrText>
      </w:r>
      <w:r w:rsidR="006D3118" w:rsidRPr="1E46BC7A">
        <w:rPr>
          <w:rFonts w:asciiTheme="majorBidi" w:hAnsiTheme="majorBidi" w:cstheme="majorBidi"/>
          <w:sz w:val="24"/>
          <w:szCs w:val="24"/>
        </w:rPr>
        <w:fldChar w:fldCharType="separate"/>
      </w:r>
      <w:r w:rsidR="006D3118" w:rsidRPr="1E46BC7A">
        <w:rPr>
          <w:rFonts w:ascii="Times New Roman" w:eastAsia="Times New Roman" w:hAnsi="Times New Roman" w:cs="Times New Roman"/>
          <w:color w:val="000000" w:themeColor="text1"/>
          <w:sz w:val="20"/>
          <w:szCs w:val="20"/>
        </w:rPr>
        <w:t>Adeniyi et al., (2023)</w:t>
      </w:r>
      <w:r w:rsidR="006D3118" w:rsidRPr="1E46BC7A">
        <w:rPr>
          <w:rFonts w:asciiTheme="majorBidi" w:hAnsiTheme="majorBidi" w:cstheme="majorBidi"/>
          <w:sz w:val="24"/>
          <w:szCs w:val="24"/>
        </w:rPr>
        <w:fldChar w:fldCharType="end"/>
      </w:r>
      <w:r w:rsidR="006D3118" w:rsidRPr="1E46BC7A">
        <w:rPr>
          <w:rFonts w:ascii="Times New Roman" w:eastAsia="Times New Roman" w:hAnsi="Times New Roman" w:cs="Times New Roman"/>
          <w:color w:val="000000" w:themeColor="text1"/>
          <w:sz w:val="20"/>
          <w:szCs w:val="20"/>
        </w:rPr>
        <w:t xml:space="preserve">. </w:t>
      </w:r>
      <w:r w:rsidR="00B35B13" w:rsidRPr="1E46BC7A">
        <w:rPr>
          <w:rFonts w:ascii="Times New Roman" w:eastAsia="Times New Roman" w:hAnsi="Times New Roman" w:cs="Times New Roman"/>
          <w:color w:val="000000" w:themeColor="text1"/>
          <w:sz w:val="20"/>
          <w:szCs w:val="20"/>
        </w:rPr>
        <w:t>Approximately 4 g</w:t>
      </w:r>
      <w:r w:rsidR="006D3118" w:rsidRPr="1E46BC7A">
        <w:rPr>
          <w:rFonts w:ascii="Times New Roman" w:eastAsia="Times New Roman" w:hAnsi="Times New Roman" w:cs="Times New Roman"/>
          <w:color w:val="000000" w:themeColor="text1"/>
          <w:sz w:val="20"/>
          <w:szCs w:val="20"/>
        </w:rPr>
        <w:t xml:space="preserve"> </w:t>
      </w:r>
      <w:r w:rsidR="00B35B13" w:rsidRPr="1E46BC7A">
        <w:rPr>
          <w:rFonts w:ascii="Times New Roman" w:eastAsia="Times New Roman" w:hAnsi="Times New Roman" w:cs="Times New Roman"/>
          <w:color w:val="000000" w:themeColor="text1"/>
          <w:sz w:val="20"/>
          <w:szCs w:val="20"/>
        </w:rPr>
        <w:t>of SMPI were dispersed in 100 m</w:t>
      </w:r>
      <w:r w:rsidR="006D3118" w:rsidRPr="1E46BC7A">
        <w:rPr>
          <w:rFonts w:ascii="Times New Roman" w:eastAsia="Times New Roman" w:hAnsi="Times New Roman" w:cs="Times New Roman"/>
          <w:color w:val="000000" w:themeColor="text1"/>
          <w:sz w:val="20"/>
          <w:szCs w:val="20"/>
        </w:rPr>
        <w:t>l</w:t>
      </w:r>
      <w:r w:rsidR="00B35B13" w:rsidRPr="1E46BC7A">
        <w:rPr>
          <w:rFonts w:ascii="Times New Roman" w:eastAsia="Times New Roman" w:hAnsi="Times New Roman" w:cs="Times New Roman"/>
          <w:color w:val="000000" w:themeColor="text1"/>
          <w:sz w:val="20"/>
          <w:szCs w:val="20"/>
        </w:rPr>
        <w:t xml:space="preserve"> of distilled water. The solution's pH was then modified to 2.0 using 1 M HCl. After this pH adjustment, the solution underwent a 30-minute incubation in a water bath at 37 ℃, followed by the addition of pepsin (0.3% w/w). The SMPI–enzyme mixture was further incubated in a water bath for 10 </w:t>
      </w:r>
      <w:r w:rsidR="006D3118" w:rsidRPr="1E46BC7A">
        <w:rPr>
          <w:rFonts w:ascii="Times New Roman" w:eastAsia="Times New Roman" w:hAnsi="Times New Roman" w:cs="Times New Roman"/>
          <w:color w:val="000000" w:themeColor="text1"/>
          <w:sz w:val="20"/>
          <w:szCs w:val="20"/>
        </w:rPr>
        <w:t>h</w:t>
      </w:r>
      <w:r w:rsidR="00B35B13" w:rsidRPr="1E46BC7A">
        <w:rPr>
          <w:rFonts w:ascii="Times New Roman" w:eastAsia="Times New Roman" w:hAnsi="Times New Roman" w:cs="Times New Roman"/>
          <w:color w:val="000000" w:themeColor="text1"/>
          <w:sz w:val="20"/>
          <w:szCs w:val="20"/>
        </w:rPr>
        <w:t>. Subsequently, the pH was readjusted to 7.0 using a 2 M NaOH solution to stop the hydrolysis process. Following this, the enzyme digests underwent centrifugation at 5000 g for 3 minutes to remove any insoluble residues. The resulting supernatant was then appropriately diluted with a basal medium to generate the hydrolysates for use in subsequent fermentation experiments.</w:t>
      </w:r>
    </w:p>
    <w:p w14:paraId="7D44871B" w14:textId="070B2C9C" w:rsidR="00CB44A5" w:rsidRPr="006D3118" w:rsidRDefault="006D3118" w:rsidP="003E0C2E">
      <w:pPr>
        <w:spacing w:after="0" w:line="240" w:lineRule="auto"/>
        <w:rPr>
          <w:rFonts w:ascii="Times New Roman" w:eastAsia="Times New Roman" w:hAnsi="Times New Roman" w:cs="Times New Roman"/>
          <w:color w:val="000000" w:themeColor="text1"/>
          <w:sz w:val="20"/>
          <w:szCs w:val="20"/>
        </w:rPr>
      </w:pPr>
      <w:bookmarkStart w:id="1" w:name="_Int_1wwK2jad"/>
      <w:r w:rsidRPr="1E46BC7A">
        <w:rPr>
          <w:rFonts w:ascii="Times New Roman" w:eastAsia="Times New Roman" w:hAnsi="Times New Roman" w:cs="Times New Roman"/>
          <w:color w:val="000000" w:themeColor="text1"/>
          <w:sz w:val="20"/>
          <w:szCs w:val="20"/>
        </w:rPr>
        <w:t>HAB enrichment</w:t>
      </w:r>
      <w:r w:rsidR="003E0C2E">
        <w:rPr>
          <w:rFonts w:ascii="Times New Roman" w:eastAsia="Times New Roman" w:hAnsi="Times New Roman" w:cs="Times New Roman"/>
          <w:color w:val="000000" w:themeColor="text1"/>
          <w:sz w:val="20"/>
          <w:szCs w:val="20"/>
        </w:rPr>
        <w:t xml:space="preserve">: </w:t>
      </w:r>
      <w:bookmarkEnd w:id="1"/>
      <w:r w:rsidRPr="1E46BC7A">
        <w:rPr>
          <w:rFonts w:ascii="Times New Roman" w:eastAsia="Times New Roman" w:hAnsi="Times New Roman" w:cs="Times New Roman"/>
          <w:color w:val="000000" w:themeColor="text1"/>
          <w:sz w:val="20"/>
          <w:szCs w:val="20"/>
        </w:rPr>
        <w:t>Approximately 40 ml of rumen fluid containing a consortium of microorganisms was collected from three fistulated dairy cows at North Dakota State University's Animal Nutrition and Physiology Center. The fluid, initially stored in 50 ml plastic screw-cap tubes, was promptly moved into an incubation chamber at 39°C to sustain the microbial ruminal environment. The HAB isolation and enrichment medium was prepared using the method outlined by Adeniyi et al., (2023). The sediment in the ruminal content was allowed to settle, and the resulting ruminal fluid was diluted at a ratio of 1:100 to achieve an optical density (OD) of approximately 0.05. This diluted fluid was then introduced into a 1.5% (w/v) casamino acid medium (casamino enrichment). The enrichment culture, prepared in a BACTRONEZ Anaerobic Chamber (Sheldon Manufacturing Inc.), was incubated in a shaker at 39°C and 130 rpm. To maintain a robust HAB population, the culture was regularly transferred to a fresh Casamino-containing medium every 24 h.</w:t>
      </w:r>
    </w:p>
    <w:p w14:paraId="48AF1062" w14:textId="088AE098" w:rsidR="006D3118" w:rsidRPr="006D3118" w:rsidRDefault="006D3118" w:rsidP="003E0C2E">
      <w:pPr>
        <w:pStyle w:val="BodyDoubleSpace05FirstLine"/>
        <w:spacing w:line="240" w:lineRule="auto"/>
        <w:ind w:firstLine="0"/>
        <w:rPr>
          <w:rFonts w:eastAsia="Times New Roman"/>
          <w:b/>
          <w:bCs/>
          <w:i/>
          <w:iCs/>
          <w:color w:val="000000" w:themeColor="text1"/>
          <w:sz w:val="20"/>
          <w:szCs w:val="20"/>
        </w:rPr>
      </w:pPr>
      <w:r w:rsidRPr="1E46BC7A">
        <w:rPr>
          <w:rFonts w:eastAsia="Times New Roman"/>
          <w:color w:val="000000" w:themeColor="text1"/>
          <w:sz w:val="20"/>
          <w:szCs w:val="20"/>
        </w:rPr>
        <w:t>SMPI fermentation and ammonia production</w:t>
      </w:r>
      <w:r w:rsidR="003E0C2E">
        <w:rPr>
          <w:rFonts w:eastAsia="Times New Roman"/>
          <w:color w:val="000000" w:themeColor="text1"/>
          <w:sz w:val="20"/>
          <w:szCs w:val="20"/>
        </w:rPr>
        <w:t xml:space="preserve">: </w:t>
      </w:r>
      <w:r w:rsidRPr="1E46BC7A">
        <w:rPr>
          <w:rFonts w:eastAsia="Times New Roman"/>
          <w:color w:val="000000" w:themeColor="text1"/>
          <w:sz w:val="20"/>
          <w:szCs w:val="20"/>
        </w:rPr>
        <w:t>The Fermentation medium employed consisted (g/L) of: K</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HPO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0.292; KH</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PO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0.292; Na</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SO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0.480; NaCl, 0.10; CaCl.2H</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O, 0.064; Na</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CO</w:t>
      </w:r>
      <w:r w:rsidRPr="1E46BC7A">
        <w:rPr>
          <w:rFonts w:eastAsia="Times New Roman"/>
          <w:color w:val="000000" w:themeColor="text1"/>
          <w:sz w:val="20"/>
          <w:szCs w:val="20"/>
          <w:vertAlign w:val="subscript"/>
        </w:rPr>
        <w:t>3</w:t>
      </w:r>
      <w:r w:rsidRPr="1E46BC7A">
        <w:rPr>
          <w:rFonts w:eastAsia="Times New Roman"/>
          <w:color w:val="000000" w:themeColor="text1"/>
          <w:sz w:val="20"/>
          <w:szCs w:val="20"/>
        </w:rPr>
        <w:t xml:space="preserve">, 4.0 and yeast extract, 0.50, with initial adjusted pH of 6.5 – 6.6 </w:t>
      </w:r>
      <w:r w:rsidRPr="1E46BC7A">
        <w:rPr>
          <w:rFonts w:asciiTheme="majorBidi" w:hAnsiTheme="majorBidi" w:cstheme="majorBidi"/>
        </w:rPr>
        <w:fldChar w:fldCharType="begin"/>
      </w:r>
      <w:r w:rsidRPr="1E46BC7A">
        <w:rPr>
          <w:rFonts w:asciiTheme="majorBidi" w:hAnsiTheme="majorBidi" w:cstheme="majorBidi"/>
        </w:rPr>
        <w:instrText xml:space="preserve"> ADDIN ZOTERO_ITEM CSL_CITATION {"citationID":"mhdfNEGB","properties":{"formattedCitation":"(Attwood and Reilly, 1995)","plainCitation":"(Attwood and Reilly, 1995)","noteIndex":0},"citationItems":[{"id":440,"uris":["http://zotero.org/users/9729071/items/6IWSV4J8"],"itemData":{"id":440,"type":"article-journal","container-title":"Journal of applied bacteriology","issue":"1","note":"publisher: Wiley Online Library","page":"22–29","source":"Google Scholar","title":"Identification of proteolytic rumen bacteria isolated from New Zealand cattle","volume":"79","author":[{"family":"Attwood","given":"G. T."},{"family":"Reilly","given":"K."}],"issued":{"date-parts":[["1995"]]}}}],"schema":"https://github.com/citation-style-language/schema/raw/master/csl-citation.json"} </w:instrText>
      </w:r>
      <w:r w:rsidRPr="1E46BC7A">
        <w:rPr>
          <w:rFonts w:asciiTheme="majorBidi" w:hAnsiTheme="majorBidi" w:cstheme="majorBidi"/>
        </w:rPr>
        <w:fldChar w:fldCharType="separate"/>
      </w:r>
      <w:r w:rsidRPr="1E46BC7A">
        <w:rPr>
          <w:rFonts w:eastAsia="Times New Roman"/>
          <w:color w:val="000000" w:themeColor="text1"/>
          <w:sz w:val="20"/>
          <w:szCs w:val="20"/>
        </w:rPr>
        <w:t>(Attwood and Reilly, 1995)</w:t>
      </w:r>
      <w:r w:rsidRPr="1E46BC7A">
        <w:rPr>
          <w:rFonts w:asciiTheme="majorBidi" w:hAnsiTheme="majorBidi" w:cstheme="majorBidi"/>
        </w:rPr>
        <w:fldChar w:fldCharType="end"/>
      </w:r>
      <w:r w:rsidRPr="1E46BC7A">
        <w:rPr>
          <w:rFonts w:eastAsia="Times New Roman"/>
          <w:color w:val="000000" w:themeColor="text1"/>
          <w:sz w:val="20"/>
          <w:szCs w:val="20"/>
        </w:rPr>
        <w:t xml:space="preserve">. 250 ml Erlenmeyer flasks containing about 100 ml mixture of SMPI hydrolysate and fermentation media were inoculated with 1 ml of inoculant and incubated at 39 </w:t>
      </w:r>
      <w:proofErr w:type="spellStart"/>
      <w:r w:rsidRPr="1E46BC7A">
        <w:rPr>
          <w:rFonts w:eastAsia="Times New Roman"/>
          <w:color w:val="000000" w:themeColor="text1"/>
          <w:sz w:val="20"/>
          <w:szCs w:val="20"/>
          <w:vertAlign w:val="superscript"/>
        </w:rPr>
        <w:t>o</w:t>
      </w:r>
      <w:r w:rsidRPr="1E46BC7A">
        <w:rPr>
          <w:rFonts w:eastAsia="Times New Roman"/>
          <w:color w:val="000000" w:themeColor="text1"/>
          <w:sz w:val="20"/>
          <w:szCs w:val="20"/>
        </w:rPr>
        <w:t>C</w:t>
      </w:r>
      <w:proofErr w:type="spellEnd"/>
      <w:r w:rsidRPr="1E46BC7A">
        <w:rPr>
          <w:rFonts w:eastAsia="Times New Roman"/>
          <w:color w:val="000000" w:themeColor="text1"/>
          <w:sz w:val="20"/>
          <w:szCs w:val="20"/>
        </w:rPr>
        <w:t xml:space="preserve">, 130 rpm and different ranges (24 – 168 h) to investigate substrates utilization by ruminal HAB for microbial growth and ammonia production. Prior to inoculation, SMPI hydrolysate-fermentation media mixture was autoclaved at 120 </w:t>
      </w:r>
      <w:r w:rsidRPr="1E46BC7A">
        <w:rPr>
          <w:rFonts w:eastAsia="Times New Roman"/>
          <w:color w:val="000000" w:themeColor="text1"/>
          <w:sz w:val="20"/>
          <w:szCs w:val="20"/>
        </w:rPr>
        <w:lastRenderedPageBreak/>
        <w:t>℃ for 1 h. At 24 h fermentation intervals, samples were taken and filtered with Whatman qualitative filter paper, Grade 1 (Whatman 1001-045 Article No. 28413909).</w:t>
      </w:r>
    </w:p>
    <w:p w14:paraId="131ABFA4" w14:textId="49CBE380" w:rsidR="002E2DB0" w:rsidRPr="006D3118" w:rsidRDefault="002E2DB0" w:rsidP="003E0C2E">
      <w:p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 xml:space="preserve">Microbial </w:t>
      </w:r>
      <w:r w:rsidR="006D3118" w:rsidRPr="1E46BC7A">
        <w:rPr>
          <w:rFonts w:ascii="Times New Roman" w:eastAsia="Times New Roman" w:hAnsi="Times New Roman" w:cs="Times New Roman"/>
          <w:color w:val="000000" w:themeColor="text1"/>
          <w:sz w:val="20"/>
          <w:szCs w:val="20"/>
        </w:rPr>
        <w:t>g</w:t>
      </w:r>
      <w:r w:rsidRPr="1E46BC7A">
        <w:rPr>
          <w:rFonts w:ascii="Times New Roman" w:eastAsia="Times New Roman" w:hAnsi="Times New Roman" w:cs="Times New Roman"/>
          <w:color w:val="000000" w:themeColor="text1"/>
          <w:sz w:val="20"/>
          <w:szCs w:val="20"/>
        </w:rPr>
        <w:t xml:space="preserve">rowth </w:t>
      </w:r>
      <w:proofErr w:type="gramStart"/>
      <w:r w:rsidR="006D3118" w:rsidRPr="1E46BC7A">
        <w:rPr>
          <w:rFonts w:ascii="Times New Roman" w:eastAsia="Times New Roman" w:hAnsi="Times New Roman" w:cs="Times New Roman"/>
          <w:color w:val="000000" w:themeColor="text1"/>
          <w:sz w:val="20"/>
          <w:szCs w:val="20"/>
        </w:rPr>
        <w:t>p</w:t>
      </w:r>
      <w:r w:rsidRPr="1E46BC7A">
        <w:rPr>
          <w:rFonts w:ascii="Times New Roman" w:eastAsia="Times New Roman" w:hAnsi="Times New Roman" w:cs="Times New Roman"/>
          <w:color w:val="000000" w:themeColor="text1"/>
          <w:sz w:val="20"/>
          <w:szCs w:val="20"/>
        </w:rPr>
        <w:t xml:space="preserve">rofile </w:t>
      </w:r>
      <w:r w:rsidR="003E0C2E">
        <w:rPr>
          <w:rFonts w:ascii="Times New Roman" w:eastAsia="Times New Roman" w:hAnsi="Times New Roman" w:cs="Times New Roman"/>
          <w:color w:val="000000" w:themeColor="text1"/>
          <w:sz w:val="20"/>
          <w:szCs w:val="20"/>
        </w:rPr>
        <w:t>:</w:t>
      </w:r>
      <w:proofErr w:type="gramEnd"/>
      <w:r w:rsidR="003E0C2E">
        <w:rPr>
          <w:rFonts w:ascii="Times New Roman" w:eastAsia="Times New Roman" w:hAnsi="Times New Roman" w:cs="Times New Roman"/>
          <w:color w:val="000000" w:themeColor="text1"/>
          <w:sz w:val="20"/>
          <w:szCs w:val="20"/>
        </w:rPr>
        <w:t xml:space="preserve"> </w:t>
      </w:r>
      <w:r w:rsidRPr="1E46BC7A">
        <w:rPr>
          <w:rFonts w:ascii="Times New Roman" w:eastAsia="Times New Roman" w:hAnsi="Times New Roman" w:cs="Times New Roman"/>
          <w:color w:val="000000" w:themeColor="text1"/>
          <w:sz w:val="20"/>
          <w:szCs w:val="20"/>
        </w:rPr>
        <w:t>A 2 ml sample was collected in the BACTRONEZ Anaerobic Chamber, Sheldon Manufacturing Inc, and filtered as required before measuring the optical density at 600 nm in UV-Vis Spectrophotometer (Varian. Cary 4000).</w:t>
      </w:r>
      <w:r w:rsidR="006D3118" w:rsidRPr="1E46BC7A">
        <w:rPr>
          <w:rFonts w:ascii="Times New Roman" w:eastAsia="Times New Roman" w:hAnsi="Times New Roman" w:cs="Times New Roman"/>
          <w:color w:val="000000" w:themeColor="text1"/>
          <w:sz w:val="20"/>
          <w:szCs w:val="20"/>
        </w:rPr>
        <w:t xml:space="preserve"> The effect of pH and alkalinity was further assessed. </w:t>
      </w:r>
    </w:p>
    <w:p w14:paraId="4342E8EF" w14:textId="5D7D3C21" w:rsidR="002E2DB0" w:rsidRPr="006D3118" w:rsidRDefault="002E2DB0" w:rsidP="003E0C2E">
      <w:p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Ammonia Quantification</w:t>
      </w:r>
      <w:r w:rsidR="003E0C2E">
        <w:rPr>
          <w:rFonts w:ascii="Times New Roman" w:eastAsia="Times New Roman" w:hAnsi="Times New Roman" w:cs="Times New Roman"/>
          <w:color w:val="000000" w:themeColor="text1"/>
          <w:sz w:val="20"/>
          <w:szCs w:val="20"/>
        </w:rPr>
        <w:t xml:space="preserve">: </w:t>
      </w:r>
      <w:r w:rsidRPr="1E46BC7A">
        <w:rPr>
          <w:rFonts w:ascii="Times New Roman" w:eastAsia="Times New Roman" w:hAnsi="Times New Roman" w:cs="Times New Roman"/>
          <w:color w:val="000000" w:themeColor="text1"/>
          <w:sz w:val="20"/>
          <w:szCs w:val="20"/>
        </w:rPr>
        <w:t>The quantity of ammonia produced in each fermentation treatment was determined by colorimetric assay using the Nitrogen-Ammonia reagent kit (Hach Company, Catalog No. 50-199-6332). The protocol for the Nitrogen-Ammonia reagent kit was followed and quantities of ammonia in mg/L were measured in the DR3900 laboratory spectrophotometer with the NH</w:t>
      </w:r>
      <w:r w:rsidRPr="1E46BC7A">
        <w:rPr>
          <w:rFonts w:ascii="Times New Roman" w:eastAsia="Times New Roman" w:hAnsi="Times New Roman" w:cs="Times New Roman"/>
          <w:color w:val="000000" w:themeColor="text1"/>
          <w:sz w:val="20"/>
          <w:szCs w:val="20"/>
          <w:vertAlign w:val="subscript"/>
        </w:rPr>
        <w:t>3</w:t>
      </w:r>
      <w:r w:rsidRPr="1E46BC7A">
        <w:rPr>
          <w:rFonts w:ascii="Times New Roman" w:eastAsia="Times New Roman" w:hAnsi="Times New Roman" w:cs="Times New Roman"/>
          <w:color w:val="000000" w:themeColor="text1"/>
          <w:sz w:val="20"/>
          <w:szCs w:val="20"/>
        </w:rPr>
        <w:t>-N program.</w:t>
      </w:r>
    </w:p>
    <w:p w14:paraId="1F91B43C" w14:textId="489D59A3" w:rsidR="006D3118" w:rsidRDefault="006D3118" w:rsidP="003E0C2E">
      <w:pPr>
        <w:pStyle w:val="GS3"/>
        <w:numPr>
          <w:ilvl w:val="2"/>
          <w:numId w:val="0"/>
        </w:numPr>
        <w:spacing w:line="240" w:lineRule="auto"/>
        <w:rPr>
          <w:rFonts w:eastAsia="Times New Roman"/>
          <w:b w:val="0"/>
          <w:color w:val="000000" w:themeColor="text1"/>
          <w:sz w:val="20"/>
          <w:szCs w:val="20"/>
          <w:shd w:val="clear" w:color="auto" w:fill="FFFFFF"/>
        </w:rPr>
      </w:pPr>
      <w:bookmarkStart w:id="2" w:name="_Toc148281307"/>
      <w:r w:rsidRPr="1E46BC7A">
        <w:rPr>
          <w:rFonts w:eastAsia="Times New Roman"/>
          <w:b w:val="0"/>
          <w:color w:val="000000" w:themeColor="text1"/>
          <w:sz w:val="20"/>
          <w:szCs w:val="20"/>
          <w:shd w:val="clear" w:color="auto" w:fill="FFFFFF"/>
        </w:rPr>
        <w:t>One-Factor-At-A-Time (OFAT) Studies and Screening of Media Components</w:t>
      </w:r>
      <w:bookmarkEnd w:id="2"/>
    </w:p>
    <w:p w14:paraId="363A9E67" w14:textId="0C2E12EB" w:rsidR="006D3118" w:rsidRDefault="006D3118" w:rsidP="003E0C2E">
      <w:pPr>
        <w:pStyle w:val="BodyDoubleSpace05FirstLine"/>
        <w:spacing w:line="240" w:lineRule="auto"/>
        <w:ind w:firstLine="0"/>
        <w:rPr>
          <w:rFonts w:eastAsia="Times New Roman"/>
          <w:color w:val="000000" w:themeColor="text1"/>
          <w:sz w:val="20"/>
          <w:szCs w:val="20"/>
        </w:rPr>
      </w:pPr>
      <w:r w:rsidRPr="1E46BC7A">
        <w:rPr>
          <w:rFonts w:eastAsia="Times New Roman"/>
          <w:color w:val="000000" w:themeColor="text1"/>
          <w:sz w:val="20"/>
          <w:szCs w:val="20"/>
        </w:rPr>
        <w:t xml:space="preserve">OFAT studies and screening of media components were carried out to evaluate how different salt components affect the production of biological ammonia. This research specifically investigated the effects of salts derived from different sources, including sodium, calcium, phosphate, and other mineral salts, on biological ammonia production. The study used a predetermined media composition based on the method outlined by </w:t>
      </w:r>
      <w:r w:rsidRPr="1E46BC7A">
        <w:rPr>
          <w:rFonts w:asciiTheme="majorBidi" w:hAnsiTheme="majorBidi" w:cstheme="majorBidi"/>
        </w:rPr>
        <w:fldChar w:fldCharType="begin"/>
      </w:r>
      <w:r w:rsidRPr="1E46BC7A">
        <w:rPr>
          <w:rFonts w:asciiTheme="majorBidi" w:hAnsiTheme="majorBidi" w:cstheme="majorBidi"/>
        </w:rPr>
        <w:instrText xml:space="preserve"> ADDIN ZOTERO_ITEM CSL_CITATION {"citationID":"n7wJeyzy","properties":{"formattedCitation":"(Attwood and Reilly, 1995)","plainCitation":"(Attwood and Reilly, 1995)","noteIndex":0},"citationItems":[{"id":440,"uris":["http://zotero.org/users/9729071/items/6IWSV4J8"],"itemData":{"id":440,"type":"article-journal","container-title":"Journal of applied bacteriology","issue":"1","note":"publisher: Wiley Online Library","page":"22–29","source":"Google Scholar","title":"Identification of proteolytic rumen bacteria isolated from New Zealand cattle","volume":"79","author":[{"family":"Attwood","given":"G. T."},{"family":"Reilly","given":"K."}],"issued":{"date-parts":[["1995"]]}}}],"schema":"https://github.com/citation-style-language/schema/raw/master/csl-citation.json"} </w:instrText>
      </w:r>
      <w:r w:rsidRPr="1E46BC7A">
        <w:rPr>
          <w:rFonts w:asciiTheme="majorBidi" w:hAnsiTheme="majorBidi" w:cstheme="majorBidi"/>
        </w:rPr>
        <w:fldChar w:fldCharType="separate"/>
      </w:r>
      <w:r w:rsidRPr="1E46BC7A">
        <w:rPr>
          <w:rFonts w:eastAsia="Times New Roman"/>
          <w:color w:val="000000" w:themeColor="text1"/>
          <w:sz w:val="20"/>
          <w:szCs w:val="20"/>
        </w:rPr>
        <w:t>Attwood and Reilly, (1995)</w:t>
      </w:r>
      <w:r w:rsidRPr="1E46BC7A">
        <w:rPr>
          <w:rFonts w:asciiTheme="majorBidi" w:hAnsiTheme="majorBidi" w:cstheme="majorBidi"/>
        </w:rPr>
        <w:fldChar w:fldCharType="end"/>
      </w:r>
      <w:r w:rsidRPr="1E46BC7A">
        <w:rPr>
          <w:rFonts w:eastAsia="Times New Roman"/>
          <w:color w:val="000000" w:themeColor="text1"/>
          <w:sz w:val="20"/>
          <w:szCs w:val="20"/>
        </w:rPr>
        <w:t>. Throughout the OFAT experiment, the concentration of salts under investigation were varied, while the concentrations of other salts were held constant. During the OFAT experiment, while varying the concentration of the salt of interest, the concentrations of other salts were kept constant.  Various concentrations of individual salt components within a predetermined range were utilized as outlined below: K</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HPO</w:t>
      </w:r>
      <w:r w:rsidRPr="1E46BC7A">
        <w:rPr>
          <w:rFonts w:eastAsia="Times New Roman"/>
          <w:color w:val="000000" w:themeColor="text1"/>
          <w:sz w:val="20"/>
          <w:szCs w:val="20"/>
          <w:vertAlign w:val="subscript"/>
        </w:rPr>
        <w:t xml:space="preserve">4 </w:t>
      </w:r>
      <w:r w:rsidRPr="1E46BC7A">
        <w:rPr>
          <w:rFonts w:eastAsia="Times New Roman"/>
          <w:color w:val="000000" w:themeColor="text1"/>
          <w:sz w:val="20"/>
          <w:szCs w:val="20"/>
        </w:rPr>
        <w:t>(0.00292 – 0.292 g/100mL), KH</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PO</w:t>
      </w:r>
      <w:r w:rsidRPr="1E46BC7A">
        <w:rPr>
          <w:rFonts w:eastAsia="Times New Roman"/>
          <w:color w:val="000000" w:themeColor="text1"/>
          <w:sz w:val="20"/>
          <w:szCs w:val="20"/>
          <w:vertAlign w:val="subscript"/>
        </w:rPr>
        <w:t xml:space="preserve">4 </w:t>
      </w:r>
      <w:r w:rsidRPr="1E46BC7A">
        <w:rPr>
          <w:rFonts w:eastAsia="Times New Roman"/>
          <w:color w:val="000000" w:themeColor="text1"/>
          <w:sz w:val="20"/>
          <w:szCs w:val="20"/>
        </w:rPr>
        <w:t>(0.00292 – 0.292 g/100mL), Na</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SO</w:t>
      </w:r>
      <w:r w:rsidRPr="1E46BC7A">
        <w:rPr>
          <w:rFonts w:eastAsia="Times New Roman"/>
          <w:color w:val="000000" w:themeColor="text1"/>
          <w:sz w:val="20"/>
          <w:szCs w:val="20"/>
          <w:vertAlign w:val="subscript"/>
        </w:rPr>
        <w:t xml:space="preserve">4 </w:t>
      </w:r>
      <w:r w:rsidRPr="1E46BC7A">
        <w:rPr>
          <w:rFonts w:eastAsia="Times New Roman"/>
          <w:color w:val="000000" w:themeColor="text1"/>
          <w:sz w:val="20"/>
          <w:szCs w:val="20"/>
        </w:rPr>
        <w:t>(0.0048 – 0.48 g/100mL), NaCl (0.001 – 0.1 g/100mL) CaCl</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.2H</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O (0.00064– 0.064 g/100mL) Na</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CO</w:t>
      </w:r>
      <w:r w:rsidRPr="1E46BC7A">
        <w:rPr>
          <w:rFonts w:eastAsia="Times New Roman"/>
          <w:color w:val="000000" w:themeColor="text1"/>
          <w:sz w:val="20"/>
          <w:szCs w:val="20"/>
          <w:vertAlign w:val="subscript"/>
        </w:rPr>
        <w:t xml:space="preserve">3 </w:t>
      </w:r>
      <w:r w:rsidRPr="1E46BC7A">
        <w:rPr>
          <w:rFonts w:eastAsia="Times New Roman"/>
          <w:color w:val="000000" w:themeColor="text1"/>
          <w:sz w:val="20"/>
          <w:szCs w:val="20"/>
        </w:rPr>
        <w:t>(0.04 – 4.0 g/100mL), Yeast extract (0.005 – 0.5 g/100mL) and SMPI (2.5 – 25 %). Following the determination of optimal ammonia production from OFAT, some salts were selected for subsequent optimization.</w:t>
      </w:r>
    </w:p>
    <w:p w14:paraId="2BC7E5A4" w14:textId="77777777" w:rsidR="006D3118" w:rsidRPr="006D3118" w:rsidRDefault="006D3118" w:rsidP="003E0C2E">
      <w:pPr>
        <w:pStyle w:val="BodyDoubleSpace05FirstLine"/>
        <w:spacing w:line="240" w:lineRule="auto"/>
        <w:ind w:firstLine="0"/>
        <w:rPr>
          <w:rFonts w:eastAsia="Times New Roman"/>
          <w:color w:val="000000" w:themeColor="text1"/>
          <w:sz w:val="20"/>
          <w:szCs w:val="20"/>
        </w:rPr>
      </w:pPr>
    </w:p>
    <w:p w14:paraId="78EEFB94" w14:textId="6336F786" w:rsidR="002E2DB0" w:rsidRPr="006D3118" w:rsidRDefault="002E2DB0" w:rsidP="003E0C2E">
      <w:p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b/>
          <w:bCs/>
          <w:color w:val="000000" w:themeColor="text1"/>
          <w:sz w:val="20"/>
          <w:szCs w:val="20"/>
        </w:rPr>
        <w:t>Results</w:t>
      </w:r>
    </w:p>
    <w:p w14:paraId="491DDD14" w14:textId="77777777" w:rsidR="006D3118" w:rsidRPr="006D3118" w:rsidRDefault="006D3118" w:rsidP="003E0C2E">
      <w:pPr>
        <w:spacing w:after="0" w:line="240" w:lineRule="auto"/>
        <w:jc w:val="both"/>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Extraction optimization</w:t>
      </w:r>
    </w:p>
    <w:p w14:paraId="19B7373D" w14:textId="77777777" w:rsidR="006D3118" w:rsidRPr="006D3118" w:rsidRDefault="006D3118" w:rsidP="003E0C2E">
      <w:pPr>
        <w:spacing w:after="0" w:line="240" w:lineRule="auto"/>
        <w:jc w:val="both"/>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Soybean protein extraction was optimized at different processing conditions. As shown in Fig. 1, interactions between solvent ratio and extraction time caused an increase in protein extraction yield, resulting in a maximum protein yield of about 65% at a time and solvent ratio of 12 h and 1:10 w/v respectively. However, further increase in time and solvent ratio after reaching the optimum caused a corresponding decrease in protein yield. Also, variations in NH</w:t>
      </w:r>
      <w:r w:rsidRPr="1E46BC7A">
        <w:rPr>
          <w:rFonts w:ascii="Times New Roman" w:eastAsia="Times New Roman" w:hAnsi="Times New Roman" w:cs="Times New Roman"/>
          <w:color w:val="000000" w:themeColor="text1"/>
          <w:sz w:val="20"/>
          <w:szCs w:val="20"/>
          <w:vertAlign w:val="subscript"/>
        </w:rPr>
        <w:t>4</w:t>
      </w:r>
      <w:r w:rsidRPr="1E46BC7A">
        <w:rPr>
          <w:rFonts w:ascii="Times New Roman" w:eastAsia="Times New Roman" w:hAnsi="Times New Roman" w:cs="Times New Roman"/>
          <w:color w:val="000000" w:themeColor="text1"/>
          <w:sz w:val="20"/>
          <w:szCs w:val="20"/>
        </w:rPr>
        <w:t>OH concentration and solvent ratio showed that protein yield was highest when NH</w:t>
      </w:r>
      <w:r w:rsidRPr="1E46BC7A">
        <w:rPr>
          <w:rFonts w:ascii="Times New Roman" w:eastAsia="Times New Roman" w:hAnsi="Times New Roman" w:cs="Times New Roman"/>
          <w:color w:val="000000" w:themeColor="text1"/>
          <w:sz w:val="20"/>
          <w:szCs w:val="20"/>
          <w:vertAlign w:val="subscript"/>
        </w:rPr>
        <w:t>4</w:t>
      </w:r>
      <w:r w:rsidRPr="1E46BC7A">
        <w:rPr>
          <w:rFonts w:ascii="Times New Roman" w:eastAsia="Times New Roman" w:hAnsi="Times New Roman" w:cs="Times New Roman"/>
          <w:color w:val="000000" w:themeColor="text1"/>
          <w:sz w:val="20"/>
          <w:szCs w:val="20"/>
        </w:rPr>
        <w:t xml:space="preserve">OH concentration was at 0.5 % (result not shown). Further increase in extraction time doesn’t have much effect on protein extraction yield in the selected range of study. </w:t>
      </w:r>
    </w:p>
    <w:p w14:paraId="24CED303" w14:textId="77777777" w:rsidR="006D3118" w:rsidRPr="006D3118" w:rsidRDefault="006D3118" w:rsidP="003E0C2E">
      <w:pPr>
        <w:spacing w:after="0" w:line="240" w:lineRule="auto"/>
        <w:jc w:val="center"/>
        <w:rPr>
          <w:rFonts w:ascii="Times New Roman" w:eastAsia="Times New Roman" w:hAnsi="Times New Roman" w:cs="Times New Roman"/>
          <w:i/>
          <w:iCs/>
          <w:color w:val="000000" w:themeColor="text1"/>
          <w:sz w:val="20"/>
          <w:szCs w:val="20"/>
        </w:rPr>
      </w:pPr>
      <w:r>
        <w:rPr>
          <w:noProof/>
        </w:rPr>
        <w:drawing>
          <wp:inline distT="0" distB="0" distL="0" distR="0" wp14:anchorId="6BB7574E" wp14:editId="36B2A088">
            <wp:extent cx="2276475" cy="2069522"/>
            <wp:effectExtent l="0" t="0" r="0" b="6985"/>
            <wp:docPr id="69124874" name="Picture 2"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2287589" cy="2079625"/>
                    </a:xfrm>
                    <a:prstGeom prst="rect">
                      <a:avLst/>
                    </a:prstGeom>
                  </pic:spPr>
                </pic:pic>
              </a:graphicData>
            </a:graphic>
          </wp:inline>
        </w:drawing>
      </w:r>
    </w:p>
    <w:p w14:paraId="7CF9357D" w14:textId="72F20FB0" w:rsidR="006D3118" w:rsidRDefault="006D3118" w:rsidP="003E0C2E">
      <w:pPr>
        <w:spacing w:after="0" w:line="240" w:lineRule="auto"/>
        <w:jc w:val="center"/>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Fig. 1. Effect of extraction time and solvent ratio on protein yield</w:t>
      </w:r>
    </w:p>
    <w:p w14:paraId="63C2B0A5" w14:textId="2F31A125" w:rsidR="006D3118" w:rsidRPr="006D3118" w:rsidRDefault="006D3118" w:rsidP="003E0C2E">
      <w:pPr>
        <w:pStyle w:val="GS3"/>
        <w:numPr>
          <w:ilvl w:val="2"/>
          <w:numId w:val="0"/>
        </w:numPr>
        <w:spacing w:line="240" w:lineRule="auto"/>
        <w:rPr>
          <w:rFonts w:eastAsia="Times New Roman"/>
          <w:b w:val="0"/>
          <w:i/>
          <w:iCs/>
          <w:color w:val="000000" w:themeColor="text1"/>
          <w:sz w:val="20"/>
          <w:szCs w:val="20"/>
          <w:shd w:val="clear" w:color="auto" w:fill="FFFFFF"/>
        </w:rPr>
      </w:pPr>
      <w:bookmarkStart w:id="3" w:name="_Toc148281293"/>
      <w:r w:rsidRPr="1E46BC7A">
        <w:rPr>
          <w:rFonts w:eastAsia="Times New Roman"/>
          <w:b w:val="0"/>
          <w:color w:val="000000" w:themeColor="text1"/>
          <w:sz w:val="20"/>
          <w:szCs w:val="20"/>
          <w:shd w:val="clear" w:color="auto" w:fill="FFFFFF"/>
        </w:rPr>
        <w:t>Effect of pH and alkalinity on HAB growth</w:t>
      </w:r>
      <w:bookmarkEnd w:id="3"/>
    </w:p>
    <w:p w14:paraId="0EC93101" w14:textId="5F89B9E4" w:rsidR="006D3118" w:rsidRDefault="006D3118" w:rsidP="003E0C2E">
      <w:pPr>
        <w:pStyle w:val="BodyDoubleSpace05FirstLine"/>
        <w:spacing w:line="240" w:lineRule="auto"/>
        <w:rPr>
          <w:rFonts w:eastAsia="Times New Roman"/>
          <w:color w:val="000000" w:themeColor="text1"/>
          <w:sz w:val="20"/>
          <w:szCs w:val="20"/>
        </w:rPr>
      </w:pPr>
      <w:r w:rsidRPr="1E46BC7A">
        <w:rPr>
          <w:rFonts w:eastAsia="Times New Roman"/>
          <w:color w:val="000000" w:themeColor="text1"/>
          <w:sz w:val="20"/>
          <w:szCs w:val="20"/>
        </w:rPr>
        <w:t xml:space="preserve">The study aims to explore alkaline pH levels in the fermentation process designed to produce ammonia, which naturally elevates the medium's </w:t>
      </w:r>
      <w:proofErr w:type="spellStart"/>
      <w:r w:rsidRPr="1E46BC7A">
        <w:rPr>
          <w:rFonts w:eastAsia="Times New Roman"/>
          <w:color w:val="000000" w:themeColor="text1"/>
          <w:sz w:val="20"/>
          <w:szCs w:val="20"/>
        </w:rPr>
        <w:t>pH.</w:t>
      </w:r>
      <w:proofErr w:type="spellEnd"/>
      <w:r w:rsidRPr="1E46BC7A">
        <w:rPr>
          <w:rFonts w:eastAsia="Times New Roman"/>
          <w:color w:val="000000" w:themeColor="text1"/>
          <w:sz w:val="20"/>
          <w:szCs w:val="20"/>
        </w:rPr>
        <w:t xml:space="preserve"> While alkaline pH can enhance protein solubility and bioavailability, its impact on the proliferation of highly ammonia-producing bacteria (HAB) remains unknown. The investigation focuses on determining the alkalinity strength and optimal pH for microbes during soy protein fermentation at varying pH levels. The experiment monitors HAB growth profiles at different pH levels (7, 8, 9, 10, and 11) over various time intervals (12 to 168 hours) to understand the effect of pH on HAB growth and identify the optimum fermentation </w:t>
      </w:r>
      <w:proofErr w:type="spellStart"/>
      <w:r w:rsidRPr="1E46BC7A">
        <w:rPr>
          <w:rFonts w:eastAsia="Times New Roman"/>
          <w:color w:val="000000" w:themeColor="text1"/>
          <w:sz w:val="20"/>
          <w:szCs w:val="20"/>
        </w:rPr>
        <w:t>pH.</w:t>
      </w:r>
      <w:proofErr w:type="spellEnd"/>
      <w:r w:rsidRPr="1E46BC7A">
        <w:rPr>
          <w:rFonts w:eastAsia="Times New Roman"/>
          <w:color w:val="000000" w:themeColor="text1"/>
          <w:sz w:val="20"/>
          <w:szCs w:val="20"/>
        </w:rPr>
        <w:t xml:space="preserve"> Findings indicate that microbial growth differs at various pH levels. As anticipated, microbial </w:t>
      </w:r>
      <w:r w:rsidRPr="1E46BC7A">
        <w:rPr>
          <w:rFonts w:eastAsia="Times New Roman"/>
          <w:color w:val="000000" w:themeColor="text1"/>
          <w:sz w:val="20"/>
          <w:szCs w:val="20"/>
        </w:rPr>
        <w:lastRenderedPageBreak/>
        <w:t xml:space="preserve">growth curves displayed sigmoidal patterns at all pH values, showcasing distinct optical densities and patterns during their exponential, stationary, and death phases </w:t>
      </w:r>
      <w:r w:rsidRPr="1E46BC7A">
        <w:rPr>
          <w:rFonts w:asciiTheme="majorBidi" w:hAnsiTheme="majorBidi" w:cstheme="majorBidi"/>
        </w:rPr>
        <w:fldChar w:fldCharType="begin"/>
      </w:r>
      <w:r w:rsidRPr="1E46BC7A">
        <w:rPr>
          <w:rFonts w:asciiTheme="majorBidi" w:hAnsiTheme="majorBidi" w:cstheme="majorBidi"/>
        </w:rPr>
        <w:instrText xml:space="preserve"> ADDIN ZOTERO_ITEM CSL_CITATION {"citationID":"WDFsndhj","properties":{"formattedCitation":"(McKellar and Lu, 2004)","plainCitation":"(McKellar and Lu, 2004)","noteIndex":0},"citationItems":[{"id":1187,"uris":["http://zotero.org/users/9729071/items/5N3EVZTL"],"itemData":{"id":1187,"type":"article-journal","container-title":"Modeling microbial responses in food","note":"publisher: Boca Raton, Florida: CRC Press","page":"21–62","source":"Google Scholar","title":"Primary models","author":[{"family":"McKellar","given":"Robin C."},{"family":"Lu","given":"Xuewen"}],"issued":{"date-parts":[["2004"]]}}}],"schema":"https://github.com/citation-style-language/schema/raw/master/csl-citation.json"} </w:instrText>
      </w:r>
      <w:r w:rsidRPr="1E46BC7A">
        <w:rPr>
          <w:rFonts w:asciiTheme="majorBidi" w:hAnsiTheme="majorBidi" w:cstheme="majorBidi"/>
        </w:rPr>
        <w:fldChar w:fldCharType="separate"/>
      </w:r>
      <w:r w:rsidRPr="1E46BC7A">
        <w:rPr>
          <w:rFonts w:eastAsia="Times New Roman"/>
          <w:color w:val="000000" w:themeColor="text1"/>
          <w:sz w:val="20"/>
          <w:szCs w:val="20"/>
        </w:rPr>
        <w:t>(McKellar and Lu, 2004)</w:t>
      </w:r>
      <w:r w:rsidRPr="1E46BC7A">
        <w:rPr>
          <w:rFonts w:asciiTheme="majorBidi" w:hAnsiTheme="majorBidi" w:cstheme="majorBidi"/>
        </w:rPr>
        <w:fldChar w:fldCharType="end"/>
      </w:r>
      <w:r w:rsidRPr="1E46BC7A">
        <w:rPr>
          <w:rFonts w:eastAsia="Times New Roman"/>
          <w:color w:val="000000" w:themeColor="text1"/>
          <w:sz w:val="20"/>
          <w:szCs w:val="20"/>
        </w:rPr>
        <w:t xml:space="preserve"> (Fig. 2). </w:t>
      </w:r>
    </w:p>
    <w:p w14:paraId="6CA22DD5" w14:textId="14636387" w:rsidR="006D3118" w:rsidRPr="006D3118" w:rsidRDefault="006D3118" w:rsidP="003E0C2E">
      <w:pPr>
        <w:pStyle w:val="BodyDoubleSpace05FirstLine"/>
        <w:spacing w:line="240" w:lineRule="auto"/>
        <w:rPr>
          <w:rFonts w:eastAsia="Times New Roman"/>
          <w:color w:val="000000" w:themeColor="text1"/>
          <w:sz w:val="20"/>
          <w:szCs w:val="20"/>
        </w:rPr>
      </w:pPr>
      <w:r w:rsidRPr="1E46BC7A">
        <w:rPr>
          <w:rFonts w:eastAsia="Times New Roman"/>
          <w:color w:val="000000" w:themeColor="text1"/>
          <w:sz w:val="20"/>
          <w:szCs w:val="20"/>
        </w:rPr>
        <w:t xml:space="preserve">Following the initial 12-h lag phase, a significant growth transition marks the beginning of the log phase. In this phase, there is a rapid acceleration in the growth rate, resulting in exponential proliferation of the microbial population, characterized by high reproduction rates </w:t>
      </w:r>
      <w:r w:rsidRPr="1E46BC7A">
        <w:rPr>
          <w:rFonts w:asciiTheme="majorBidi" w:hAnsiTheme="majorBidi" w:cstheme="majorBidi"/>
          <w:color w:val="000000" w:themeColor="text1"/>
        </w:rPr>
        <w:fldChar w:fldCharType="begin"/>
      </w:r>
      <w:r w:rsidRPr="1E46BC7A">
        <w:rPr>
          <w:rFonts w:asciiTheme="majorBidi" w:hAnsiTheme="majorBidi" w:cstheme="majorBidi"/>
          <w:color w:val="000000" w:themeColor="text1"/>
        </w:rPr>
        <w:instrText xml:space="preserve"> ADDIN ZOTERO_ITEM CSL_CITATION {"citationID":"sMnsejr3","properties":{"formattedCitation":"(Kim et al., 2011)","plainCitation":"(Kim et al., 2011)","noteIndex":0},"citationItems":[{"id":1224,"uris":["http://zotero.org/users/9729071/items/5VSN2MEL"],"itemData":{"id":1224,"type":"article-journal","container-title":"Bioresource technology","issue":"18","note":"publisher: Elsevier","page":"8646–8652","source":"Google Scholar","title":"Effect of initial pH independent of operational pH on hydrogen fermentation of food waste","volume":"102","author":[{"family":"Kim","given":"Dong-Hoon"},{"family":"Kim","given":"Sang-Hyoun"},{"family":"Jung","given":"Kyung-Won"},{"family":"Kim","given":"Mi-Sun"},{"family":"Shin","given":"Hang-Sik"}],"issued":{"date-parts":[["2011"]]}}}],"schema":"https://github.com/citation-style-language/schema/raw/master/csl-citation.json"} </w:instrText>
      </w:r>
      <w:r w:rsidRPr="1E46BC7A">
        <w:rPr>
          <w:rFonts w:asciiTheme="majorBidi" w:hAnsiTheme="majorBidi" w:cstheme="majorBidi"/>
          <w:color w:val="000000" w:themeColor="text1"/>
        </w:rPr>
        <w:fldChar w:fldCharType="separate"/>
      </w:r>
      <w:r w:rsidRPr="1E46BC7A">
        <w:rPr>
          <w:rFonts w:eastAsia="Times New Roman"/>
          <w:color w:val="000000" w:themeColor="text1"/>
          <w:sz w:val="20"/>
          <w:szCs w:val="20"/>
        </w:rPr>
        <w:t>(Kim et al., 2011)</w:t>
      </w:r>
      <w:r w:rsidRPr="1E46BC7A">
        <w:rPr>
          <w:rFonts w:asciiTheme="majorBidi" w:hAnsiTheme="majorBidi" w:cstheme="majorBidi"/>
          <w:color w:val="000000" w:themeColor="text1"/>
        </w:rPr>
        <w:fldChar w:fldCharType="end"/>
      </w:r>
      <w:r w:rsidRPr="1E46BC7A">
        <w:rPr>
          <w:rFonts w:eastAsia="Times New Roman"/>
          <w:color w:val="000000" w:themeColor="text1"/>
          <w:sz w:val="20"/>
          <w:szCs w:val="20"/>
        </w:rPr>
        <w:t>. Fig. 2 illustrates that microbial growth at pH 7 provides a particularly favorable environment for robust proliferation during the log phase, indicating that pH 7 enhances exponential population growth.</w:t>
      </w:r>
    </w:p>
    <w:p w14:paraId="09F962F0" w14:textId="22FC39D7" w:rsidR="006D3118" w:rsidRPr="006D3118" w:rsidRDefault="006D3118" w:rsidP="003E0C2E">
      <w:pPr>
        <w:pStyle w:val="BodyDoubleSpace05FirstLine"/>
        <w:spacing w:line="240" w:lineRule="auto"/>
        <w:rPr>
          <w:rFonts w:eastAsia="Times New Roman"/>
          <w:color w:val="000000" w:themeColor="text1"/>
          <w:sz w:val="20"/>
          <w:szCs w:val="20"/>
        </w:rPr>
      </w:pPr>
      <w:r w:rsidRPr="1E46BC7A">
        <w:rPr>
          <w:rFonts w:eastAsia="Times New Roman"/>
          <w:color w:val="000000" w:themeColor="text1"/>
          <w:sz w:val="20"/>
          <w:szCs w:val="20"/>
        </w:rPr>
        <w:t xml:space="preserve">After the log phase, the stationary phase follows. The length of the stationary phase is closely linked to the survival and progression of cells </w:t>
      </w:r>
      <w:r w:rsidRPr="1E46BC7A">
        <w:rPr>
          <w:rFonts w:asciiTheme="majorBidi" w:hAnsiTheme="majorBidi" w:cstheme="majorBidi"/>
          <w:color w:val="000000" w:themeColor="text1"/>
        </w:rPr>
        <w:fldChar w:fldCharType="begin"/>
      </w:r>
      <w:r w:rsidRPr="1E46BC7A">
        <w:rPr>
          <w:rFonts w:asciiTheme="majorBidi" w:hAnsiTheme="majorBidi" w:cstheme="majorBidi"/>
          <w:color w:val="000000" w:themeColor="text1"/>
        </w:rPr>
        <w:instrText xml:space="preserve"> ADDIN ZOTERO_ITEM CSL_CITATION {"citationID":"gtHZH56i","properties":{"formattedCitation":"(Jaishankar and Srivastava, 2017)","plainCitation":"(Jaishankar and Srivastava, 2017)","noteIndex":0},"citationItems":[{"id":1219,"uris":["http://zotero.org/users/9729071/items/IGEDBDRT"],"itemData":{"id":1219,"type":"article-journal","container-title":"Frontiers in microbiology","note":"publisher: Frontiers Media SA","page":"2000","source":"Google Scholar","title":"Molecular basis of stationary phase survival and applications","volume":"8","author":[{"family":"Jaishankar","given":"Jananee"},{"family":"Srivastava","given":"Preeti"}],"issued":{"date-parts":[["2017"]]}}}],"schema":"https://github.com/citation-style-language/schema/raw/master/csl-citation.json"} </w:instrText>
      </w:r>
      <w:r w:rsidRPr="1E46BC7A">
        <w:rPr>
          <w:rFonts w:asciiTheme="majorBidi" w:hAnsiTheme="majorBidi" w:cstheme="majorBidi"/>
          <w:color w:val="000000" w:themeColor="text1"/>
        </w:rPr>
        <w:fldChar w:fldCharType="separate"/>
      </w:r>
      <w:r w:rsidRPr="1E46BC7A">
        <w:rPr>
          <w:rFonts w:eastAsia="Times New Roman"/>
          <w:color w:val="000000" w:themeColor="text1"/>
          <w:sz w:val="20"/>
          <w:szCs w:val="20"/>
        </w:rPr>
        <w:t>(Jaishankar and Srivastava, 2017)</w:t>
      </w:r>
      <w:r w:rsidRPr="1E46BC7A">
        <w:rPr>
          <w:rFonts w:asciiTheme="majorBidi" w:hAnsiTheme="majorBidi" w:cstheme="majorBidi"/>
          <w:color w:val="000000" w:themeColor="text1"/>
        </w:rPr>
        <w:fldChar w:fldCharType="end"/>
      </w:r>
      <w:r w:rsidRPr="1E46BC7A">
        <w:rPr>
          <w:rFonts w:eastAsia="Times New Roman"/>
          <w:color w:val="000000" w:themeColor="text1"/>
          <w:sz w:val="20"/>
          <w:szCs w:val="20"/>
        </w:rPr>
        <w:t>. Notably, at pH 7, the stationary phase growth pattern is longer, spanning from 36 to 144 h. This extended stationary phase at pH 7 provides stability and support for the HAB population to utilize cellular reserves while sustaining their persistence. The overall observation indicates that pH 7 is optimal for HAB proliferation during soymeal protein fermentation.</w:t>
      </w:r>
    </w:p>
    <w:p w14:paraId="3F55365A" w14:textId="77777777" w:rsidR="006D3118" w:rsidRPr="00564958" w:rsidRDefault="006D3118" w:rsidP="003E0C2E">
      <w:pPr>
        <w:spacing w:after="0" w:line="240" w:lineRule="auto"/>
        <w:jc w:val="both"/>
        <w:rPr>
          <w:rFonts w:ascii="Times New Roman" w:eastAsia="Times New Roman" w:hAnsi="Times New Roman" w:cs="Times New Roman"/>
          <w:color w:val="000000" w:themeColor="text1"/>
          <w:sz w:val="20"/>
          <w:szCs w:val="20"/>
          <w:shd w:val="clear" w:color="auto" w:fill="FFFFFF"/>
        </w:rPr>
      </w:pPr>
      <w:r w:rsidRPr="00564958">
        <w:rPr>
          <w:rFonts w:asciiTheme="majorBidi" w:hAnsiTheme="majorBidi" w:cstheme="majorBidi"/>
          <w:noProof/>
          <w:szCs w:val="24"/>
        </w:rPr>
        <w:drawing>
          <wp:inline distT="0" distB="0" distL="0" distR="0" wp14:anchorId="6EF97341" wp14:editId="1649106B">
            <wp:extent cx="4448175" cy="2447925"/>
            <wp:effectExtent l="0" t="0" r="9525" b="9525"/>
            <wp:docPr id="1553353433" name="Chart 1">
              <a:extLst xmlns:a="http://schemas.openxmlformats.org/drawingml/2006/main">
                <a:ext uri="{FF2B5EF4-FFF2-40B4-BE49-F238E27FC236}">
                  <a16:creationId xmlns:a16="http://schemas.microsoft.com/office/drawing/2014/main" id="{D6EDDC6C-9FE9-91F9-5348-226F66ADA0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8E04EB" w14:textId="237822F5" w:rsidR="006D3118" w:rsidRPr="006D3118" w:rsidRDefault="006D3118" w:rsidP="003E0C2E">
      <w:pPr>
        <w:pStyle w:val="Figuretitle"/>
        <w:ind w:firstLine="420"/>
        <w:rPr>
          <w:rFonts w:eastAsia="Times New Roman"/>
          <w:color w:val="000000" w:themeColor="text1"/>
          <w:sz w:val="20"/>
          <w:szCs w:val="20"/>
          <w:shd w:val="clear" w:color="auto" w:fill="FFFFFF"/>
        </w:rPr>
      </w:pPr>
      <w:bookmarkStart w:id="4" w:name="_Toc148274438"/>
      <w:r w:rsidRPr="1E46BC7A">
        <w:rPr>
          <w:rFonts w:eastAsia="Times New Roman"/>
          <w:color w:val="000000" w:themeColor="text1"/>
          <w:sz w:val="20"/>
          <w:szCs w:val="20"/>
          <w:shd w:val="clear" w:color="auto" w:fill="FFFFFF"/>
        </w:rPr>
        <w:t>Fig 2. HAB microbial growth curve at varying pH (7-11) and time (12 – 168 h)</w:t>
      </w:r>
      <w:bookmarkEnd w:id="4"/>
    </w:p>
    <w:p w14:paraId="4F439010" w14:textId="69950863" w:rsidR="006D3118" w:rsidRDefault="002E2DB0" w:rsidP="003E0C2E">
      <w:p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 xml:space="preserve">Effects of </w:t>
      </w:r>
      <w:r w:rsidR="006D3118" w:rsidRPr="1E46BC7A">
        <w:rPr>
          <w:rFonts w:ascii="Times New Roman" w:eastAsia="Times New Roman" w:hAnsi="Times New Roman" w:cs="Times New Roman"/>
          <w:color w:val="000000" w:themeColor="text1"/>
          <w:sz w:val="20"/>
          <w:szCs w:val="20"/>
        </w:rPr>
        <w:t>varying substrate concentration for biological ammonia production</w:t>
      </w:r>
    </w:p>
    <w:p w14:paraId="4DF70552" w14:textId="156F9F4D" w:rsidR="006D3118" w:rsidRPr="006D3118" w:rsidRDefault="006D3118" w:rsidP="003E0C2E">
      <w:p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In this research, soy meal protein isolate (SMPI) was chosen as the primary substrate. To determine the most effective substrate level for enhancing biological ammonia production during HAB fermentation, concentrations of SMPI ranging from 2.5% to 20% were subjected to a 72h fermentation process, representing a pioneering exploration of the impact of different SMPI concentrations on biological ammonia production. The results indicate a direct relationship between substrate concentration and biological ammonia concentration. As shown in Fig. 3, ammonia production increased steadily as the substrate concentration rose from 2.5% to 10%, reaching its peak at approximately 3500 mg/L with a 10% substrate concentration. However, beyond this point, there was a gradual decline in ammonia production. The observed decrease in ammonia concentration may be attributed to the accumulation of toxic byproducts during fermentation, exerting inhibitory effects on product formation.</w:t>
      </w:r>
    </w:p>
    <w:p w14:paraId="58D74EA3" w14:textId="77777777" w:rsidR="003E0C2E" w:rsidRPr="006D3118" w:rsidRDefault="003E0C2E" w:rsidP="003E0C2E">
      <w:p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Effects of varying inoculum concentration for biological ammonia production</w:t>
      </w:r>
    </w:p>
    <w:p w14:paraId="56F09F73" w14:textId="77777777" w:rsidR="003E0C2E" w:rsidRPr="006D3118" w:rsidRDefault="003E0C2E" w:rsidP="003E0C2E">
      <w:p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Different concentrations of inoculum (1%, 2.5%, 5%, and 10%) were introduced into the media and observed at various fermentation intervals (0, 24, 48, 72, 120, and 168 h). Fig. 4. shows the impact of inoculum concentration on biological ammonia production over time. In the initial 24 h, there was a direct correlation between inoculum size and ammonia production, with larger inoculum sizes resulting in increased ammonia output. After 24 h, ammonia production declined temporarily before resuming after 48 h. Except for the 2.5% inoculum, all sizes reached peak performance at 72 h, after which ammonia production decreased.</w:t>
      </w:r>
    </w:p>
    <w:p w14:paraId="6306F0EC" w14:textId="18940ACF" w:rsidR="002E2DB0" w:rsidRPr="006D3118" w:rsidRDefault="002E2DB0" w:rsidP="003E0C2E">
      <w:pPr>
        <w:spacing w:after="0" w:line="240" w:lineRule="auto"/>
        <w:rPr>
          <w:rFonts w:ascii="Times New Roman" w:eastAsia="Times New Roman" w:hAnsi="Times New Roman" w:cs="Times New Roman"/>
          <w:color w:val="000000" w:themeColor="text1"/>
          <w:sz w:val="20"/>
          <w:szCs w:val="20"/>
        </w:rPr>
      </w:pPr>
    </w:p>
    <w:p w14:paraId="3C78BFA1" w14:textId="77777777" w:rsidR="006D3118" w:rsidRPr="006D3118" w:rsidRDefault="006D3118" w:rsidP="003E0C2E">
      <w:pPr>
        <w:spacing w:after="0" w:line="240" w:lineRule="auto"/>
        <w:rPr>
          <w:rFonts w:ascii="Times New Roman" w:eastAsia="Times New Roman" w:hAnsi="Times New Roman" w:cs="Times New Roman"/>
          <w:color w:val="000000" w:themeColor="text1"/>
          <w:sz w:val="20"/>
          <w:szCs w:val="20"/>
        </w:rPr>
      </w:pPr>
      <w:r w:rsidRPr="006D3118">
        <w:rPr>
          <w:rFonts w:asciiTheme="majorBidi" w:hAnsiTheme="majorBidi" w:cstheme="majorBidi"/>
          <w:noProof/>
          <w:sz w:val="24"/>
          <w:szCs w:val="24"/>
        </w:rPr>
        <w:lastRenderedPageBreak/>
        <w:drawing>
          <wp:inline distT="0" distB="0" distL="0" distR="0" wp14:anchorId="1655671A" wp14:editId="7A48A592">
            <wp:extent cx="4333875" cy="1838325"/>
            <wp:effectExtent l="0" t="0" r="9525" b="9525"/>
            <wp:docPr id="1316785898" name="Chart 1">
              <a:extLst xmlns:a="http://schemas.openxmlformats.org/drawingml/2006/main">
                <a:ext uri="{FF2B5EF4-FFF2-40B4-BE49-F238E27FC236}">
                  <a16:creationId xmlns:a16="http://schemas.microsoft.com/office/drawing/2014/main" id="{669CC6BF-8602-794F-3B23-A48A55C0AA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F5C632B" w14:textId="5EDD889A" w:rsidR="006D3118" w:rsidRDefault="006D3118" w:rsidP="003E0C2E">
      <w:pPr>
        <w:pStyle w:val="Figuretitle"/>
        <w:rPr>
          <w:rFonts w:eastAsia="Times New Roman"/>
          <w:color w:val="000000" w:themeColor="text1"/>
          <w:sz w:val="20"/>
          <w:szCs w:val="20"/>
        </w:rPr>
      </w:pPr>
      <w:bookmarkStart w:id="5" w:name="_Toc148274441"/>
      <w:r w:rsidRPr="1E46BC7A">
        <w:rPr>
          <w:rFonts w:eastAsia="Times New Roman"/>
          <w:color w:val="000000" w:themeColor="text1"/>
          <w:sz w:val="20"/>
          <w:szCs w:val="20"/>
        </w:rPr>
        <w:t>Fig. 3: Effect of substrate concentration on biological ammonia production at 72 h</w:t>
      </w:r>
      <w:bookmarkEnd w:id="5"/>
    </w:p>
    <w:p w14:paraId="39303798" w14:textId="77777777" w:rsidR="006D3118" w:rsidRPr="006D3118" w:rsidRDefault="006D3118" w:rsidP="003E0C2E">
      <w:pPr>
        <w:spacing w:after="0" w:line="240" w:lineRule="auto"/>
        <w:rPr>
          <w:rFonts w:ascii="Times New Roman" w:eastAsia="Times New Roman" w:hAnsi="Times New Roman" w:cs="Times New Roman"/>
          <w:color w:val="000000" w:themeColor="text1"/>
          <w:sz w:val="20"/>
          <w:szCs w:val="20"/>
        </w:rPr>
      </w:pPr>
      <w:r w:rsidRPr="006D3118">
        <w:rPr>
          <w:rFonts w:asciiTheme="majorBidi" w:hAnsiTheme="majorBidi" w:cstheme="majorBidi"/>
          <w:noProof/>
          <w:sz w:val="24"/>
          <w:szCs w:val="24"/>
        </w:rPr>
        <w:drawing>
          <wp:inline distT="0" distB="0" distL="0" distR="0" wp14:anchorId="4A2BB3CF" wp14:editId="63B8CE09">
            <wp:extent cx="4552950" cy="2247900"/>
            <wp:effectExtent l="0" t="0" r="0" b="0"/>
            <wp:docPr id="1657460610" name="Chart 1">
              <a:extLst xmlns:a="http://schemas.openxmlformats.org/drawingml/2006/main">
                <a:ext uri="{FF2B5EF4-FFF2-40B4-BE49-F238E27FC236}">
                  <a16:creationId xmlns:a16="http://schemas.microsoft.com/office/drawing/2014/main" id="{90FC62E1-7335-483C-A583-4000507C51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9D1A175" w14:textId="48FCFAAF" w:rsidR="006D3118" w:rsidRPr="006D3118" w:rsidRDefault="006D3118" w:rsidP="003E0C2E">
      <w:pPr>
        <w:pStyle w:val="Figuretitle"/>
        <w:rPr>
          <w:rFonts w:eastAsia="Times New Roman"/>
          <w:color w:val="000000" w:themeColor="text1"/>
          <w:sz w:val="20"/>
          <w:szCs w:val="20"/>
        </w:rPr>
      </w:pPr>
      <w:bookmarkStart w:id="6" w:name="_Toc148274442"/>
      <w:r w:rsidRPr="1E46BC7A">
        <w:rPr>
          <w:rFonts w:eastAsia="Times New Roman"/>
          <w:color w:val="000000" w:themeColor="text1"/>
          <w:sz w:val="20"/>
          <w:szCs w:val="20"/>
        </w:rPr>
        <w:t>Fig. 4: Effect of inoculum concentration and time on biological ammonia production</w:t>
      </w:r>
      <w:bookmarkEnd w:id="6"/>
    </w:p>
    <w:p w14:paraId="214885ED" w14:textId="2C29F29A" w:rsidR="006D3118" w:rsidRPr="006D3118" w:rsidRDefault="006D3118" w:rsidP="003E0C2E">
      <w:p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The highest biological ammonia concentration, approximately 8,805 mg/L, occurred with a 10% inoculum at 72 h, aligning with the recommended 5–10% inoculum size range.</w:t>
      </w:r>
    </w:p>
    <w:p w14:paraId="430C1E6A" w14:textId="1010B173" w:rsidR="006D3118" w:rsidRDefault="006D3118" w:rsidP="003E0C2E">
      <w:pPr>
        <w:pStyle w:val="GS3"/>
        <w:numPr>
          <w:ilvl w:val="2"/>
          <w:numId w:val="0"/>
        </w:numPr>
        <w:spacing w:line="240" w:lineRule="auto"/>
        <w:rPr>
          <w:rFonts w:eastAsia="Times New Roman"/>
          <w:color w:val="000000" w:themeColor="text1"/>
          <w:sz w:val="20"/>
          <w:szCs w:val="20"/>
          <w:shd w:val="clear" w:color="auto" w:fill="FFFFFF"/>
        </w:rPr>
      </w:pPr>
      <w:bookmarkStart w:id="7" w:name="_Toc148281310"/>
      <w:r w:rsidRPr="1E46BC7A">
        <w:rPr>
          <w:rFonts w:eastAsia="Times New Roman"/>
          <w:color w:val="000000" w:themeColor="text1"/>
          <w:sz w:val="20"/>
          <w:szCs w:val="20"/>
          <w:shd w:val="clear" w:color="auto" w:fill="FFFFFF"/>
        </w:rPr>
        <w:t>OFAT Screening of Media Components</w:t>
      </w:r>
      <w:bookmarkEnd w:id="7"/>
    </w:p>
    <w:p w14:paraId="74FCF0ED" w14:textId="4A084E17" w:rsidR="006D3118" w:rsidRPr="006D3118" w:rsidRDefault="006D3118" w:rsidP="003E0C2E">
      <w:pPr>
        <w:pStyle w:val="GS4"/>
        <w:numPr>
          <w:ilvl w:val="3"/>
          <w:numId w:val="0"/>
        </w:numPr>
        <w:spacing w:line="240" w:lineRule="auto"/>
        <w:rPr>
          <w:rFonts w:eastAsia="Times New Roman"/>
          <w:b w:val="0"/>
          <w:i w:val="0"/>
          <w:color w:val="000000" w:themeColor="text1"/>
          <w:sz w:val="20"/>
          <w:szCs w:val="20"/>
        </w:rPr>
      </w:pPr>
      <w:r w:rsidRPr="1E46BC7A">
        <w:rPr>
          <w:rFonts w:eastAsia="Times New Roman"/>
          <w:b w:val="0"/>
          <w:i w:val="0"/>
          <w:color w:val="000000" w:themeColor="text1"/>
          <w:sz w:val="20"/>
          <w:szCs w:val="20"/>
          <w:shd w:val="clear" w:color="auto" w:fill="FFFFFF"/>
        </w:rPr>
        <w:t xml:space="preserve">Effect of </w:t>
      </w:r>
      <w:r w:rsidRPr="1E46BC7A">
        <w:rPr>
          <w:rFonts w:eastAsia="Times New Roman"/>
          <w:b w:val="0"/>
          <w:i w:val="0"/>
          <w:color w:val="000000" w:themeColor="text1"/>
          <w:sz w:val="20"/>
          <w:szCs w:val="20"/>
        </w:rPr>
        <w:t>phosphate sources</w:t>
      </w:r>
    </w:p>
    <w:p w14:paraId="43B4FC40" w14:textId="4AA88E1D" w:rsidR="006D3118" w:rsidRDefault="006D3118" w:rsidP="003E0C2E">
      <w:p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OFAT studies were conducted to assess the individual impact of media components on ammonia yield, with a focus on phosphates. The study specifically examined the effect of phosphate sources, primarily K</w:t>
      </w:r>
      <w:r w:rsidRPr="1E46BC7A">
        <w:rPr>
          <w:rFonts w:ascii="Times New Roman" w:eastAsia="Times New Roman" w:hAnsi="Times New Roman" w:cs="Times New Roman"/>
          <w:color w:val="000000" w:themeColor="text1"/>
          <w:sz w:val="20"/>
          <w:szCs w:val="20"/>
          <w:vertAlign w:val="subscript"/>
        </w:rPr>
        <w:t>2</w:t>
      </w:r>
      <w:r w:rsidRPr="1E46BC7A">
        <w:rPr>
          <w:rFonts w:ascii="Times New Roman" w:eastAsia="Times New Roman" w:hAnsi="Times New Roman" w:cs="Times New Roman"/>
          <w:color w:val="000000" w:themeColor="text1"/>
          <w:sz w:val="20"/>
          <w:szCs w:val="20"/>
        </w:rPr>
        <w:t>HPO</w:t>
      </w:r>
      <w:r w:rsidRPr="1E46BC7A">
        <w:rPr>
          <w:rFonts w:ascii="Times New Roman" w:eastAsia="Times New Roman" w:hAnsi="Times New Roman" w:cs="Times New Roman"/>
          <w:color w:val="000000" w:themeColor="text1"/>
          <w:sz w:val="20"/>
          <w:szCs w:val="20"/>
          <w:vertAlign w:val="subscript"/>
        </w:rPr>
        <w:t xml:space="preserve">4 </w:t>
      </w:r>
      <w:r w:rsidRPr="1E46BC7A">
        <w:rPr>
          <w:rFonts w:ascii="Times New Roman" w:eastAsia="Times New Roman" w:hAnsi="Times New Roman" w:cs="Times New Roman"/>
          <w:color w:val="000000" w:themeColor="text1"/>
          <w:sz w:val="20"/>
          <w:szCs w:val="20"/>
        </w:rPr>
        <w:t>and KH</w:t>
      </w:r>
      <w:r w:rsidRPr="1E46BC7A">
        <w:rPr>
          <w:rFonts w:ascii="Times New Roman" w:eastAsia="Times New Roman" w:hAnsi="Times New Roman" w:cs="Times New Roman"/>
          <w:color w:val="000000" w:themeColor="text1"/>
          <w:sz w:val="20"/>
          <w:szCs w:val="20"/>
          <w:vertAlign w:val="subscript"/>
        </w:rPr>
        <w:t>2</w:t>
      </w:r>
      <w:r w:rsidRPr="1E46BC7A">
        <w:rPr>
          <w:rFonts w:ascii="Times New Roman" w:eastAsia="Times New Roman" w:hAnsi="Times New Roman" w:cs="Times New Roman"/>
          <w:color w:val="000000" w:themeColor="text1"/>
          <w:sz w:val="20"/>
          <w:szCs w:val="20"/>
        </w:rPr>
        <w:t>PO</w:t>
      </w:r>
      <w:r w:rsidRPr="1E46BC7A">
        <w:rPr>
          <w:rFonts w:ascii="Times New Roman" w:eastAsia="Times New Roman" w:hAnsi="Times New Roman" w:cs="Times New Roman"/>
          <w:color w:val="000000" w:themeColor="text1"/>
          <w:sz w:val="20"/>
          <w:szCs w:val="20"/>
          <w:vertAlign w:val="subscript"/>
        </w:rPr>
        <w:t>4</w:t>
      </w:r>
      <w:r w:rsidRPr="1E46BC7A">
        <w:rPr>
          <w:rFonts w:ascii="Times New Roman" w:eastAsia="Times New Roman" w:hAnsi="Times New Roman" w:cs="Times New Roman"/>
          <w:color w:val="000000" w:themeColor="text1"/>
          <w:sz w:val="20"/>
          <w:szCs w:val="20"/>
        </w:rPr>
        <w:t>, on biological ammonia production. Varying amounts of these phosphates were tested individually while keeping other basal media salts constant. As shown in Fig. 5 (a and b), the results indicated a rapid increase in biological ammonia production at a concentration of 0.0292 g/100mL, resulting in yields of 2,985 mg/L for K</w:t>
      </w:r>
      <w:r w:rsidRPr="1E46BC7A">
        <w:rPr>
          <w:rFonts w:ascii="Times New Roman" w:eastAsia="Times New Roman" w:hAnsi="Times New Roman" w:cs="Times New Roman"/>
          <w:color w:val="000000" w:themeColor="text1"/>
          <w:sz w:val="20"/>
          <w:szCs w:val="20"/>
          <w:vertAlign w:val="subscript"/>
        </w:rPr>
        <w:t>2</w:t>
      </w:r>
      <w:r w:rsidRPr="1E46BC7A">
        <w:rPr>
          <w:rFonts w:ascii="Times New Roman" w:eastAsia="Times New Roman" w:hAnsi="Times New Roman" w:cs="Times New Roman"/>
          <w:color w:val="000000" w:themeColor="text1"/>
          <w:sz w:val="20"/>
          <w:szCs w:val="20"/>
        </w:rPr>
        <w:t>HPO</w:t>
      </w:r>
      <w:r w:rsidRPr="1E46BC7A">
        <w:rPr>
          <w:rFonts w:ascii="Times New Roman" w:eastAsia="Times New Roman" w:hAnsi="Times New Roman" w:cs="Times New Roman"/>
          <w:color w:val="000000" w:themeColor="text1"/>
          <w:sz w:val="20"/>
          <w:szCs w:val="20"/>
          <w:vertAlign w:val="subscript"/>
        </w:rPr>
        <w:t>4</w:t>
      </w:r>
      <w:r w:rsidRPr="1E46BC7A">
        <w:rPr>
          <w:rFonts w:ascii="Times New Roman" w:eastAsia="Times New Roman" w:hAnsi="Times New Roman" w:cs="Times New Roman"/>
          <w:color w:val="000000" w:themeColor="text1"/>
          <w:sz w:val="20"/>
          <w:szCs w:val="20"/>
        </w:rPr>
        <w:t xml:space="preserve"> and 2,715 mg/L for KH</w:t>
      </w:r>
      <w:r w:rsidRPr="1E46BC7A">
        <w:rPr>
          <w:rFonts w:ascii="Times New Roman" w:eastAsia="Times New Roman" w:hAnsi="Times New Roman" w:cs="Times New Roman"/>
          <w:color w:val="000000" w:themeColor="text1"/>
          <w:sz w:val="20"/>
          <w:szCs w:val="20"/>
          <w:vertAlign w:val="subscript"/>
        </w:rPr>
        <w:t>2</w:t>
      </w:r>
      <w:r w:rsidRPr="1E46BC7A">
        <w:rPr>
          <w:rFonts w:ascii="Times New Roman" w:eastAsia="Times New Roman" w:hAnsi="Times New Roman" w:cs="Times New Roman"/>
          <w:color w:val="000000" w:themeColor="text1"/>
          <w:sz w:val="20"/>
          <w:szCs w:val="20"/>
        </w:rPr>
        <w:t>PO</w:t>
      </w:r>
      <w:r w:rsidRPr="1E46BC7A">
        <w:rPr>
          <w:rFonts w:ascii="Times New Roman" w:eastAsia="Times New Roman" w:hAnsi="Times New Roman" w:cs="Times New Roman"/>
          <w:color w:val="000000" w:themeColor="text1"/>
          <w:sz w:val="20"/>
          <w:szCs w:val="20"/>
          <w:vertAlign w:val="subscript"/>
        </w:rPr>
        <w:t>4</w:t>
      </w:r>
      <w:r w:rsidRPr="1E46BC7A">
        <w:rPr>
          <w:rFonts w:ascii="Times New Roman" w:eastAsia="Times New Roman" w:hAnsi="Times New Roman" w:cs="Times New Roman"/>
          <w:color w:val="000000" w:themeColor="text1"/>
          <w:sz w:val="20"/>
          <w:szCs w:val="20"/>
        </w:rPr>
        <w:t xml:space="preserve">. However, further increase in phosphate led to a reduction in ammonia production, potentially due to enzyme inhibition caused by the accumulation of inorganic phosphate in the fermentation media. </w:t>
      </w:r>
    </w:p>
    <w:p w14:paraId="3F60C8AD" w14:textId="7EFF5C07" w:rsidR="001F53D2" w:rsidRDefault="001F53D2" w:rsidP="003E0C2E">
      <w:pPr>
        <w:spacing w:after="0" w:line="240" w:lineRule="auto"/>
        <w:rPr>
          <w:rFonts w:ascii="Times New Roman" w:eastAsia="Times New Roman" w:hAnsi="Times New Roman" w:cs="Times New Roman"/>
          <w:color w:val="000000" w:themeColor="text1"/>
          <w:sz w:val="20"/>
          <w:szCs w:val="20"/>
        </w:rPr>
      </w:pPr>
    </w:p>
    <w:p w14:paraId="257A67D0" w14:textId="77777777" w:rsidR="001F53D2" w:rsidRPr="006D3118" w:rsidRDefault="001F53D2" w:rsidP="003E0C2E">
      <w:pPr>
        <w:spacing w:after="0" w:line="240" w:lineRule="auto"/>
        <w:rPr>
          <w:rFonts w:ascii="Times New Roman" w:eastAsia="Times New Roman" w:hAnsi="Times New Roman" w:cs="Times New Roman"/>
          <w:color w:val="000000" w:themeColor="text1"/>
          <w:sz w:val="20"/>
          <w:szCs w:val="20"/>
        </w:rPr>
      </w:pPr>
    </w:p>
    <w:p w14:paraId="64353DC8" w14:textId="7C18E19F" w:rsidR="006D3118" w:rsidRPr="006D3118" w:rsidRDefault="006D3118" w:rsidP="003E0C2E">
      <w:pPr>
        <w:spacing w:after="0" w:line="240" w:lineRule="auto"/>
        <w:jc w:val="center"/>
        <w:rPr>
          <w:rFonts w:ascii="Times New Roman" w:eastAsia="Times New Roman" w:hAnsi="Times New Roman" w:cs="Times New Roman"/>
          <w:color w:val="000000" w:themeColor="text1"/>
          <w:sz w:val="20"/>
          <w:szCs w:val="20"/>
        </w:rPr>
      </w:pPr>
      <w:r w:rsidRPr="006D3118">
        <w:rPr>
          <w:rFonts w:asciiTheme="majorBidi" w:hAnsiTheme="majorBidi" w:cstheme="majorBidi"/>
          <w:noProof/>
          <w:sz w:val="24"/>
          <w:szCs w:val="24"/>
        </w:rPr>
        <w:lastRenderedPageBreak/>
        <mc:AlternateContent>
          <mc:Choice Requires="wps">
            <w:drawing>
              <wp:anchor distT="0" distB="0" distL="114300" distR="114300" simplePos="0" relativeHeight="251659264" behindDoc="0" locked="0" layoutInCell="1" allowOverlap="1" wp14:anchorId="5C49510B" wp14:editId="03B6FB13">
                <wp:simplePos x="0" y="0"/>
                <wp:positionH relativeFrom="column">
                  <wp:posOffset>4556760</wp:posOffset>
                </wp:positionH>
                <wp:positionV relativeFrom="paragraph">
                  <wp:posOffset>53340</wp:posOffset>
                </wp:positionV>
                <wp:extent cx="274320" cy="371475"/>
                <wp:effectExtent l="0" t="0" r="11430" b="28575"/>
                <wp:wrapNone/>
                <wp:docPr id="542527385" name="Text Box 542527385"/>
                <wp:cNvGraphicFramePr/>
                <a:graphic xmlns:a="http://schemas.openxmlformats.org/drawingml/2006/main">
                  <a:graphicData uri="http://schemas.microsoft.com/office/word/2010/wordprocessingShape">
                    <wps:wsp>
                      <wps:cNvSpPr txBox="1"/>
                      <wps:spPr>
                        <a:xfrm>
                          <a:off x="0" y="0"/>
                          <a:ext cx="274320" cy="371475"/>
                        </a:xfrm>
                        <a:prstGeom prst="rect">
                          <a:avLst/>
                        </a:prstGeom>
                        <a:solidFill>
                          <a:schemeClr val="lt1"/>
                        </a:solidFill>
                        <a:ln w="6350">
                          <a:solidFill>
                            <a:schemeClr val="bg1"/>
                          </a:solidFill>
                        </a:ln>
                      </wps:spPr>
                      <wps:txbx>
                        <w:txbxContent>
                          <w:p w14:paraId="339D8717" w14:textId="77777777" w:rsidR="006D3118" w:rsidRPr="001D594B" w:rsidRDefault="006D3118" w:rsidP="006D3118">
                            <w:pPr>
                              <w:rPr>
                                <w:b/>
                                <w:bCs/>
                              </w:rPr>
                            </w:pPr>
                            <w:r w:rsidRPr="001D594B">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7F00DB6F">
              <v:shapetype id="_x0000_t202" coordsize="21600,21600" o:spt="202" path="m,l,21600r21600,l21600,xe" w14:anchorId="5C49510B">
                <v:stroke joinstyle="miter"/>
                <v:path gradientshapeok="t" o:connecttype="rect"/>
              </v:shapetype>
              <v:shape id="Text Box 542527385" style="position:absolute;left:0;text-align:left;margin-left:358.8pt;margin-top:4.2pt;width:21.6pt;height:29.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color="white [32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">
                <v:textbox>
                  <w:txbxContent>
                    <w:p w:rsidRPr="001D594B" w:rsidR="006D3118" w:rsidP="006D3118" w:rsidRDefault="006D3118" w14:paraId="45F94F8F" w14:textId="77777777">
                      <w:pPr>
                        <w:rPr>
                          <w:b/>
                          <w:bCs/>
                        </w:rPr>
                      </w:pPr>
                      <w:r w:rsidRPr="001D594B">
                        <w:rPr>
                          <w:b/>
                          <w:bCs/>
                        </w:rPr>
                        <w:t>a</w:t>
                      </w:r>
                    </w:p>
                  </w:txbxContent>
                </v:textbox>
              </v:shape>
            </w:pict>
          </mc:Fallback>
        </mc:AlternateContent>
      </w:r>
      <w:r w:rsidRPr="006D3118">
        <w:rPr>
          <w:rFonts w:asciiTheme="majorBidi" w:hAnsiTheme="majorBidi" w:cstheme="majorBidi"/>
          <w:noProof/>
          <w:sz w:val="24"/>
          <w:szCs w:val="24"/>
        </w:rPr>
        <w:drawing>
          <wp:inline distT="0" distB="0" distL="0" distR="0" wp14:anchorId="1DCAC6D8" wp14:editId="073B1621">
            <wp:extent cx="4145280" cy="2013164"/>
            <wp:effectExtent l="0" t="0" r="7620" b="6350"/>
            <wp:docPr id="1658505952" name="Chart 1">
              <a:extLst xmlns:a="http://schemas.openxmlformats.org/drawingml/2006/main">
                <a:ext uri="{FF2B5EF4-FFF2-40B4-BE49-F238E27FC236}">
                  <a16:creationId xmlns:a16="http://schemas.microsoft.com/office/drawing/2014/main" id="{C990E559-BB20-89C8-D85E-33E0EB1F4A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99000AA" w14:textId="61948499" w:rsidR="006D3118" w:rsidRPr="006D3118" w:rsidRDefault="006D3118" w:rsidP="003E0C2E">
      <w:pPr>
        <w:spacing w:after="0" w:line="240" w:lineRule="auto"/>
        <w:jc w:val="center"/>
        <w:rPr>
          <w:rFonts w:ascii="Times New Roman" w:eastAsia="Times New Roman" w:hAnsi="Times New Roman" w:cs="Times New Roman"/>
          <w:color w:val="000000" w:themeColor="text1"/>
          <w:sz w:val="20"/>
          <w:szCs w:val="20"/>
        </w:rPr>
      </w:pPr>
      <w:r w:rsidRPr="006D3118">
        <w:rPr>
          <w:rFonts w:asciiTheme="majorBidi" w:hAnsiTheme="majorBidi" w:cstheme="majorBidi"/>
          <w:noProof/>
          <w:sz w:val="24"/>
          <w:szCs w:val="24"/>
        </w:rPr>
        <w:drawing>
          <wp:inline distT="0" distB="0" distL="0" distR="0" wp14:anchorId="00CC924F" wp14:editId="43159B85">
            <wp:extent cx="4168140" cy="2133600"/>
            <wp:effectExtent l="0" t="0" r="3810" b="0"/>
            <wp:docPr id="301352155" name="Chart 1">
              <a:extLst xmlns:a="http://schemas.openxmlformats.org/drawingml/2006/main">
                <a:ext uri="{FF2B5EF4-FFF2-40B4-BE49-F238E27FC236}">
                  <a16:creationId xmlns:a16="http://schemas.microsoft.com/office/drawing/2014/main" id="{88CE1CF7-7C62-462A-BC4E-628D2FDEED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4765FE2" w14:textId="7D97BBDB" w:rsidR="006D3118" w:rsidRPr="006D3118" w:rsidRDefault="006D3118" w:rsidP="003E0C2E">
      <w:pPr>
        <w:pStyle w:val="Figuretitle"/>
        <w:ind w:firstLine="420"/>
        <w:rPr>
          <w:rFonts w:eastAsia="Times New Roman"/>
          <w:color w:val="000000" w:themeColor="text1"/>
          <w:sz w:val="20"/>
          <w:szCs w:val="20"/>
        </w:rPr>
      </w:pPr>
      <w:bookmarkStart w:id="8" w:name="_Toc148274443"/>
      <w:r w:rsidRPr="1E46BC7A">
        <w:rPr>
          <w:rFonts w:eastAsia="Times New Roman"/>
          <w:color w:val="000000" w:themeColor="text1"/>
          <w:sz w:val="20"/>
          <w:szCs w:val="20"/>
        </w:rPr>
        <w:t>Fig. 5: Ammonia yield at different variations of phosphate salts a: K</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HPO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b: KH</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PO</w:t>
      </w:r>
      <w:r w:rsidRPr="1E46BC7A">
        <w:rPr>
          <w:rFonts w:eastAsia="Times New Roman"/>
          <w:color w:val="000000" w:themeColor="text1"/>
          <w:sz w:val="20"/>
          <w:szCs w:val="20"/>
          <w:vertAlign w:val="subscript"/>
        </w:rPr>
        <w:t>4</w:t>
      </w:r>
      <w:bookmarkEnd w:id="8"/>
    </w:p>
    <w:p w14:paraId="54B6C6FB" w14:textId="77777777" w:rsidR="006D3118" w:rsidRPr="006D3118" w:rsidRDefault="006D3118" w:rsidP="003E0C2E">
      <w:pPr>
        <w:pStyle w:val="GS4"/>
        <w:numPr>
          <w:ilvl w:val="3"/>
          <w:numId w:val="0"/>
        </w:numPr>
        <w:spacing w:line="240" w:lineRule="auto"/>
        <w:rPr>
          <w:rFonts w:eastAsia="Times New Roman"/>
          <w:color w:val="000000" w:themeColor="text1"/>
          <w:sz w:val="20"/>
          <w:szCs w:val="20"/>
          <w:shd w:val="clear" w:color="auto" w:fill="FFFFFF"/>
        </w:rPr>
      </w:pPr>
    </w:p>
    <w:p w14:paraId="237EB2EA" w14:textId="12EE22B9" w:rsidR="006D3118" w:rsidRPr="006D3118" w:rsidRDefault="006D3118" w:rsidP="003E0C2E">
      <w:pPr>
        <w:pStyle w:val="GS4"/>
        <w:numPr>
          <w:ilvl w:val="3"/>
          <w:numId w:val="0"/>
        </w:numPr>
        <w:spacing w:line="240" w:lineRule="auto"/>
        <w:rPr>
          <w:rFonts w:eastAsia="Times New Roman"/>
          <w:b w:val="0"/>
          <w:i w:val="0"/>
          <w:color w:val="000000" w:themeColor="text1"/>
          <w:sz w:val="20"/>
          <w:szCs w:val="20"/>
          <w:shd w:val="clear" w:color="auto" w:fill="FFFFFF"/>
        </w:rPr>
      </w:pPr>
      <w:r w:rsidRPr="1E46BC7A">
        <w:rPr>
          <w:rFonts w:eastAsia="Times New Roman"/>
          <w:b w:val="0"/>
          <w:i w:val="0"/>
          <w:color w:val="000000" w:themeColor="text1"/>
          <w:sz w:val="20"/>
          <w:szCs w:val="20"/>
          <w:shd w:val="clear" w:color="auto" w:fill="FFFFFF"/>
        </w:rPr>
        <w:t>Effect of Sulphate Sources</w:t>
      </w:r>
    </w:p>
    <w:p w14:paraId="61BAE0AB" w14:textId="65AD7881" w:rsidR="006D3118" w:rsidRPr="006D3118" w:rsidRDefault="006D3118" w:rsidP="003E0C2E">
      <w:pPr>
        <w:pStyle w:val="BodyDoubleSpace05FirstLine"/>
        <w:spacing w:line="240" w:lineRule="auto"/>
        <w:rPr>
          <w:rFonts w:eastAsia="Times New Roman"/>
          <w:color w:val="000000" w:themeColor="text1"/>
          <w:sz w:val="20"/>
          <w:szCs w:val="20"/>
        </w:rPr>
      </w:pPr>
      <w:r w:rsidRPr="1E46BC7A">
        <w:rPr>
          <w:rFonts w:eastAsia="Times New Roman"/>
          <w:color w:val="000000" w:themeColor="text1"/>
          <w:sz w:val="20"/>
          <w:szCs w:val="20"/>
          <w:shd w:val="clear" w:color="auto" w:fill="FFFFFF"/>
        </w:rPr>
        <w:t xml:space="preserve">Sulfur is essential in microbial metabolism, sourced primarily from sulfate during fermentation. Microorganisms convert sulfate to sulfide in complex pathways. Sulfate sources have a dual role, acting as sulfur reserves and influencing the fermentation medium's ionic composition. In the present study, </w:t>
      </w:r>
      <w:r w:rsidRPr="1E46BC7A">
        <w:rPr>
          <w:rFonts w:eastAsia="Times New Roman"/>
          <w:color w:val="000000" w:themeColor="text1"/>
          <w:sz w:val="20"/>
          <w:szCs w:val="20"/>
        </w:rPr>
        <w:t>Na</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SO</w:t>
      </w:r>
      <w:r w:rsidRPr="1E46BC7A">
        <w:rPr>
          <w:rFonts w:eastAsia="Times New Roman"/>
          <w:color w:val="000000" w:themeColor="text1"/>
          <w:sz w:val="20"/>
          <w:szCs w:val="20"/>
          <w:vertAlign w:val="subscript"/>
        </w:rPr>
        <w:t xml:space="preserve">4 </w:t>
      </w:r>
      <w:r w:rsidRPr="1E46BC7A">
        <w:rPr>
          <w:rFonts w:eastAsia="Times New Roman"/>
          <w:color w:val="000000" w:themeColor="text1"/>
          <w:sz w:val="20"/>
          <w:szCs w:val="20"/>
          <w:shd w:val="clear" w:color="auto" w:fill="FFFFFF"/>
        </w:rPr>
        <w:t xml:space="preserve">was utilized as the sulfate source. The effect of </w:t>
      </w:r>
      <w:r w:rsidRPr="1E46BC7A">
        <w:rPr>
          <w:rFonts w:eastAsia="Times New Roman"/>
          <w:color w:val="000000" w:themeColor="text1"/>
          <w:sz w:val="20"/>
          <w:szCs w:val="20"/>
        </w:rPr>
        <w:t>Na</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SO</w:t>
      </w:r>
      <w:r w:rsidRPr="1E46BC7A">
        <w:rPr>
          <w:rFonts w:eastAsia="Times New Roman"/>
          <w:color w:val="000000" w:themeColor="text1"/>
          <w:sz w:val="20"/>
          <w:szCs w:val="20"/>
          <w:vertAlign w:val="subscript"/>
        </w:rPr>
        <w:t xml:space="preserve">4 </w:t>
      </w:r>
      <w:r w:rsidRPr="1E46BC7A">
        <w:rPr>
          <w:rFonts w:eastAsia="Times New Roman"/>
          <w:color w:val="000000" w:themeColor="text1"/>
          <w:sz w:val="20"/>
          <w:szCs w:val="20"/>
          <w:shd w:val="clear" w:color="auto" w:fill="FFFFFF"/>
        </w:rPr>
        <w:t>concentration on biological ammonia production is shown in Fig. 6.</w:t>
      </w:r>
    </w:p>
    <w:p w14:paraId="5949E19A" w14:textId="77777777" w:rsidR="006D3118" w:rsidRPr="006D3118" w:rsidRDefault="006D3118" w:rsidP="003E0C2E">
      <w:pPr>
        <w:tabs>
          <w:tab w:val="left" w:pos="360"/>
        </w:tabs>
        <w:spacing w:after="0" w:line="240" w:lineRule="auto"/>
        <w:jc w:val="both"/>
        <w:rPr>
          <w:rFonts w:ascii="Times New Roman" w:eastAsia="Times New Roman" w:hAnsi="Times New Roman" w:cs="Times New Roman"/>
          <w:color w:val="000000" w:themeColor="text1"/>
          <w:sz w:val="20"/>
          <w:szCs w:val="20"/>
          <w:shd w:val="clear" w:color="auto" w:fill="FFFFFF"/>
        </w:rPr>
      </w:pPr>
    </w:p>
    <w:p w14:paraId="0260B6DA" w14:textId="77777777" w:rsidR="006D3118" w:rsidRPr="006D3118" w:rsidRDefault="006D3118" w:rsidP="003E0C2E">
      <w:pPr>
        <w:spacing w:after="0" w:line="240" w:lineRule="auto"/>
        <w:rPr>
          <w:rFonts w:ascii="Times New Roman" w:eastAsia="Times New Roman" w:hAnsi="Times New Roman" w:cs="Times New Roman"/>
          <w:color w:val="000000" w:themeColor="text1"/>
          <w:sz w:val="20"/>
          <w:szCs w:val="20"/>
        </w:rPr>
      </w:pPr>
      <w:r w:rsidRPr="006D3118">
        <w:rPr>
          <w:rFonts w:asciiTheme="majorBidi" w:hAnsiTheme="majorBidi" w:cstheme="majorBidi"/>
          <w:noProof/>
          <w:sz w:val="24"/>
          <w:szCs w:val="24"/>
        </w:rPr>
        <w:drawing>
          <wp:inline distT="0" distB="0" distL="0" distR="0" wp14:anchorId="72A4BD74" wp14:editId="32F63FBA">
            <wp:extent cx="3409950" cy="1790700"/>
            <wp:effectExtent l="0" t="0" r="0" b="0"/>
            <wp:docPr id="1135586021" name="Chart 1135586021">
              <a:extLst xmlns:a="http://schemas.openxmlformats.org/drawingml/2006/main">
                <a:ext uri="{FF2B5EF4-FFF2-40B4-BE49-F238E27FC236}">
                  <a16:creationId xmlns:a16="http://schemas.microsoft.com/office/drawing/2014/main" id="{587719F4-4820-3C5B-ECAA-598A5AD812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3537DDE" w14:textId="4CA6AAC8" w:rsidR="006D3118" w:rsidRPr="006D3118" w:rsidRDefault="006D3118" w:rsidP="003E0C2E">
      <w:pPr>
        <w:pStyle w:val="Figuretitle"/>
        <w:ind w:firstLine="420"/>
        <w:rPr>
          <w:rFonts w:eastAsia="Times New Roman"/>
          <w:color w:val="000000" w:themeColor="text1"/>
          <w:sz w:val="20"/>
          <w:szCs w:val="20"/>
        </w:rPr>
      </w:pPr>
      <w:r w:rsidRPr="1E46BC7A">
        <w:rPr>
          <w:rFonts w:eastAsia="Times New Roman"/>
          <w:color w:val="000000" w:themeColor="text1"/>
          <w:sz w:val="20"/>
          <w:szCs w:val="20"/>
        </w:rPr>
        <w:t>Fig. 6: Ammonia yield at different variations of Na</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SO</w:t>
      </w:r>
      <w:r w:rsidRPr="1E46BC7A">
        <w:rPr>
          <w:rFonts w:eastAsia="Times New Roman"/>
          <w:color w:val="000000" w:themeColor="text1"/>
          <w:sz w:val="20"/>
          <w:szCs w:val="20"/>
          <w:vertAlign w:val="subscript"/>
        </w:rPr>
        <w:t>4</w:t>
      </w:r>
    </w:p>
    <w:p w14:paraId="4510A217" w14:textId="77777777" w:rsidR="006D3118" w:rsidRPr="006D3118" w:rsidRDefault="006D3118" w:rsidP="003E0C2E">
      <w:pPr>
        <w:pStyle w:val="Figuretitle"/>
        <w:ind w:firstLine="420"/>
        <w:rPr>
          <w:rFonts w:eastAsia="Times New Roman"/>
          <w:color w:val="000000" w:themeColor="text1"/>
          <w:sz w:val="20"/>
          <w:szCs w:val="20"/>
        </w:rPr>
      </w:pPr>
    </w:p>
    <w:p w14:paraId="54352F9E" w14:textId="3209046A" w:rsidR="006D3118" w:rsidRPr="006D3118" w:rsidRDefault="006D3118" w:rsidP="003E0C2E">
      <w:pPr>
        <w:pStyle w:val="BodyDoubleSpace05FirstLine"/>
        <w:spacing w:line="240" w:lineRule="auto"/>
        <w:rPr>
          <w:rFonts w:eastAsia="Times New Roman"/>
          <w:color w:val="000000" w:themeColor="text1"/>
          <w:sz w:val="20"/>
          <w:szCs w:val="20"/>
        </w:rPr>
      </w:pPr>
      <w:r w:rsidRPr="1E46BC7A">
        <w:rPr>
          <w:rFonts w:eastAsia="Times New Roman"/>
          <w:color w:val="000000" w:themeColor="text1"/>
          <w:sz w:val="20"/>
          <w:szCs w:val="20"/>
        </w:rPr>
        <w:t>The findings reveal a substantial rise in biological ammonia concentration from 2,060 mg/L at 0.0096 g/100mL to 4,000 mg/L at 0.048 g/100mL, followed by a sharp decline at 0.24 g/100mL. Increasing Na</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SO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xml:space="preserve"> concentration from 0.24 g/100mL to 0.48 g/100mL resulted in a decrease in biological ammonia production from 4,000 mg/L to 2,820 mg/L. OFAT results highlighted that the variation in Na</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SO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xml:space="preserve"> concentration at 0.48 g/100mL led to a high biological ammonia output, prompting further optimization. These findings emphasize the significant </w:t>
      </w:r>
      <w:r w:rsidRPr="1E46BC7A">
        <w:rPr>
          <w:rFonts w:eastAsia="Times New Roman"/>
          <w:color w:val="000000" w:themeColor="text1"/>
          <w:sz w:val="20"/>
          <w:szCs w:val="20"/>
        </w:rPr>
        <w:lastRenderedPageBreak/>
        <w:t>impact of Na</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SO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xml:space="preserve"> concentration on biological ammonia production. Therefore, optimizing Na</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SO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xml:space="preserve"> concentration has the potential to enhance overall biological ammonia production.</w:t>
      </w:r>
    </w:p>
    <w:p w14:paraId="69AA3DA7" w14:textId="509A3A07" w:rsidR="006D3118" w:rsidRPr="006D3118" w:rsidRDefault="006D3118" w:rsidP="003E0C2E">
      <w:pPr>
        <w:spacing w:after="0" w:line="240" w:lineRule="auto"/>
        <w:rPr>
          <w:rFonts w:ascii="Times New Roman" w:eastAsia="Times New Roman" w:hAnsi="Times New Roman" w:cs="Times New Roman"/>
          <w:b/>
          <w:bCs/>
          <w:color w:val="000000" w:themeColor="text1"/>
          <w:sz w:val="20"/>
          <w:szCs w:val="20"/>
        </w:rPr>
      </w:pPr>
      <w:r w:rsidRPr="1E46BC7A">
        <w:rPr>
          <w:rFonts w:ascii="Times New Roman" w:eastAsia="Times New Roman" w:hAnsi="Times New Roman" w:cs="Times New Roman"/>
          <w:b/>
          <w:bCs/>
          <w:color w:val="000000" w:themeColor="text1"/>
          <w:sz w:val="20"/>
          <w:szCs w:val="20"/>
        </w:rPr>
        <w:t>Optimization of media salts</w:t>
      </w:r>
    </w:p>
    <w:p w14:paraId="49C9D9B9" w14:textId="2381AC84" w:rsidR="006D3118" w:rsidRDefault="006D3118" w:rsidP="003E0C2E">
      <w:p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After conducting the One-Factor-At-a-Time (OFAT) study, the selected salts (K</w:t>
      </w:r>
      <w:r w:rsidRPr="1E46BC7A">
        <w:rPr>
          <w:rFonts w:ascii="Times New Roman" w:eastAsia="Times New Roman" w:hAnsi="Times New Roman" w:cs="Times New Roman"/>
          <w:color w:val="000000" w:themeColor="text1"/>
          <w:sz w:val="20"/>
          <w:szCs w:val="20"/>
          <w:vertAlign w:val="subscript"/>
        </w:rPr>
        <w:t>2</w:t>
      </w:r>
      <w:r w:rsidRPr="1E46BC7A">
        <w:rPr>
          <w:rFonts w:ascii="Times New Roman" w:eastAsia="Times New Roman" w:hAnsi="Times New Roman" w:cs="Times New Roman"/>
          <w:color w:val="000000" w:themeColor="text1"/>
          <w:sz w:val="20"/>
          <w:szCs w:val="20"/>
        </w:rPr>
        <w:t>HPO</w:t>
      </w:r>
      <w:r w:rsidRPr="1E46BC7A">
        <w:rPr>
          <w:rFonts w:ascii="Times New Roman" w:eastAsia="Times New Roman" w:hAnsi="Times New Roman" w:cs="Times New Roman"/>
          <w:color w:val="000000" w:themeColor="text1"/>
          <w:sz w:val="20"/>
          <w:szCs w:val="20"/>
          <w:vertAlign w:val="subscript"/>
        </w:rPr>
        <w:t>4</w:t>
      </w:r>
      <w:r w:rsidRPr="1E46BC7A">
        <w:rPr>
          <w:rFonts w:ascii="Times New Roman" w:eastAsia="Times New Roman" w:hAnsi="Times New Roman" w:cs="Times New Roman"/>
          <w:color w:val="000000" w:themeColor="text1"/>
          <w:sz w:val="20"/>
          <w:szCs w:val="20"/>
        </w:rPr>
        <w:t>, KH</w:t>
      </w:r>
      <w:r w:rsidRPr="1E46BC7A">
        <w:rPr>
          <w:rFonts w:ascii="Times New Roman" w:eastAsia="Times New Roman" w:hAnsi="Times New Roman" w:cs="Times New Roman"/>
          <w:color w:val="000000" w:themeColor="text1"/>
          <w:sz w:val="20"/>
          <w:szCs w:val="20"/>
          <w:vertAlign w:val="subscript"/>
        </w:rPr>
        <w:t>2</w:t>
      </w:r>
      <w:r w:rsidRPr="1E46BC7A">
        <w:rPr>
          <w:rFonts w:ascii="Times New Roman" w:eastAsia="Times New Roman" w:hAnsi="Times New Roman" w:cs="Times New Roman"/>
          <w:color w:val="000000" w:themeColor="text1"/>
          <w:sz w:val="20"/>
          <w:szCs w:val="20"/>
        </w:rPr>
        <w:t>PO</w:t>
      </w:r>
      <w:r w:rsidRPr="1E46BC7A">
        <w:rPr>
          <w:rFonts w:ascii="Times New Roman" w:eastAsia="Times New Roman" w:hAnsi="Times New Roman" w:cs="Times New Roman"/>
          <w:color w:val="000000" w:themeColor="text1"/>
          <w:sz w:val="20"/>
          <w:szCs w:val="20"/>
          <w:vertAlign w:val="subscript"/>
        </w:rPr>
        <w:t>4</w:t>
      </w:r>
      <w:r w:rsidRPr="1E46BC7A">
        <w:rPr>
          <w:rFonts w:ascii="Times New Roman" w:eastAsia="Times New Roman" w:hAnsi="Times New Roman" w:cs="Times New Roman"/>
          <w:color w:val="000000" w:themeColor="text1"/>
          <w:sz w:val="20"/>
          <w:szCs w:val="20"/>
        </w:rPr>
        <w:t>, Na</w:t>
      </w:r>
      <w:r w:rsidRPr="1E46BC7A">
        <w:rPr>
          <w:rFonts w:ascii="Times New Roman" w:eastAsia="Times New Roman" w:hAnsi="Times New Roman" w:cs="Times New Roman"/>
          <w:color w:val="000000" w:themeColor="text1"/>
          <w:sz w:val="20"/>
          <w:szCs w:val="20"/>
          <w:vertAlign w:val="subscript"/>
        </w:rPr>
        <w:t>2</w:t>
      </w:r>
      <w:r w:rsidRPr="1E46BC7A">
        <w:rPr>
          <w:rFonts w:ascii="Times New Roman" w:eastAsia="Times New Roman" w:hAnsi="Times New Roman" w:cs="Times New Roman"/>
          <w:color w:val="000000" w:themeColor="text1"/>
          <w:sz w:val="20"/>
          <w:szCs w:val="20"/>
        </w:rPr>
        <w:t>SO</w:t>
      </w:r>
      <w:r w:rsidRPr="1E46BC7A">
        <w:rPr>
          <w:rFonts w:ascii="Times New Roman" w:eastAsia="Times New Roman" w:hAnsi="Times New Roman" w:cs="Times New Roman"/>
          <w:color w:val="000000" w:themeColor="text1"/>
          <w:sz w:val="20"/>
          <w:szCs w:val="20"/>
          <w:vertAlign w:val="subscript"/>
        </w:rPr>
        <w:t>4</w:t>
      </w:r>
      <w:r w:rsidRPr="1E46BC7A">
        <w:rPr>
          <w:rFonts w:ascii="Times New Roman" w:eastAsia="Times New Roman" w:hAnsi="Times New Roman" w:cs="Times New Roman"/>
          <w:color w:val="000000" w:themeColor="text1"/>
          <w:sz w:val="20"/>
          <w:szCs w:val="20"/>
        </w:rPr>
        <w:t xml:space="preserve">) and SMPI were further optimized for biological ammonia production through 30 experimental runs. To determine the optimum yield, a response surface methodology (RSM) and central composite design (CCD) approach was used. A 3-D response surface was utilized as graphical representations of the regression equation. Each contour graph generated specifically depicts the production of biological ammonia from two distinct combinations of fixed independent variables, while holding the other two variables at their respective zero levels. Three typical 3-D response surface plots are shown in Fig. 7. </w:t>
      </w:r>
    </w:p>
    <w:p w14:paraId="2624C5A9" w14:textId="7420DCB0" w:rsidR="006D3118" w:rsidRPr="006D3118" w:rsidRDefault="006D3118" w:rsidP="003E0C2E">
      <w:pPr>
        <w:spacing w:after="0" w:line="240" w:lineRule="auto"/>
        <w:rPr>
          <w:rFonts w:ascii="Times New Roman" w:eastAsia="Times New Roman" w:hAnsi="Times New Roman" w:cs="Times New Roman"/>
          <w:color w:val="000000" w:themeColor="text1"/>
          <w:sz w:val="20"/>
          <w:szCs w:val="20"/>
        </w:rPr>
      </w:pPr>
    </w:p>
    <w:p w14:paraId="5FB2596F" w14:textId="14A394DA" w:rsidR="006D3118" w:rsidRPr="006D3118" w:rsidRDefault="006D3118" w:rsidP="003E0C2E">
      <w:pPr>
        <w:spacing w:after="0" w:line="240" w:lineRule="auto"/>
        <w:rPr>
          <w:rFonts w:ascii="Times New Roman" w:eastAsia="Times New Roman" w:hAnsi="Times New Roman" w:cs="Times New Roman"/>
          <w:color w:val="000000" w:themeColor="text1"/>
          <w:sz w:val="20"/>
          <w:szCs w:val="20"/>
        </w:rPr>
      </w:pPr>
      <w:r w:rsidRPr="006D3118">
        <w:rPr>
          <w:rFonts w:asciiTheme="majorBidi" w:hAnsiTheme="majorBidi" w:cstheme="majorBidi"/>
          <w:noProof/>
          <w:sz w:val="24"/>
          <w:szCs w:val="24"/>
        </w:rPr>
        <w:drawing>
          <wp:inline distT="0" distB="0" distL="0" distR="0" wp14:anchorId="06BDB264" wp14:editId="256ABC97">
            <wp:extent cx="1914525" cy="1738515"/>
            <wp:effectExtent l="0" t="0" r="0" b="0"/>
            <wp:docPr id="1176849172" name="Picture 1176849172"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49172" name="Picture 1" descr="A diagram of a graph&#10;&#10;Description automatically generated"/>
                    <pic:cNvPicPr/>
                  </pic:nvPicPr>
                  <pic:blipFill>
                    <a:blip r:embed="rId14"/>
                    <a:stretch>
                      <a:fillRect/>
                    </a:stretch>
                  </pic:blipFill>
                  <pic:spPr>
                    <a:xfrm>
                      <a:off x="0" y="0"/>
                      <a:ext cx="1916968" cy="1740734"/>
                    </a:xfrm>
                    <a:prstGeom prst="rect">
                      <a:avLst/>
                    </a:prstGeom>
                  </pic:spPr>
                </pic:pic>
              </a:graphicData>
            </a:graphic>
          </wp:inline>
        </w:drawing>
      </w:r>
      <w:r w:rsidRPr="1E46BC7A">
        <w:rPr>
          <w:rFonts w:ascii="Times New Roman" w:eastAsia="Times New Roman" w:hAnsi="Times New Roman" w:cs="Times New Roman"/>
          <w:color w:val="000000" w:themeColor="text1"/>
          <w:sz w:val="20"/>
          <w:szCs w:val="20"/>
        </w:rPr>
        <w:t xml:space="preserve"> </w:t>
      </w:r>
      <w:r w:rsidRPr="006D3118">
        <w:rPr>
          <w:rFonts w:asciiTheme="majorBidi" w:hAnsiTheme="majorBidi" w:cstheme="majorBidi"/>
          <w:noProof/>
          <w:sz w:val="24"/>
          <w:szCs w:val="24"/>
        </w:rPr>
        <w:drawing>
          <wp:inline distT="0" distB="0" distL="0" distR="0" wp14:anchorId="331981D5" wp14:editId="59F03796">
            <wp:extent cx="1853388" cy="1743075"/>
            <wp:effectExtent l="0" t="0" r="0" b="0"/>
            <wp:docPr id="762105988" name="Picture 762105988"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05988" name="Picture 1" descr="A diagram of a graph&#10;&#10;Description automatically generated"/>
                    <pic:cNvPicPr/>
                  </pic:nvPicPr>
                  <pic:blipFill>
                    <a:blip r:embed="rId15"/>
                    <a:stretch>
                      <a:fillRect/>
                    </a:stretch>
                  </pic:blipFill>
                  <pic:spPr>
                    <a:xfrm>
                      <a:off x="0" y="0"/>
                      <a:ext cx="1855245" cy="1744822"/>
                    </a:xfrm>
                    <a:prstGeom prst="rect">
                      <a:avLst/>
                    </a:prstGeom>
                  </pic:spPr>
                </pic:pic>
              </a:graphicData>
            </a:graphic>
          </wp:inline>
        </w:drawing>
      </w:r>
      <w:r w:rsidRPr="006D3118">
        <w:rPr>
          <w:rFonts w:asciiTheme="majorBidi" w:hAnsiTheme="majorBidi" w:cstheme="majorBidi"/>
          <w:noProof/>
          <w:sz w:val="24"/>
          <w:szCs w:val="24"/>
        </w:rPr>
        <w:drawing>
          <wp:inline distT="0" distB="0" distL="0" distR="0" wp14:anchorId="4F0E5038" wp14:editId="43C12891">
            <wp:extent cx="1876425" cy="1756654"/>
            <wp:effectExtent l="0" t="0" r="0" b="0"/>
            <wp:docPr id="184368256" name="Picture 184368256" descr="A graph of a graph of an average y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8256" name="Picture 1" descr="A graph of a graph of an average yield&#10;&#10;Description automatically generated with medium confidence"/>
                    <pic:cNvPicPr/>
                  </pic:nvPicPr>
                  <pic:blipFill>
                    <a:blip r:embed="rId16"/>
                    <a:stretch>
                      <a:fillRect/>
                    </a:stretch>
                  </pic:blipFill>
                  <pic:spPr>
                    <a:xfrm>
                      <a:off x="0" y="0"/>
                      <a:ext cx="1898546" cy="1777363"/>
                    </a:xfrm>
                    <a:prstGeom prst="rect">
                      <a:avLst/>
                    </a:prstGeom>
                  </pic:spPr>
                </pic:pic>
              </a:graphicData>
            </a:graphic>
          </wp:inline>
        </w:drawing>
      </w:r>
    </w:p>
    <w:p w14:paraId="790C0DC1" w14:textId="4F5842CC" w:rsidR="006D3118" w:rsidRPr="006D3118" w:rsidRDefault="006D3118" w:rsidP="003E0C2E">
      <w:pPr>
        <w:spacing w:after="0" w:line="240" w:lineRule="auto"/>
        <w:rPr>
          <w:rFonts w:ascii="Times New Roman" w:eastAsia="Times New Roman" w:hAnsi="Times New Roman" w:cs="Times New Roman"/>
          <w:color w:val="000000" w:themeColor="text1"/>
          <w:sz w:val="20"/>
          <w:szCs w:val="20"/>
        </w:rPr>
      </w:pPr>
      <w:bookmarkStart w:id="9" w:name="_Toc148274448"/>
      <w:r w:rsidRPr="1E46BC7A">
        <w:rPr>
          <w:rFonts w:ascii="Times New Roman" w:eastAsia="Times New Roman" w:hAnsi="Times New Roman" w:cs="Times New Roman"/>
          <w:color w:val="000000" w:themeColor="text1"/>
          <w:sz w:val="20"/>
          <w:szCs w:val="20"/>
        </w:rPr>
        <w:t>Fig. 7. 3-D Surface Plots of biological ammonia production for the interaction between (a) K</w:t>
      </w:r>
      <w:r w:rsidRPr="1E46BC7A">
        <w:rPr>
          <w:rFonts w:ascii="Times New Roman" w:eastAsia="Times New Roman" w:hAnsi="Times New Roman" w:cs="Times New Roman"/>
          <w:color w:val="000000" w:themeColor="text1"/>
          <w:sz w:val="20"/>
          <w:szCs w:val="20"/>
          <w:vertAlign w:val="subscript"/>
        </w:rPr>
        <w:t>2</w:t>
      </w:r>
      <w:r w:rsidRPr="1E46BC7A">
        <w:rPr>
          <w:rFonts w:ascii="Times New Roman" w:eastAsia="Times New Roman" w:hAnsi="Times New Roman" w:cs="Times New Roman"/>
          <w:color w:val="000000" w:themeColor="text1"/>
          <w:sz w:val="20"/>
          <w:szCs w:val="20"/>
        </w:rPr>
        <w:t>HPO</w:t>
      </w:r>
      <w:r w:rsidRPr="1E46BC7A">
        <w:rPr>
          <w:rFonts w:ascii="Times New Roman" w:eastAsia="Times New Roman" w:hAnsi="Times New Roman" w:cs="Times New Roman"/>
          <w:color w:val="000000" w:themeColor="text1"/>
          <w:sz w:val="20"/>
          <w:szCs w:val="20"/>
          <w:vertAlign w:val="subscript"/>
        </w:rPr>
        <w:t>4</w:t>
      </w:r>
      <w:r w:rsidRPr="1E46BC7A">
        <w:rPr>
          <w:rFonts w:ascii="Times New Roman" w:eastAsia="Times New Roman" w:hAnsi="Times New Roman" w:cs="Times New Roman"/>
          <w:color w:val="000000" w:themeColor="text1"/>
          <w:sz w:val="20"/>
          <w:szCs w:val="20"/>
        </w:rPr>
        <w:t xml:space="preserve"> and SMPI, (b) KH</w:t>
      </w:r>
      <w:r w:rsidRPr="1E46BC7A">
        <w:rPr>
          <w:rFonts w:ascii="Times New Roman" w:eastAsia="Times New Roman" w:hAnsi="Times New Roman" w:cs="Times New Roman"/>
          <w:color w:val="000000" w:themeColor="text1"/>
          <w:sz w:val="20"/>
          <w:szCs w:val="20"/>
          <w:vertAlign w:val="subscript"/>
        </w:rPr>
        <w:t>2</w:t>
      </w:r>
      <w:r w:rsidRPr="1E46BC7A">
        <w:rPr>
          <w:rFonts w:ascii="Times New Roman" w:eastAsia="Times New Roman" w:hAnsi="Times New Roman" w:cs="Times New Roman"/>
          <w:color w:val="000000" w:themeColor="text1"/>
          <w:sz w:val="20"/>
          <w:szCs w:val="20"/>
        </w:rPr>
        <w:t>PO</w:t>
      </w:r>
      <w:r w:rsidRPr="1E46BC7A">
        <w:rPr>
          <w:rFonts w:ascii="Times New Roman" w:eastAsia="Times New Roman" w:hAnsi="Times New Roman" w:cs="Times New Roman"/>
          <w:color w:val="000000" w:themeColor="text1"/>
          <w:sz w:val="20"/>
          <w:szCs w:val="20"/>
          <w:vertAlign w:val="subscript"/>
        </w:rPr>
        <w:t>4</w:t>
      </w:r>
      <w:r w:rsidRPr="1E46BC7A">
        <w:rPr>
          <w:rFonts w:ascii="Times New Roman" w:eastAsia="Times New Roman" w:hAnsi="Times New Roman" w:cs="Times New Roman"/>
          <w:color w:val="000000" w:themeColor="text1"/>
          <w:sz w:val="20"/>
          <w:szCs w:val="20"/>
        </w:rPr>
        <w:t xml:space="preserve"> and SMPI and (c) Na</w:t>
      </w:r>
      <w:r w:rsidRPr="1E46BC7A">
        <w:rPr>
          <w:rFonts w:ascii="Times New Roman" w:eastAsia="Times New Roman" w:hAnsi="Times New Roman" w:cs="Times New Roman"/>
          <w:color w:val="000000" w:themeColor="text1"/>
          <w:sz w:val="20"/>
          <w:szCs w:val="20"/>
          <w:vertAlign w:val="subscript"/>
        </w:rPr>
        <w:t>2</w:t>
      </w:r>
      <w:r w:rsidRPr="1E46BC7A">
        <w:rPr>
          <w:rFonts w:ascii="Times New Roman" w:eastAsia="Times New Roman" w:hAnsi="Times New Roman" w:cs="Times New Roman"/>
          <w:color w:val="000000" w:themeColor="text1"/>
          <w:sz w:val="20"/>
          <w:szCs w:val="20"/>
        </w:rPr>
        <w:t>SO</w:t>
      </w:r>
      <w:r w:rsidRPr="1E46BC7A">
        <w:rPr>
          <w:rFonts w:ascii="Times New Roman" w:eastAsia="Times New Roman" w:hAnsi="Times New Roman" w:cs="Times New Roman"/>
          <w:color w:val="000000" w:themeColor="text1"/>
          <w:sz w:val="20"/>
          <w:szCs w:val="20"/>
          <w:vertAlign w:val="subscript"/>
        </w:rPr>
        <w:t>4</w:t>
      </w:r>
      <w:r w:rsidRPr="1E46BC7A">
        <w:rPr>
          <w:rFonts w:ascii="Times New Roman" w:eastAsia="Times New Roman" w:hAnsi="Times New Roman" w:cs="Times New Roman"/>
          <w:color w:val="000000" w:themeColor="text1"/>
          <w:sz w:val="20"/>
          <w:szCs w:val="20"/>
        </w:rPr>
        <w:t xml:space="preserve"> and SMPI, at zero levels of other components.</w:t>
      </w:r>
      <w:bookmarkEnd w:id="9"/>
    </w:p>
    <w:p w14:paraId="114DEE09" w14:textId="77777777" w:rsidR="006D3118" w:rsidRDefault="006D3118" w:rsidP="003E0C2E">
      <w:pPr>
        <w:pStyle w:val="BodyDoubleSpace05FirstLine"/>
        <w:spacing w:line="240" w:lineRule="auto"/>
        <w:ind w:firstLine="0"/>
        <w:rPr>
          <w:rFonts w:eastAsia="Times New Roman"/>
          <w:color w:val="000000" w:themeColor="text1"/>
          <w:sz w:val="20"/>
          <w:szCs w:val="20"/>
        </w:rPr>
      </w:pPr>
    </w:p>
    <w:p w14:paraId="1B99D7CC" w14:textId="51F7E692" w:rsidR="006D3118" w:rsidRPr="006D3118" w:rsidRDefault="006D3118" w:rsidP="003E0C2E">
      <w:pPr>
        <w:pStyle w:val="BodyDoubleSpace05FirstLine"/>
        <w:spacing w:line="240" w:lineRule="auto"/>
        <w:ind w:firstLine="0"/>
        <w:rPr>
          <w:rFonts w:eastAsia="Times New Roman"/>
          <w:color w:val="000000" w:themeColor="text1"/>
          <w:sz w:val="20"/>
          <w:szCs w:val="20"/>
        </w:rPr>
      </w:pPr>
      <w:r w:rsidRPr="1E46BC7A">
        <w:rPr>
          <w:rFonts w:eastAsia="Times New Roman"/>
          <w:color w:val="000000" w:themeColor="text1"/>
          <w:sz w:val="20"/>
          <w:szCs w:val="20"/>
        </w:rPr>
        <w:t>Fig. 7a illustrates the impact of varying concentrations of K</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HPO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xml:space="preserve"> (0.00292 – 0.292 g/100mL) and SMPI (1:5 – 1:15) on biological ammonia production, with Na</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SO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xml:space="preserve"> and KH</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PO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xml:space="preserve"> held constant at 0.048 g/100mL and 0.0292 g/100mL, respectively. As the concentrations of K</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HPO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xml:space="preserve"> and SMPI increased, biological ammonia production rose, reaching a peak at the midpoint, and then decreased. Similarly, Fig. 7b and Fig. 7c depict the effects of varying KH</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PO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xml:space="preserve"> (0.00292 – 0.292 g/100mL) and SMPI (1:5 – 1:15), and Na</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SO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xml:space="preserve"> (0.0048 – 0.48 g/100mL) and SMPI (1:5 - 1:15), respectively, on biological ammonia production under constant conditions. The overall optimization study identified the optimal conditions for achieving a biological ammonia yield of ~7,200 mg/L (7.2 g/L), with optimized concentrations of 0.0492 g/100mL K</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HPO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0.0492 g/100mL KH</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PO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0.064 g/100mL Na</w:t>
      </w:r>
      <w:r w:rsidRPr="1E46BC7A">
        <w:rPr>
          <w:rFonts w:eastAsia="Times New Roman"/>
          <w:color w:val="000000" w:themeColor="text1"/>
          <w:sz w:val="20"/>
          <w:szCs w:val="20"/>
          <w:vertAlign w:val="subscript"/>
        </w:rPr>
        <w:t>2</w:t>
      </w:r>
      <w:r w:rsidRPr="1E46BC7A">
        <w:rPr>
          <w:rFonts w:eastAsia="Times New Roman"/>
          <w:color w:val="000000" w:themeColor="text1"/>
          <w:sz w:val="20"/>
          <w:szCs w:val="20"/>
        </w:rPr>
        <w:t>SO</w:t>
      </w:r>
      <w:r w:rsidRPr="1E46BC7A">
        <w:rPr>
          <w:rFonts w:eastAsia="Times New Roman"/>
          <w:color w:val="000000" w:themeColor="text1"/>
          <w:sz w:val="20"/>
          <w:szCs w:val="20"/>
          <w:vertAlign w:val="subscript"/>
        </w:rPr>
        <w:t>4</w:t>
      </w:r>
      <w:r w:rsidRPr="1E46BC7A">
        <w:rPr>
          <w:rFonts w:eastAsia="Times New Roman"/>
          <w:color w:val="000000" w:themeColor="text1"/>
          <w:sz w:val="20"/>
          <w:szCs w:val="20"/>
        </w:rPr>
        <w:t>, and 10% SMPI. This yield surpasses previously reported yields, establishing a new record as the highest reported to date. The substantial improvement is attributed to anaerobic fermentation of HAB with hydrolyzed SMPI, a nitrogen-rich resource with minimal inhibitory effects from foreign food components such as glucose.</w:t>
      </w:r>
    </w:p>
    <w:p w14:paraId="6BA0650C" w14:textId="483523C1" w:rsidR="002E2DB0" w:rsidRPr="006D3118" w:rsidRDefault="002E2DB0" w:rsidP="003E0C2E">
      <w:pPr>
        <w:spacing w:after="0" w:line="240" w:lineRule="auto"/>
        <w:jc w:val="both"/>
        <w:rPr>
          <w:rFonts w:ascii="Times New Roman" w:eastAsia="Times New Roman" w:hAnsi="Times New Roman" w:cs="Times New Roman"/>
          <w:color w:val="000000" w:themeColor="text1"/>
          <w:sz w:val="20"/>
          <w:szCs w:val="20"/>
        </w:rPr>
      </w:pPr>
      <w:r w:rsidRPr="006D3118">
        <w:rPr>
          <w:rFonts w:asciiTheme="majorBidi" w:hAnsiTheme="majorBidi" w:cstheme="majorBidi"/>
          <w:sz w:val="24"/>
          <w:szCs w:val="24"/>
        </w:rPr>
        <w:tab/>
      </w:r>
      <w:r w:rsidRPr="006D3118">
        <w:rPr>
          <w:rFonts w:asciiTheme="majorBidi" w:hAnsiTheme="majorBidi" w:cstheme="majorBidi"/>
          <w:sz w:val="24"/>
          <w:szCs w:val="24"/>
        </w:rPr>
        <w:tab/>
      </w:r>
      <w:r w:rsidRPr="006D3118">
        <w:rPr>
          <w:rFonts w:asciiTheme="majorBidi" w:hAnsiTheme="majorBidi" w:cstheme="majorBidi"/>
          <w:sz w:val="24"/>
          <w:szCs w:val="24"/>
        </w:rPr>
        <w:tab/>
      </w:r>
    </w:p>
    <w:p w14:paraId="635A04F1" w14:textId="1425EA19" w:rsidR="5EA66BDB" w:rsidRDefault="5EA66BDB" w:rsidP="003E0C2E">
      <w:pPr>
        <w:spacing w:after="0" w:line="240" w:lineRule="auto"/>
        <w:rPr>
          <w:rFonts w:ascii="Times New Roman" w:eastAsia="Times New Roman" w:hAnsi="Times New Roman" w:cs="Times New Roman"/>
          <w:b/>
          <w:bCs/>
          <w:color w:val="000000" w:themeColor="text1"/>
          <w:sz w:val="20"/>
          <w:szCs w:val="20"/>
        </w:rPr>
      </w:pPr>
      <w:r w:rsidRPr="1E46BC7A">
        <w:rPr>
          <w:rFonts w:ascii="Times New Roman" w:eastAsia="Times New Roman" w:hAnsi="Times New Roman" w:cs="Times New Roman"/>
          <w:b/>
          <w:bCs/>
          <w:color w:val="000000" w:themeColor="text1"/>
          <w:sz w:val="20"/>
          <w:szCs w:val="20"/>
        </w:rPr>
        <w:t>Work to be Completed:</w:t>
      </w:r>
    </w:p>
    <w:p w14:paraId="3CE07A66" w14:textId="4965ED1C" w:rsidR="5EA66BDB" w:rsidRDefault="5EA66BDB" w:rsidP="003E0C2E">
      <w:pPr>
        <w:pStyle w:val="ListParagraph"/>
        <w:numPr>
          <w:ilvl w:val="0"/>
          <w:numId w:val="2"/>
        </w:num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 xml:space="preserve">The current focus on improving soy meal biological ammonia production via nitrogen fixing bacteria to bio-augment nitrogen/protein needed for biofertilizer production. </w:t>
      </w:r>
    </w:p>
    <w:p w14:paraId="539937F3" w14:textId="7D58FE4F" w:rsidR="5EA66BDB" w:rsidRDefault="5EA66BDB" w:rsidP="003E0C2E">
      <w:p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b/>
          <w:bCs/>
          <w:color w:val="000000" w:themeColor="text1"/>
          <w:sz w:val="20"/>
          <w:szCs w:val="20"/>
        </w:rPr>
        <w:t>Other relevant information:</w:t>
      </w:r>
      <w:r w:rsidRPr="1E46BC7A">
        <w:rPr>
          <w:rFonts w:ascii="Times New Roman" w:eastAsia="Times New Roman" w:hAnsi="Times New Roman" w:cs="Times New Roman"/>
          <w:color w:val="000000" w:themeColor="text1"/>
          <w:sz w:val="20"/>
          <w:szCs w:val="20"/>
        </w:rPr>
        <w:t xml:space="preserve"> </w:t>
      </w:r>
    </w:p>
    <w:p w14:paraId="14087892" w14:textId="02619BA0" w:rsidR="5EA66BDB" w:rsidRDefault="5EA66BDB" w:rsidP="003E0C2E">
      <w:pPr>
        <w:pStyle w:val="ListParagraph"/>
        <w:numPr>
          <w:ilvl w:val="0"/>
          <w:numId w:val="1"/>
        </w:num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 xml:space="preserve">Potential barriers to achieving objectives, </w:t>
      </w:r>
    </w:p>
    <w:p w14:paraId="75404EE1" w14:textId="18A4694A" w:rsidR="2EF9AE31" w:rsidRDefault="2EF9AE31" w:rsidP="003E0C2E">
      <w:pPr>
        <w:pStyle w:val="ListParagraph"/>
        <w:numPr>
          <w:ilvl w:val="1"/>
          <w:numId w:val="1"/>
        </w:num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One barrier we face is overcoming the phase barrier between air and water during the nitrogen fixation experiment.</w:t>
      </w:r>
      <w:r w:rsidR="75E642DC" w:rsidRPr="1E46BC7A">
        <w:rPr>
          <w:rFonts w:ascii="Times New Roman" w:eastAsia="Times New Roman" w:hAnsi="Times New Roman" w:cs="Times New Roman"/>
          <w:color w:val="000000" w:themeColor="text1"/>
          <w:sz w:val="20"/>
          <w:szCs w:val="20"/>
        </w:rPr>
        <w:t xml:space="preserve"> </w:t>
      </w:r>
      <w:r>
        <w:tab/>
      </w:r>
    </w:p>
    <w:p w14:paraId="1BBA454E" w14:textId="78225C0A" w:rsidR="5EA66BDB" w:rsidRDefault="5EA66BDB" w:rsidP="003E0C2E">
      <w:pPr>
        <w:pStyle w:val="ListParagraph"/>
        <w:numPr>
          <w:ilvl w:val="0"/>
          <w:numId w:val="1"/>
        </w:num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Risk mitigation strategies</w:t>
      </w:r>
    </w:p>
    <w:p w14:paraId="14FB5B0C" w14:textId="3ADF053D" w:rsidR="0E4C20CA" w:rsidRDefault="0E4C20CA" w:rsidP="003E0C2E">
      <w:pPr>
        <w:pStyle w:val="ListParagraph"/>
        <w:numPr>
          <w:ilvl w:val="1"/>
          <w:numId w:val="1"/>
        </w:num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 xml:space="preserve">We will be adopting </w:t>
      </w:r>
      <w:r w:rsidR="4CF105FB" w:rsidRPr="1E46BC7A">
        <w:rPr>
          <w:rFonts w:ascii="Times New Roman" w:eastAsia="Times New Roman" w:hAnsi="Times New Roman" w:cs="Times New Roman"/>
          <w:color w:val="000000" w:themeColor="text1"/>
          <w:sz w:val="20"/>
          <w:szCs w:val="20"/>
        </w:rPr>
        <w:t>a fixed</w:t>
      </w:r>
      <w:r w:rsidRPr="1E46BC7A">
        <w:rPr>
          <w:rFonts w:ascii="Times New Roman" w:eastAsia="Times New Roman" w:hAnsi="Times New Roman" w:cs="Times New Roman"/>
          <w:color w:val="000000" w:themeColor="text1"/>
          <w:sz w:val="20"/>
          <w:szCs w:val="20"/>
        </w:rPr>
        <w:t xml:space="preserve"> bed reactor design that </w:t>
      </w:r>
      <w:r w:rsidR="768C8754" w:rsidRPr="1E46BC7A">
        <w:rPr>
          <w:rFonts w:ascii="Times New Roman" w:eastAsia="Times New Roman" w:hAnsi="Times New Roman" w:cs="Times New Roman"/>
          <w:color w:val="000000" w:themeColor="text1"/>
          <w:sz w:val="20"/>
          <w:szCs w:val="20"/>
        </w:rPr>
        <w:t>has</w:t>
      </w:r>
      <w:r w:rsidRPr="1E46BC7A">
        <w:rPr>
          <w:rFonts w:ascii="Times New Roman" w:eastAsia="Times New Roman" w:hAnsi="Times New Roman" w:cs="Times New Roman"/>
          <w:color w:val="000000" w:themeColor="text1"/>
          <w:sz w:val="20"/>
          <w:szCs w:val="20"/>
        </w:rPr>
        <w:t xml:space="preserve"> been reported to improve gas-liquid contact.</w:t>
      </w:r>
    </w:p>
    <w:p w14:paraId="0DEC7029" w14:textId="464949F4" w:rsidR="5EA66BDB" w:rsidRDefault="5EA66BDB" w:rsidP="003E0C2E">
      <w:pPr>
        <w:pStyle w:val="ListParagraph"/>
        <w:numPr>
          <w:ilvl w:val="0"/>
          <w:numId w:val="1"/>
        </w:num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Breakthroughs.</w:t>
      </w:r>
    </w:p>
    <w:p w14:paraId="22B25BD8" w14:textId="20A26D6B" w:rsidR="2BBF4672" w:rsidRDefault="2BBF4672" w:rsidP="003E0C2E">
      <w:pPr>
        <w:pStyle w:val="ListParagraph"/>
        <w:numPr>
          <w:ilvl w:val="1"/>
          <w:numId w:val="1"/>
        </w:numPr>
        <w:spacing w:after="0" w:line="240" w:lineRule="auto"/>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 xml:space="preserve">We have successfully improved the yield of bio-ammonia and showed </w:t>
      </w:r>
      <w:r w:rsidR="0FDD2EB1" w:rsidRPr="1E46BC7A">
        <w:rPr>
          <w:rFonts w:ascii="Times New Roman" w:eastAsia="Times New Roman" w:hAnsi="Times New Roman" w:cs="Times New Roman"/>
          <w:color w:val="000000" w:themeColor="text1"/>
          <w:sz w:val="20"/>
          <w:szCs w:val="20"/>
        </w:rPr>
        <w:t>scalability</w:t>
      </w:r>
      <w:r w:rsidRPr="1E46BC7A">
        <w:rPr>
          <w:rFonts w:ascii="Times New Roman" w:eastAsia="Times New Roman" w:hAnsi="Times New Roman" w:cs="Times New Roman"/>
          <w:color w:val="000000" w:themeColor="text1"/>
          <w:sz w:val="20"/>
          <w:szCs w:val="20"/>
        </w:rPr>
        <w:t xml:space="preserve"> potential. </w:t>
      </w:r>
    </w:p>
    <w:p w14:paraId="7DF4C07E" w14:textId="645766D1" w:rsidR="7F53F942" w:rsidRDefault="7F53F942" w:rsidP="003E0C2E">
      <w:pPr>
        <w:spacing w:after="0" w:line="240" w:lineRule="auto"/>
        <w:rPr>
          <w:rFonts w:ascii="Times New Roman" w:eastAsia="Times New Roman" w:hAnsi="Times New Roman" w:cs="Times New Roman"/>
          <w:b/>
          <w:bCs/>
          <w:color w:val="000000" w:themeColor="text1"/>
          <w:sz w:val="20"/>
          <w:szCs w:val="20"/>
        </w:rPr>
      </w:pPr>
      <w:r w:rsidRPr="1E46BC7A">
        <w:rPr>
          <w:rFonts w:ascii="Times New Roman" w:eastAsia="Times New Roman" w:hAnsi="Times New Roman" w:cs="Times New Roman"/>
          <w:b/>
          <w:bCs/>
          <w:color w:val="000000" w:themeColor="text1"/>
          <w:sz w:val="20"/>
          <w:szCs w:val="20"/>
        </w:rPr>
        <w:t>Summary</w:t>
      </w:r>
      <w:r w:rsidR="3E8F9DDB" w:rsidRPr="1E46BC7A">
        <w:rPr>
          <w:rFonts w:ascii="Times New Roman" w:eastAsia="Times New Roman" w:hAnsi="Times New Roman" w:cs="Times New Roman"/>
          <w:b/>
          <w:bCs/>
          <w:color w:val="000000" w:themeColor="text1"/>
          <w:sz w:val="20"/>
          <w:szCs w:val="20"/>
        </w:rPr>
        <w:t>:</w:t>
      </w:r>
    </w:p>
    <w:p w14:paraId="2286EA12" w14:textId="45E6383D" w:rsidR="002E2DB0" w:rsidRPr="006D3118" w:rsidRDefault="6BD80368" w:rsidP="003E0C2E">
      <w:pPr>
        <w:spacing w:after="0" w:line="240" w:lineRule="auto"/>
        <w:jc w:val="both"/>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color w:val="000000" w:themeColor="text1"/>
          <w:sz w:val="20"/>
          <w:szCs w:val="20"/>
        </w:rPr>
        <w:t>This study used a unique method to replicate rumen microbial fermentation in vitro for biological ammonia production.</w:t>
      </w:r>
      <w:r w:rsidR="006D3118" w:rsidRPr="1E46BC7A">
        <w:rPr>
          <w:rFonts w:ascii="Times New Roman" w:eastAsia="Times New Roman" w:hAnsi="Times New Roman" w:cs="Times New Roman"/>
          <w:color w:val="000000" w:themeColor="text1"/>
          <w:sz w:val="20"/>
          <w:szCs w:val="20"/>
        </w:rPr>
        <w:t xml:space="preserve"> The process involved fermenting soymeal protein hydrolysate using a consortium of HAB over a 72-h </w:t>
      </w:r>
      <w:r w:rsidR="39684F38" w:rsidRPr="1E46BC7A">
        <w:rPr>
          <w:rFonts w:ascii="Times New Roman" w:eastAsia="Times New Roman" w:hAnsi="Times New Roman" w:cs="Times New Roman"/>
          <w:color w:val="000000" w:themeColor="text1"/>
          <w:sz w:val="20"/>
          <w:szCs w:val="20"/>
        </w:rPr>
        <w:t>time</w:t>
      </w:r>
      <w:r w:rsidR="006D3118" w:rsidRPr="1E46BC7A">
        <w:rPr>
          <w:rFonts w:ascii="Times New Roman" w:eastAsia="Times New Roman" w:hAnsi="Times New Roman" w:cs="Times New Roman"/>
          <w:color w:val="000000" w:themeColor="text1"/>
          <w:sz w:val="20"/>
          <w:szCs w:val="20"/>
        </w:rPr>
        <w:t>, resulting in the highest bio-ammonium yield reaching 7.5 g/L. The application of Response Surface Methodology (RSM) proved remarkably effective in optimizing biological ammonia production. The results showed that with the combination of the media formulation developed –K</w:t>
      </w:r>
      <w:r w:rsidR="006D3118" w:rsidRPr="1E46BC7A">
        <w:rPr>
          <w:rFonts w:ascii="Times New Roman" w:eastAsia="Times New Roman" w:hAnsi="Times New Roman" w:cs="Times New Roman"/>
          <w:color w:val="000000" w:themeColor="text1"/>
          <w:sz w:val="20"/>
          <w:szCs w:val="20"/>
          <w:vertAlign w:val="subscript"/>
        </w:rPr>
        <w:t>2</w:t>
      </w:r>
      <w:r w:rsidR="006D3118" w:rsidRPr="1E46BC7A">
        <w:rPr>
          <w:rFonts w:ascii="Times New Roman" w:eastAsia="Times New Roman" w:hAnsi="Times New Roman" w:cs="Times New Roman"/>
          <w:color w:val="000000" w:themeColor="text1"/>
          <w:sz w:val="20"/>
          <w:szCs w:val="20"/>
        </w:rPr>
        <w:t>HPO</w:t>
      </w:r>
      <w:r w:rsidR="006D3118" w:rsidRPr="1E46BC7A">
        <w:rPr>
          <w:rFonts w:ascii="Times New Roman" w:eastAsia="Times New Roman" w:hAnsi="Times New Roman" w:cs="Times New Roman"/>
          <w:color w:val="000000" w:themeColor="text1"/>
          <w:sz w:val="20"/>
          <w:szCs w:val="20"/>
          <w:vertAlign w:val="subscript"/>
        </w:rPr>
        <w:t>4</w:t>
      </w:r>
      <w:r w:rsidR="006D3118" w:rsidRPr="1E46BC7A">
        <w:rPr>
          <w:rFonts w:ascii="Times New Roman" w:eastAsia="Times New Roman" w:hAnsi="Times New Roman" w:cs="Times New Roman"/>
          <w:color w:val="000000" w:themeColor="text1"/>
          <w:sz w:val="20"/>
          <w:szCs w:val="20"/>
        </w:rPr>
        <w:t xml:space="preserve"> (0.049 g/100mL), KH</w:t>
      </w:r>
      <w:r w:rsidR="006D3118" w:rsidRPr="1E46BC7A">
        <w:rPr>
          <w:rFonts w:ascii="Times New Roman" w:eastAsia="Times New Roman" w:hAnsi="Times New Roman" w:cs="Times New Roman"/>
          <w:color w:val="000000" w:themeColor="text1"/>
          <w:sz w:val="20"/>
          <w:szCs w:val="20"/>
          <w:vertAlign w:val="subscript"/>
        </w:rPr>
        <w:t>2</w:t>
      </w:r>
      <w:r w:rsidR="006D3118" w:rsidRPr="1E46BC7A">
        <w:rPr>
          <w:rFonts w:ascii="Times New Roman" w:eastAsia="Times New Roman" w:hAnsi="Times New Roman" w:cs="Times New Roman"/>
          <w:color w:val="000000" w:themeColor="text1"/>
          <w:sz w:val="20"/>
          <w:szCs w:val="20"/>
        </w:rPr>
        <w:t>PO</w:t>
      </w:r>
      <w:r w:rsidR="006D3118" w:rsidRPr="1E46BC7A">
        <w:rPr>
          <w:rFonts w:ascii="Times New Roman" w:eastAsia="Times New Roman" w:hAnsi="Times New Roman" w:cs="Times New Roman"/>
          <w:color w:val="000000" w:themeColor="text1"/>
          <w:sz w:val="20"/>
          <w:szCs w:val="20"/>
          <w:vertAlign w:val="subscript"/>
        </w:rPr>
        <w:t>4</w:t>
      </w:r>
      <w:r w:rsidR="006D3118" w:rsidRPr="1E46BC7A">
        <w:rPr>
          <w:rFonts w:ascii="Times New Roman" w:eastAsia="Times New Roman" w:hAnsi="Times New Roman" w:cs="Times New Roman"/>
          <w:color w:val="000000" w:themeColor="text1"/>
          <w:sz w:val="20"/>
          <w:szCs w:val="20"/>
        </w:rPr>
        <w:t xml:space="preserve"> (0.049 g/100mL), Na</w:t>
      </w:r>
      <w:r w:rsidR="006D3118" w:rsidRPr="1E46BC7A">
        <w:rPr>
          <w:rFonts w:ascii="Times New Roman" w:eastAsia="Times New Roman" w:hAnsi="Times New Roman" w:cs="Times New Roman"/>
          <w:color w:val="000000" w:themeColor="text1"/>
          <w:sz w:val="20"/>
          <w:szCs w:val="20"/>
          <w:vertAlign w:val="subscript"/>
        </w:rPr>
        <w:t>2</w:t>
      </w:r>
      <w:r w:rsidR="006D3118" w:rsidRPr="1E46BC7A">
        <w:rPr>
          <w:rFonts w:ascii="Times New Roman" w:eastAsia="Times New Roman" w:hAnsi="Times New Roman" w:cs="Times New Roman"/>
          <w:color w:val="000000" w:themeColor="text1"/>
          <w:sz w:val="20"/>
          <w:szCs w:val="20"/>
        </w:rPr>
        <w:t xml:space="preserve">SO4 </w:t>
      </w:r>
      <w:r w:rsidR="006D3118" w:rsidRPr="1E46BC7A">
        <w:rPr>
          <w:rFonts w:ascii="Times New Roman" w:eastAsia="Times New Roman" w:hAnsi="Times New Roman" w:cs="Times New Roman"/>
          <w:color w:val="000000" w:themeColor="text1"/>
          <w:sz w:val="20"/>
          <w:szCs w:val="20"/>
        </w:rPr>
        <w:lastRenderedPageBreak/>
        <w:t>(0.064 g/100mL), NaCl (0.1 g/100mL), CaCl</w:t>
      </w:r>
      <w:r w:rsidR="006D3118" w:rsidRPr="1E46BC7A">
        <w:rPr>
          <w:rFonts w:ascii="Times New Roman" w:eastAsia="Times New Roman" w:hAnsi="Times New Roman" w:cs="Times New Roman"/>
          <w:color w:val="000000" w:themeColor="text1"/>
          <w:sz w:val="20"/>
          <w:szCs w:val="20"/>
          <w:vertAlign w:val="subscript"/>
        </w:rPr>
        <w:t>2</w:t>
      </w:r>
      <w:r w:rsidR="006D3118" w:rsidRPr="1E46BC7A">
        <w:rPr>
          <w:rFonts w:ascii="Times New Roman" w:eastAsia="Times New Roman" w:hAnsi="Times New Roman" w:cs="Times New Roman"/>
          <w:color w:val="000000" w:themeColor="text1"/>
          <w:sz w:val="20"/>
          <w:szCs w:val="20"/>
        </w:rPr>
        <w:t>.2H</w:t>
      </w:r>
      <w:r w:rsidR="006D3118" w:rsidRPr="1E46BC7A">
        <w:rPr>
          <w:rFonts w:ascii="Times New Roman" w:eastAsia="Times New Roman" w:hAnsi="Times New Roman" w:cs="Times New Roman"/>
          <w:color w:val="000000" w:themeColor="text1"/>
          <w:sz w:val="20"/>
          <w:szCs w:val="20"/>
          <w:vertAlign w:val="subscript"/>
        </w:rPr>
        <w:t>2</w:t>
      </w:r>
      <w:r w:rsidR="006D3118" w:rsidRPr="1E46BC7A">
        <w:rPr>
          <w:rFonts w:ascii="Times New Roman" w:eastAsia="Times New Roman" w:hAnsi="Times New Roman" w:cs="Times New Roman"/>
          <w:color w:val="000000" w:themeColor="text1"/>
          <w:sz w:val="20"/>
          <w:szCs w:val="20"/>
        </w:rPr>
        <w:t>O (0.064 g/100mL), Na</w:t>
      </w:r>
      <w:r w:rsidR="006D3118" w:rsidRPr="1E46BC7A">
        <w:rPr>
          <w:rFonts w:ascii="Times New Roman" w:eastAsia="Times New Roman" w:hAnsi="Times New Roman" w:cs="Times New Roman"/>
          <w:color w:val="000000" w:themeColor="text1"/>
          <w:sz w:val="20"/>
          <w:szCs w:val="20"/>
          <w:vertAlign w:val="subscript"/>
        </w:rPr>
        <w:t>2</w:t>
      </w:r>
      <w:r w:rsidR="006D3118" w:rsidRPr="1E46BC7A">
        <w:rPr>
          <w:rFonts w:ascii="Times New Roman" w:eastAsia="Times New Roman" w:hAnsi="Times New Roman" w:cs="Times New Roman"/>
          <w:color w:val="000000" w:themeColor="text1"/>
          <w:sz w:val="20"/>
          <w:szCs w:val="20"/>
        </w:rPr>
        <w:t>CO</w:t>
      </w:r>
      <w:r w:rsidR="006D3118" w:rsidRPr="1E46BC7A">
        <w:rPr>
          <w:rFonts w:ascii="Times New Roman" w:eastAsia="Times New Roman" w:hAnsi="Times New Roman" w:cs="Times New Roman"/>
          <w:color w:val="000000" w:themeColor="text1"/>
          <w:sz w:val="20"/>
          <w:szCs w:val="20"/>
          <w:vertAlign w:val="subscript"/>
        </w:rPr>
        <w:t>3</w:t>
      </w:r>
      <w:r w:rsidR="006D3118" w:rsidRPr="1E46BC7A">
        <w:rPr>
          <w:rFonts w:ascii="Times New Roman" w:eastAsia="Times New Roman" w:hAnsi="Times New Roman" w:cs="Times New Roman"/>
          <w:color w:val="000000" w:themeColor="text1"/>
          <w:sz w:val="20"/>
          <w:szCs w:val="20"/>
        </w:rPr>
        <w:t xml:space="preserve"> (4.0 g/100mL), yeast extract (0.5 g/100mL), and SMPI (10%)– the observed ammonia yield was approximately 80 % higher than in previous studies, highlighting the potential of biological ammonia production as a sustainable and efficient alternative to the conventional Haber process.</w:t>
      </w:r>
    </w:p>
    <w:p w14:paraId="2EAEDC5F" w14:textId="379324E8" w:rsidR="002E2DB0" w:rsidRPr="001F53D2" w:rsidRDefault="002E2DB0" w:rsidP="003E0C2E">
      <w:pPr>
        <w:spacing w:after="0" w:line="240" w:lineRule="auto"/>
        <w:jc w:val="both"/>
        <w:rPr>
          <w:rFonts w:ascii="Times New Roman" w:eastAsia="Times New Roman" w:hAnsi="Times New Roman" w:cs="Times New Roman"/>
          <w:color w:val="000000" w:themeColor="text1"/>
          <w:sz w:val="20"/>
          <w:szCs w:val="20"/>
        </w:rPr>
      </w:pPr>
      <w:r w:rsidRPr="1E46BC7A">
        <w:rPr>
          <w:rFonts w:ascii="Times New Roman" w:eastAsia="Times New Roman" w:hAnsi="Times New Roman" w:cs="Times New Roman"/>
          <w:b/>
          <w:bCs/>
          <w:color w:val="000000" w:themeColor="text1"/>
          <w:sz w:val="20"/>
          <w:szCs w:val="20"/>
        </w:rPr>
        <w:t>References</w:t>
      </w:r>
    </w:p>
    <w:p w14:paraId="04D3D0C3" w14:textId="77777777" w:rsidR="006D3118" w:rsidRPr="006D3118" w:rsidRDefault="006D3118" w:rsidP="003E0C2E">
      <w:pPr>
        <w:pStyle w:val="Bibliography"/>
        <w:spacing w:line="240" w:lineRule="auto"/>
        <w:rPr>
          <w:rFonts w:ascii="Times New Roman" w:eastAsia="Times New Roman" w:hAnsi="Times New Roman" w:cs="Times New Roman"/>
          <w:color w:val="000000" w:themeColor="text1"/>
          <w:sz w:val="20"/>
          <w:szCs w:val="20"/>
        </w:rPr>
      </w:pPr>
      <w:r w:rsidRPr="1E46BC7A">
        <w:rPr>
          <w:rFonts w:asciiTheme="majorBidi" w:hAnsiTheme="majorBidi" w:cstheme="majorBidi"/>
        </w:rPr>
        <w:fldChar w:fldCharType="begin"/>
      </w:r>
      <w:r w:rsidRPr="1E46BC7A">
        <w:rPr>
          <w:rFonts w:asciiTheme="majorBidi" w:hAnsiTheme="majorBidi" w:cstheme="majorBidi"/>
        </w:rPr>
        <w:instrText xml:space="preserve"> ADDIN ZOTERO_BIBL {"uncited":[],"omitted":[],"custom":[]} CSL_BIBLIOGRAPHY </w:instrText>
      </w:r>
      <w:r w:rsidRPr="1E46BC7A">
        <w:rPr>
          <w:rFonts w:asciiTheme="majorBidi" w:hAnsiTheme="majorBidi" w:cstheme="majorBidi"/>
        </w:rPr>
        <w:fldChar w:fldCharType="separate"/>
      </w:r>
      <w:r w:rsidRPr="1E46BC7A">
        <w:rPr>
          <w:rFonts w:ascii="Times New Roman" w:hAnsi="Times New Roman" w:cs="Times New Roman"/>
          <w:sz w:val="24"/>
          <w:szCs w:val="24"/>
        </w:rPr>
        <w:t xml:space="preserve">Adeniyi, A., Bello, I., Mukaila, T., Monono, E., Hammed, A. (2023). Developing rumen mimicry process for biological ammonia synthesis. </w:t>
      </w:r>
      <w:r w:rsidRPr="1E46BC7A">
        <w:rPr>
          <w:rFonts w:ascii="Times New Roman" w:hAnsi="Times New Roman" w:cs="Times New Roman"/>
          <w:i/>
          <w:iCs/>
          <w:sz w:val="24"/>
          <w:szCs w:val="24"/>
        </w:rPr>
        <w:t>Bioprocess and Biosystems Engineering</w:t>
      </w:r>
      <w:r w:rsidRPr="1E46BC7A">
        <w:rPr>
          <w:rFonts w:ascii="Times New Roman" w:hAnsi="Times New Roman" w:cs="Times New Roman"/>
          <w:sz w:val="24"/>
          <w:szCs w:val="24"/>
        </w:rPr>
        <w:t>, 1–10.</w:t>
      </w:r>
    </w:p>
    <w:p w14:paraId="4CFC79B1" w14:textId="77777777" w:rsidR="006D3118" w:rsidRPr="006D3118" w:rsidRDefault="006D3118" w:rsidP="003E0C2E">
      <w:pPr>
        <w:pStyle w:val="Bibliography"/>
        <w:spacing w:line="240" w:lineRule="auto"/>
        <w:rPr>
          <w:rFonts w:ascii="Times New Roman" w:eastAsia="Times New Roman" w:hAnsi="Times New Roman" w:cs="Times New Roman"/>
          <w:color w:val="000000" w:themeColor="text1"/>
          <w:sz w:val="20"/>
          <w:szCs w:val="20"/>
        </w:rPr>
      </w:pPr>
      <w:r w:rsidRPr="1E46BC7A">
        <w:rPr>
          <w:rFonts w:ascii="Times New Roman" w:hAnsi="Times New Roman" w:cs="Times New Roman"/>
          <w:sz w:val="24"/>
          <w:szCs w:val="24"/>
        </w:rPr>
        <w:t xml:space="preserve">Attwood, G. T., Reilly, K. (1995). Identification of proteolytic rumen bacteria isolated from New Zealand cattle. </w:t>
      </w:r>
      <w:r w:rsidRPr="1E46BC7A">
        <w:rPr>
          <w:rFonts w:ascii="Times New Roman" w:hAnsi="Times New Roman" w:cs="Times New Roman"/>
          <w:i/>
          <w:iCs/>
          <w:sz w:val="24"/>
          <w:szCs w:val="24"/>
        </w:rPr>
        <w:t>Journal of Applied Bacteriology</w:t>
      </w:r>
      <w:r w:rsidRPr="1E46BC7A">
        <w:rPr>
          <w:rFonts w:ascii="Times New Roman" w:hAnsi="Times New Roman" w:cs="Times New Roman"/>
          <w:sz w:val="24"/>
          <w:szCs w:val="24"/>
        </w:rPr>
        <w:t xml:space="preserve">, </w:t>
      </w:r>
      <w:r w:rsidRPr="1E46BC7A">
        <w:rPr>
          <w:rFonts w:ascii="Times New Roman" w:hAnsi="Times New Roman" w:cs="Times New Roman"/>
          <w:i/>
          <w:iCs/>
          <w:sz w:val="24"/>
          <w:szCs w:val="24"/>
        </w:rPr>
        <w:t>79</w:t>
      </w:r>
      <w:r w:rsidRPr="1E46BC7A">
        <w:rPr>
          <w:rFonts w:ascii="Times New Roman" w:hAnsi="Times New Roman" w:cs="Times New Roman"/>
          <w:sz w:val="24"/>
          <w:szCs w:val="24"/>
        </w:rPr>
        <w:t>(1), 22–29.</w:t>
      </w:r>
    </w:p>
    <w:p w14:paraId="0CD565A1" w14:textId="77777777" w:rsidR="006D3118" w:rsidRPr="006D3118" w:rsidRDefault="006D3118" w:rsidP="003E0C2E">
      <w:pPr>
        <w:pStyle w:val="Bibliography"/>
        <w:spacing w:line="240" w:lineRule="auto"/>
        <w:rPr>
          <w:rFonts w:ascii="Times New Roman" w:eastAsia="Times New Roman" w:hAnsi="Times New Roman" w:cs="Times New Roman"/>
          <w:color w:val="000000" w:themeColor="text1"/>
          <w:sz w:val="20"/>
          <w:szCs w:val="20"/>
        </w:rPr>
      </w:pPr>
      <w:r w:rsidRPr="1E46BC7A">
        <w:rPr>
          <w:rFonts w:ascii="Times New Roman" w:hAnsi="Times New Roman" w:cs="Times New Roman"/>
          <w:sz w:val="24"/>
          <w:szCs w:val="24"/>
        </w:rPr>
        <w:t xml:space="preserve">Cui, C., Zhao, M., Yuan, B., Zhang, Y., Ren, J. (2013). Effect of pH and pepsin limited hydrolysis on the structure and functional properties of soybean protein hydrolysates. </w:t>
      </w:r>
      <w:r w:rsidRPr="1E46BC7A">
        <w:rPr>
          <w:rFonts w:ascii="Times New Roman" w:hAnsi="Times New Roman" w:cs="Times New Roman"/>
          <w:i/>
          <w:iCs/>
          <w:sz w:val="24"/>
          <w:szCs w:val="24"/>
        </w:rPr>
        <w:t>Journal of Food Science</w:t>
      </w:r>
      <w:r w:rsidRPr="1E46BC7A">
        <w:rPr>
          <w:rFonts w:ascii="Times New Roman" w:hAnsi="Times New Roman" w:cs="Times New Roman"/>
          <w:sz w:val="24"/>
          <w:szCs w:val="24"/>
        </w:rPr>
        <w:t xml:space="preserve">, </w:t>
      </w:r>
      <w:r w:rsidRPr="1E46BC7A">
        <w:rPr>
          <w:rFonts w:ascii="Times New Roman" w:hAnsi="Times New Roman" w:cs="Times New Roman"/>
          <w:i/>
          <w:iCs/>
          <w:sz w:val="24"/>
          <w:szCs w:val="24"/>
        </w:rPr>
        <w:t>78</w:t>
      </w:r>
      <w:r w:rsidRPr="1E46BC7A">
        <w:rPr>
          <w:rFonts w:ascii="Times New Roman" w:hAnsi="Times New Roman" w:cs="Times New Roman"/>
          <w:sz w:val="24"/>
          <w:szCs w:val="24"/>
        </w:rPr>
        <w:t>(12). https://doi.org/10.1111/1750-3841.12309</w:t>
      </w:r>
    </w:p>
    <w:p w14:paraId="71A87B4C" w14:textId="77777777" w:rsidR="006D3118" w:rsidRPr="006D3118" w:rsidRDefault="006D3118" w:rsidP="003E0C2E">
      <w:pPr>
        <w:pStyle w:val="Bibliography"/>
        <w:spacing w:line="240" w:lineRule="auto"/>
        <w:rPr>
          <w:rFonts w:ascii="Times New Roman" w:eastAsia="Times New Roman" w:hAnsi="Times New Roman" w:cs="Times New Roman"/>
          <w:color w:val="000000" w:themeColor="text1"/>
          <w:sz w:val="20"/>
          <w:szCs w:val="20"/>
        </w:rPr>
      </w:pPr>
      <w:r w:rsidRPr="1E46BC7A">
        <w:rPr>
          <w:rFonts w:ascii="Times New Roman" w:hAnsi="Times New Roman" w:cs="Times New Roman"/>
          <w:sz w:val="24"/>
          <w:szCs w:val="24"/>
        </w:rPr>
        <w:t xml:space="preserve">Jaishankar, J., Srivastava, P. (2017). Molecular basis of stationary phase survival and applications. </w:t>
      </w:r>
      <w:r w:rsidRPr="1E46BC7A">
        <w:rPr>
          <w:rFonts w:ascii="Times New Roman" w:hAnsi="Times New Roman" w:cs="Times New Roman"/>
          <w:i/>
          <w:iCs/>
          <w:sz w:val="24"/>
          <w:szCs w:val="24"/>
        </w:rPr>
        <w:t>Frontiers in Microbiology</w:t>
      </w:r>
      <w:r w:rsidRPr="1E46BC7A">
        <w:rPr>
          <w:rFonts w:ascii="Times New Roman" w:hAnsi="Times New Roman" w:cs="Times New Roman"/>
          <w:sz w:val="24"/>
          <w:szCs w:val="24"/>
        </w:rPr>
        <w:t xml:space="preserve">, </w:t>
      </w:r>
      <w:r w:rsidRPr="1E46BC7A">
        <w:rPr>
          <w:rFonts w:ascii="Times New Roman" w:hAnsi="Times New Roman" w:cs="Times New Roman"/>
          <w:i/>
          <w:iCs/>
          <w:sz w:val="24"/>
          <w:szCs w:val="24"/>
        </w:rPr>
        <w:t>8</w:t>
      </w:r>
      <w:r w:rsidRPr="1E46BC7A">
        <w:rPr>
          <w:rFonts w:ascii="Times New Roman" w:hAnsi="Times New Roman" w:cs="Times New Roman"/>
          <w:sz w:val="24"/>
          <w:szCs w:val="24"/>
        </w:rPr>
        <w:t>, 2000.</w:t>
      </w:r>
    </w:p>
    <w:p w14:paraId="678EFA15" w14:textId="77777777" w:rsidR="006D3118" w:rsidRPr="006D3118" w:rsidRDefault="006D3118" w:rsidP="003E0C2E">
      <w:pPr>
        <w:pStyle w:val="Bibliography"/>
        <w:spacing w:line="240" w:lineRule="auto"/>
        <w:rPr>
          <w:rFonts w:ascii="Times New Roman" w:eastAsia="Times New Roman" w:hAnsi="Times New Roman" w:cs="Times New Roman"/>
          <w:color w:val="000000" w:themeColor="text1"/>
          <w:sz w:val="20"/>
          <w:szCs w:val="20"/>
        </w:rPr>
      </w:pPr>
      <w:r w:rsidRPr="1E46BC7A">
        <w:rPr>
          <w:rFonts w:ascii="Times New Roman" w:hAnsi="Times New Roman" w:cs="Times New Roman"/>
          <w:sz w:val="24"/>
          <w:szCs w:val="24"/>
        </w:rPr>
        <w:t xml:space="preserve">Kim, D.-H., Kim, S.-H., Jung, K.-W., Kim, M.-S., Shin, H.-S. (2011). Effect of initial pH independent of operational pH on hydrogen fermentation of food waste. </w:t>
      </w:r>
      <w:r w:rsidRPr="1E46BC7A">
        <w:rPr>
          <w:rFonts w:ascii="Times New Roman" w:hAnsi="Times New Roman" w:cs="Times New Roman"/>
          <w:i/>
          <w:iCs/>
          <w:sz w:val="24"/>
          <w:szCs w:val="24"/>
        </w:rPr>
        <w:t>Bioresource Technology</w:t>
      </w:r>
      <w:r w:rsidRPr="1E46BC7A">
        <w:rPr>
          <w:rFonts w:ascii="Times New Roman" w:hAnsi="Times New Roman" w:cs="Times New Roman"/>
          <w:sz w:val="24"/>
          <w:szCs w:val="24"/>
        </w:rPr>
        <w:t xml:space="preserve">, </w:t>
      </w:r>
      <w:r w:rsidRPr="1E46BC7A">
        <w:rPr>
          <w:rFonts w:ascii="Times New Roman" w:hAnsi="Times New Roman" w:cs="Times New Roman"/>
          <w:i/>
          <w:iCs/>
          <w:sz w:val="24"/>
          <w:szCs w:val="24"/>
        </w:rPr>
        <w:t>102</w:t>
      </w:r>
      <w:r w:rsidRPr="1E46BC7A">
        <w:rPr>
          <w:rFonts w:ascii="Times New Roman" w:hAnsi="Times New Roman" w:cs="Times New Roman"/>
          <w:sz w:val="24"/>
          <w:szCs w:val="24"/>
        </w:rPr>
        <w:t>(18), 8646–8652.</w:t>
      </w:r>
    </w:p>
    <w:p w14:paraId="731CF1FC" w14:textId="77777777" w:rsidR="006D3118" w:rsidRPr="006D3118" w:rsidRDefault="006D3118" w:rsidP="003E0C2E">
      <w:pPr>
        <w:pStyle w:val="Bibliography"/>
        <w:spacing w:line="240" w:lineRule="auto"/>
        <w:rPr>
          <w:rFonts w:ascii="Times New Roman" w:eastAsia="Times New Roman" w:hAnsi="Times New Roman" w:cs="Times New Roman"/>
          <w:color w:val="000000" w:themeColor="text1"/>
          <w:sz w:val="20"/>
          <w:szCs w:val="20"/>
        </w:rPr>
      </w:pPr>
      <w:r w:rsidRPr="1E46BC7A">
        <w:rPr>
          <w:rFonts w:ascii="Times New Roman" w:hAnsi="Times New Roman" w:cs="Times New Roman"/>
          <w:sz w:val="24"/>
          <w:szCs w:val="24"/>
        </w:rPr>
        <w:t xml:space="preserve">McKellar, R. C., Lu, X. (2004). Primary models. </w:t>
      </w:r>
      <w:r w:rsidRPr="1E46BC7A">
        <w:rPr>
          <w:rFonts w:ascii="Times New Roman" w:hAnsi="Times New Roman" w:cs="Times New Roman"/>
          <w:i/>
          <w:iCs/>
          <w:sz w:val="24"/>
          <w:szCs w:val="24"/>
        </w:rPr>
        <w:t>Modeling Microbial Responses in Food</w:t>
      </w:r>
      <w:r w:rsidRPr="1E46BC7A">
        <w:rPr>
          <w:rFonts w:ascii="Times New Roman" w:hAnsi="Times New Roman" w:cs="Times New Roman"/>
          <w:sz w:val="24"/>
          <w:szCs w:val="24"/>
        </w:rPr>
        <w:t>, 21–62.</w:t>
      </w:r>
    </w:p>
    <w:p w14:paraId="0300FA2C" w14:textId="76AB0AF1" w:rsidR="00562AE0" w:rsidRPr="006D3118" w:rsidRDefault="006D3118" w:rsidP="003E0C2E">
      <w:pPr>
        <w:spacing w:after="0" w:line="240" w:lineRule="auto"/>
        <w:jc w:val="center"/>
        <w:rPr>
          <w:rFonts w:ascii="Times New Roman" w:eastAsia="Times New Roman" w:hAnsi="Times New Roman" w:cs="Times New Roman"/>
          <w:color w:val="000000" w:themeColor="text1"/>
          <w:sz w:val="20"/>
          <w:szCs w:val="20"/>
        </w:rPr>
      </w:pPr>
      <w:r w:rsidRPr="1E46BC7A">
        <w:rPr>
          <w:rFonts w:asciiTheme="majorBidi" w:hAnsiTheme="majorBidi" w:cstheme="majorBidi"/>
          <w:sz w:val="24"/>
          <w:szCs w:val="24"/>
        </w:rPr>
        <w:fldChar w:fldCharType="end"/>
      </w:r>
    </w:p>
    <w:sectPr w:rsidR="00562AE0" w:rsidRPr="006D3118">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98C82" w14:textId="77777777" w:rsidR="003D0233" w:rsidRDefault="003D0233" w:rsidP="00CB44A5">
      <w:pPr>
        <w:spacing w:after="0" w:line="240" w:lineRule="auto"/>
      </w:pPr>
      <w:r>
        <w:separator/>
      </w:r>
    </w:p>
  </w:endnote>
  <w:endnote w:type="continuationSeparator" w:id="0">
    <w:p w14:paraId="0486BAC6" w14:textId="77777777" w:rsidR="003D0233" w:rsidRDefault="003D0233" w:rsidP="00CB4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136B9" w14:textId="77777777" w:rsidR="001F53D2" w:rsidRDefault="001F53D2" w:rsidP="00EC25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FF9343" w14:textId="77777777" w:rsidR="001F53D2" w:rsidRDefault="001F53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81C24" w14:textId="4BBAFD48" w:rsidR="001F53D2" w:rsidRDefault="001F53D2" w:rsidP="00EC25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549DD7" w14:textId="77777777" w:rsidR="001F53D2" w:rsidRDefault="001F5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999B0" w14:textId="77777777" w:rsidR="003D0233" w:rsidRDefault="003D0233" w:rsidP="00CB44A5">
      <w:pPr>
        <w:spacing w:after="0" w:line="240" w:lineRule="auto"/>
      </w:pPr>
      <w:r>
        <w:separator/>
      </w:r>
    </w:p>
  </w:footnote>
  <w:footnote w:type="continuationSeparator" w:id="0">
    <w:p w14:paraId="01EAADF1" w14:textId="77777777" w:rsidR="003D0233" w:rsidRDefault="003D0233" w:rsidP="00CB44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EDA12"/>
    <w:multiLevelType w:val="hybridMultilevel"/>
    <w:tmpl w:val="93C69648"/>
    <w:lvl w:ilvl="0" w:tplc="E72C47DA">
      <w:start w:val="3"/>
      <w:numFmt w:val="lowerRoman"/>
      <w:lvlText w:val="%1."/>
      <w:lvlJc w:val="right"/>
      <w:pPr>
        <w:ind w:left="720" w:hanging="360"/>
      </w:pPr>
    </w:lvl>
    <w:lvl w:ilvl="1" w:tplc="F03243F4">
      <w:start w:val="1"/>
      <w:numFmt w:val="lowerLetter"/>
      <w:lvlText w:val="%2."/>
      <w:lvlJc w:val="left"/>
      <w:pPr>
        <w:ind w:left="1440" w:hanging="360"/>
      </w:pPr>
    </w:lvl>
    <w:lvl w:ilvl="2" w:tplc="37705386">
      <w:start w:val="1"/>
      <w:numFmt w:val="lowerRoman"/>
      <w:lvlText w:val="%3."/>
      <w:lvlJc w:val="right"/>
      <w:pPr>
        <w:ind w:left="2160" w:hanging="180"/>
      </w:pPr>
    </w:lvl>
    <w:lvl w:ilvl="3" w:tplc="AED0EAB8">
      <w:start w:val="1"/>
      <w:numFmt w:val="decimal"/>
      <w:lvlText w:val="%4."/>
      <w:lvlJc w:val="left"/>
      <w:pPr>
        <w:ind w:left="2880" w:hanging="360"/>
      </w:pPr>
    </w:lvl>
    <w:lvl w:ilvl="4" w:tplc="192023FE">
      <w:start w:val="1"/>
      <w:numFmt w:val="lowerLetter"/>
      <w:lvlText w:val="%5."/>
      <w:lvlJc w:val="left"/>
      <w:pPr>
        <w:ind w:left="3600" w:hanging="360"/>
      </w:pPr>
    </w:lvl>
    <w:lvl w:ilvl="5" w:tplc="392EF844">
      <w:start w:val="1"/>
      <w:numFmt w:val="lowerRoman"/>
      <w:lvlText w:val="%6."/>
      <w:lvlJc w:val="right"/>
      <w:pPr>
        <w:ind w:left="4320" w:hanging="180"/>
      </w:pPr>
    </w:lvl>
    <w:lvl w:ilvl="6" w:tplc="0B787D02">
      <w:start w:val="1"/>
      <w:numFmt w:val="decimal"/>
      <w:lvlText w:val="%7."/>
      <w:lvlJc w:val="left"/>
      <w:pPr>
        <w:ind w:left="5040" w:hanging="360"/>
      </w:pPr>
    </w:lvl>
    <w:lvl w:ilvl="7" w:tplc="237C9C1E">
      <w:start w:val="1"/>
      <w:numFmt w:val="lowerLetter"/>
      <w:lvlText w:val="%8."/>
      <w:lvlJc w:val="left"/>
      <w:pPr>
        <w:ind w:left="5760" w:hanging="360"/>
      </w:pPr>
    </w:lvl>
    <w:lvl w:ilvl="8" w:tplc="BA365E1C">
      <w:start w:val="1"/>
      <w:numFmt w:val="lowerRoman"/>
      <w:lvlText w:val="%9."/>
      <w:lvlJc w:val="right"/>
      <w:pPr>
        <w:ind w:left="6480" w:hanging="180"/>
      </w:pPr>
    </w:lvl>
  </w:abstractNum>
  <w:abstractNum w:abstractNumId="1" w15:restartNumberingAfterBreak="0">
    <w:nsid w:val="181A709D"/>
    <w:multiLevelType w:val="hybridMultilevel"/>
    <w:tmpl w:val="0BD8C86C"/>
    <w:lvl w:ilvl="0" w:tplc="50DEAFFA">
      <w:start w:val="1"/>
      <w:numFmt w:val="lowerRoman"/>
      <w:lvlText w:val="%1."/>
      <w:lvlJc w:val="right"/>
      <w:pPr>
        <w:ind w:left="720" w:hanging="360"/>
      </w:pPr>
    </w:lvl>
    <w:lvl w:ilvl="1" w:tplc="BE42655C">
      <w:start w:val="1"/>
      <w:numFmt w:val="lowerLetter"/>
      <w:lvlText w:val="%2."/>
      <w:lvlJc w:val="left"/>
      <w:pPr>
        <w:ind w:left="1440" w:hanging="360"/>
      </w:pPr>
    </w:lvl>
    <w:lvl w:ilvl="2" w:tplc="059A5A24">
      <w:start w:val="1"/>
      <w:numFmt w:val="lowerRoman"/>
      <w:lvlText w:val="%3."/>
      <w:lvlJc w:val="right"/>
      <w:pPr>
        <w:ind w:left="2160" w:hanging="180"/>
      </w:pPr>
    </w:lvl>
    <w:lvl w:ilvl="3" w:tplc="9852F40E">
      <w:start w:val="1"/>
      <w:numFmt w:val="decimal"/>
      <w:lvlText w:val="%4."/>
      <w:lvlJc w:val="left"/>
      <w:pPr>
        <w:ind w:left="2880" w:hanging="360"/>
      </w:pPr>
    </w:lvl>
    <w:lvl w:ilvl="4" w:tplc="5ADACE0C">
      <w:start w:val="1"/>
      <w:numFmt w:val="lowerLetter"/>
      <w:lvlText w:val="%5."/>
      <w:lvlJc w:val="left"/>
      <w:pPr>
        <w:ind w:left="3600" w:hanging="360"/>
      </w:pPr>
    </w:lvl>
    <w:lvl w:ilvl="5" w:tplc="501C99C2">
      <w:start w:val="1"/>
      <w:numFmt w:val="lowerRoman"/>
      <w:lvlText w:val="%6."/>
      <w:lvlJc w:val="right"/>
      <w:pPr>
        <w:ind w:left="4320" w:hanging="180"/>
      </w:pPr>
    </w:lvl>
    <w:lvl w:ilvl="6" w:tplc="200A690E">
      <w:start w:val="1"/>
      <w:numFmt w:val="decimal"/>
      <w:lvlText w:val="%7."/>
      <w:lvlJc w:val="left"/>
      <w:pPr>
        <w:ind w:left="5040" w:hanging="360"/>
      </w:pPr>
    </w:lvl>
    <w:lvl w:ilvl="7" w:tplc="9B64C236">
      <w:start w:val="1"/>
      <w:numFmt w:val="lowerLetter"/>
      <w:lvlText w:val="%8."/>
      <w:lvlJc w:val="left"/>
      <w:pPr>
        <w:ind w:left="5760" w:hanging="360"/>
      </w:pPr>
    </w:lvl>
    <w:lvl w:ilvl="8" w:tplc="268AEDCE">
      <w:start w:val="1"/>
      <w:numFmt w:val="lowerRoman"/>
      <w:lvlText w:val="%9."/>
      <w:lvlJc w:val="right"/>
      <w:pPr>
        <w:ind w:left="6480" w:hanging="180"/>
      </w:pPr>
    </w:lvl>
  </w:abstractNum>
  <w:abstractNum w:abstractNumId="2" w15:restartNumberingAfterBreak="0">
    <w:nsid w:val="264C7293"/>
    <w:multiLevelType w:val="hybridMultilevel"/>
    <w:tmpl w:val="915E2690"/>
    <w:lvl w:ilvl="0" w:tplc="E12E341C">
      <w:start w:val="1"/>
      <w:numFmt w:val="bullet"/>
      <w:lvlText w:val=""/>
      <w:lvlJc w:val="left"/>
      <w:pPr>
        <w:ind w:left="720" w:hanging="360"/>
      </w:pPr>
      <w:rPr>
        <w:rFonts w:ascii="Symbol" w:hAnsi="Symbol" w:hint="default"/>
      </w:rPr>
    </w:lvl>
    <w:lvl w:ilvl="1" w:tplc="5EC657AE">
      <w:start w:val="1"/>
      <w:numFmt w:val="bullet"/>
      <w:lvlText w:val="o"/>
      <w:lvlJc w:val="left"/>
      <w:pPr>
        <w:ind w:left="1440" w:hanging="360"/>
      </w:pPr>
      <w:rPr>
        <w:rFonts w:ascii="Courier New" w:hAnsi="Courier New" w:hint="default"/>
      </w:rPr>
    </w:lvl>
    <w:lvl w:ilvl="2" w:tplc="2A72AB46">
      <w:start w:val="1"/>
      <w:numFmt w:val="bullet"/>
      <w:lvlText w:val=""/>
      <w:lvlJc w:val="left"/>
      <w:pPr>
        <w:ind w:left="2160" w:hanging="360"/>
      </w:pPr>
      <w:rPr>
        <w:rFonts w:ascii="Wingdings" w:hAnsi="Wingdings" w:hint="default"/>
      </w:rPr>
    </w:lvl>
    <w:lvl w:ilvl="3" w:tplc="06F67A68">
      <w:start w:val="1"/>
      <w:numFmt w:val="bullet"/>
      <w:lvlText w:val=""/>
      <w:lvlJc w:val="left"/>
      <w:pPr>
        <w:ind w:left="2880" w:hanging="360"/>
      </w:pPr>
      <w:rPr>
        <w:rFonts w:ascii="Symbol" w:hAnsi="Symbol" w:hint="default"/>
      </w:rPr>
    </w:lvl>
    <w:lvl w:ilvl="4" w:tplc="65063396">
      <w:start w:val="1"/>
      <w:numFmt w:val="bullet"/>
      <w:lvlText w:val="o"/>
      <w:lvlJc w:val="left"/>
      <w:pPr>
        <w:ind w:left="3600" w:hanging="360"/>
      </w:pPr>
      <w:rPr>
        <w:rFonts w:ascii="Courier New" w:hAnsi="Courier New" w:hint="default"/>
      </w:rPr>
    </w:lvl>
    <w:lvl w:ilvl="5" w:tplc="7C7C394C">
      <w:start w:val="1"/>
      <w:numFmt w:val="bullet"/>
      <w:lvlText w:val=""/>
      <w:lvlJc w:val="left"/>
      <w:pPr>
        <w:ind w:left="4320" w:hanging="360"/>
      </w:pPr>
      <w:rPr>
        <w:rFonts w:ascii="Wingdings" w:hAnsi="Wingdings" w:hint="default"/>
      </w:rPr>
    </w:lvl>
    <w:lvl w:ilvl="6" w:tplc="8E3E8072">
      <w:start w:val="1"/>
      <w:numFmt w:val="bullet"/>
      <w:lvlText w:val=""/>
      <w:lvlJc w:val="left"/>
      <w:pPr>
        <w:ind w:left="5040" w:hanging="360"/>
      </w:pPr>
      <w:rPr>
        <w:rFonts w:ascii="Symbol" w:hAnsi="Symbol" w:hint="default"/>
      </w:rPr>
    </w:lvl>
    <w:lvl w:ilvl="7" w:tplc="39DC3B2C">
      <w:start w:val="1"/>
      <w:numFmt w:val="bullet"/>
      <w:lvlText w:val="o"/>
      <w:lvlJc w:val="left"/>
      <w:pPr>
        <w:ind w:left="5760" w:hanging="360"/>
      </w:pPr>
      <w:rPr>
        <w:rFonts w:ascii="Courier New" w:hAnsi="Courier New" w:hint="default"/>
      </w:rPr>
    </w:lvl>
    <w:lvl w:ilvl="8" w:tplc="5D76EF82">
      <w:start w:val="1"/>
      <w:numFmt w:val="bullet"/>
      <w:lvlText w:val=""/>
      <w:lvlJc w:val="left"/>
      <w:pPr>
        <w:ind w:left="6480" w:hanging="360"/>
      </w:pPr>
      <w:rPr>
        <w:rFonts w:ascii="Wingdings" w:hAnsi="Wingdings" w:hint="default"/>
      </w:rPr>
    </w:lvl>
  </w:abstractNum>
  <w:abstractNum w:abstractNumId="3" w15:restartNumberingAfterBreak="0">
    <w:nsid w:val="29FC57A8"/>
    <w:multiLevelType w:val="hybridMultilevel"/>
    <w:tmpl w:val="D9C62594"/>
    <w:lvl w:ilvl="0" w:tplc="E190E6D4">
      <w:start w:val="4"/>
      <w:numFmt w:val="lowerRoman"/>
      <w:lvlText w:val="%1."/>
      <w:lvlJc w:val="right"/>
      <w:pPr>
        <w:ind w:left="720" w:hanging="360"/>
      </w:pPr>
    </w:lvl>
    <w:lvl w:ilvl="1" w:tplc="D3D64CE8">
      <w:start w:val="1"/>
      <w:numFmt w:val="lowerLetter"/>
      <w:lvlText w:val="%2."/>
      <w:lvlJc w:val="left"/>
      <w:pPr>
        <w:ind w:left="1440" w:hanging="360"/>
      </w:pPr>
    </w:lvl>
    <w:lvl w:ilvl="2" w:tplc="E912EEFE">
      <w:start w:val="1"/>
      <w:numFmt w:val="lowerRoman"/>
      <w:lvlText w:val="%3."/>
      <w:lvlJc w:val="right"/>
      <w:pPr>
        <w:ind w:left="2160" w:hanging="180"/>
      </w:pPr>
    </w:lvl>
    <w:lvl w:ilvl="3" w:tplc="38266284">
      <w:start w:val="1"/>
      <w:numFmt w:val="decimal"/>
      <w:lvlText w:val="%4."/>
      <w:lvlJc w:val="left"/>
      <w:pPr>
        <w:ind w:left="2880" w:hanging="360"/>
      </w:pPr>
    </w:lvl>
    <w:lvl w:ilvl="4" w:tplc="C9348092">
      <w:start w:val="1"/>
      <w:numFmt w:val="lowerLetter"/>
      <w:lvlText w:val="%5."/>
      <w:lvlJc w:val="left"/>
      <w:pPr>
        <w:ind w:left="3600" w:hanging="360"/>
      </w:pPr>
    </w:lvl>
    <w:lvl w:ilvl="5" w:tplc="09BE010A">
      <w:start w:val="1"/>
      <w:numFmt w:val="lowerRoman"/>
      <w:lvlText w:val="%6."/>
      <w:lvlJc w:val="right"/>
      <w:pPr>
        <w:ind w:left="4320" w:hanging="180"/>
      </w:pPr>
    </w:lvl>
    <w:lvl w:ilvl="6" w:tplc="2B70D650">
      <w:start w:val="1"/>
      <w:numFmt w:val="decimal"/>
      <w:lvlText w:val="%7."/>
      <w:lvlJc w:val="left"/>
      <w:pPr>
        <w:ind w:left="5040" w:hanging="360"/>
      </w:pPr>
    </w:lvl>
    <w:lvl w:ilvl="7" w:tplc="4704CC72">
      <w:start w:val="1"/>
      <w:numFmt w:val="lowerLetter"/>
      <w:lvlText w:val="%8."/>
      <w:lvlJc w:val="left"/>
      <w:pPr>
        <w:ind w:left="5760" w:hanging="360"/>
      </w:pPr>
    </w:lvl>
    <w:lvl w:ilvl="8" w:tplc="B1966FEE">
      <w:start w:val="1"/>
      <w:numFmt w:val="lowerRoman"/>
      <w:lvlText w:val="%9."/>
      <w:lvlJc w:val="right"/>
      <w:pPr>
        <w:ind w:left="6480" w:hanging="180"/>
      </w:pPr>
    </w:lvl>
  </w:abstractNum>
  <w:abstractNum w:abstractNumId="4" w15:restartNumberingAfterBreak="0">
    <w:nsid w:val="5017554A"/>
    <w:multiLevelType w:val="hybridMultilevel"/>
    <w:tmpl w:val="35F8FC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7E5A992"/>
    <w:multiLevelType w:val="hybridMultilevel"/>
    <w:tmpl w:val="B39E2EE2"/>
    <w:lvl w:ilvl="0" w:tplc="D91A480E">
      <w:start w:val="1"/>
      <w:numFmt w:val="bullet"/>
      <w:lvlText w:val=""/>
      <w:lvlJc w:val="left"/>
      <w:pPr>
        <w:ind w:left="720" w:hanging="360"/>
      </w:pPr>
      <w:rPr>
        <w:rFonts w:ascii="Symbol" w:hAnsi="Symbol" w:hint="default"/>
      </w:rPr>
    </w:lvl>
    <w:lvl w:ilvl="1" w:tplc="8DE8A4CC">
      <w:start w:val="1"/>
      <w:numFmt w:val="bullet"/>
      <w:lvlText w:val="o"/>
      <w:lvlJc w:val="left"/>
      <w:pPr>
        <w:ind w:left="1440" w:hanging="360"/>
      </w:pPr>
      <w:rPr>
        <w:rFonts w:ascii="Courier New" w:hAnsi="Courier New" w:hint="default"/>
      </w:rPr>
    </w:lvl>
    <w:lvl w:ilvl="2" w:tplc="D84425A0">
      <w:start w:val="1"/>
      <w:numFmt w:val="bullet"/>
      <w:lvlText w:val=""/>
      <w:lvlJc w:val="left"/>
      <w:pPr>
        <w:ind w:left="2160" w:hanging="360"/>
      </w:pPr>
      <w:rPr>
        <w:rFonts w:ascii="Wingdings" w:hAnsi="Wingdings" w:hint="default"/>
      </w:rPr>
    </w:lvl>
    <w:lvl w:ilvl="3" w:tplc="C2FCB36E">
      <w:start w:val="1"/>
      <w:numFmt w:val="bullet"/>
      <w:lvlText w:val=""/>
      <w:lvlJc w:val="left"/>
      <w:pPr>
        <w:ind w:left="2880" w:hanging="360"/>
      </w:pPr>
      <w:rPr>
        <w:rFonts w:ascii="Symbol" w:hAnsi="Symbol" w:hint="default"/>
      </w:rPr>
    </w:lvl>
    <w:lvl w:ilvl="4" w:tplc="1176231E">
      <w:start w:val="1"/>
      <w:numFmt w:val="bullet"/>
      <w:lvlText w:val="o"/>
      <w:lvlJc w:val="left"/>
      <w:pPr>
        <w:ind w:left="3600" w:hanging="360"/>
      </w:pPr>
      <w:rPr>
        <w:rFonts w:ascii="Courier New" w:hAnsi="Courier New" w:hint="default"/>
      </w:rPr>
    </w:lvl>
    <w:lvl w:ilvl="5" w:tplc="861670A2">
      <w:start w:val="1"/>
      <w:numFmt w:val="bullet"/>
      <w:lvlText w:val=""/>
      <w:lvlJc w:val="left"/>
      <w:pPr>
        <w:ind w:left="4320" w:hanging="360"/>
      </w:pPr>
      <w:rPr>
        <w:rFonts w:ascii="Wingdings" w:hAnsi="Wingdings" w:hint="default"/>
      </w:rPr>
    </w:lvl>
    <w:lvl w:ilvl="6" w:tplc="581CC582">
      <w:start w:val="1"/>
      <w:numFmt w:val="bullet"/>
      <w:lvlText w:val=""/>
      <w:lvlJc w:val="left"/>
      <w:pPr>
        <w:ind w:left="5040" w:hanging="360"/>
      </w:pPr>
      <w:rPr>
        <w:rFonts w:ascii="Symbol" w:hAnsi="Symbol" w:hint="default"/>
      </w:rPr>
    </w:lvl>
    <w:lvl w:ilvl="7" w:tplc="9D6A6DAC">
      <w:start w:val="1"/>
      <w:numFmt w:val="bullet"/>
      <w:lvlText w:val="o"/>
      <w:lvlJc w:val="left"/>
      <w:pPr>
        <w:ind w:left="5760" w:hanging="360"/>
      </w:pPr>
      <w:rPr>
        <w:rFonts w:ascii="Courier New" w:hAnsi="Courier New" w:hint="default"/>
      </w:rPr>
    </w:lvl>
    <w:lvl w:ilvl="8" w:tplc="BDA85C60">
      <w:start w:val="1"/>
      <w:numFmt w:val="bullet"/>
      <w:lvlText w:val=""/>
      <w:lvlJc w:val="left"/>
      <w:pPr>
        <w:ind w:left="6480" w:hanging="360"/>
      </w:pPr>
      <w:rPr>
        <w:rFonts w:ascii="Wingdings" w:hAnsi="Wingdings" w:hint="default"/>
      </w:rPr>
    </w:lvl>
  </w:abstractNum>
  <w:abstractNum w:abstractNumId="6" w15:restartNumberingAfterBreak="0">
    <w:nsid w:val="5FBB5983"/>
    <w:multiLevelType w:val="multilevel"/>
    <w:tmpl w:val="FFFFFFFF"/>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6075E5F0"/>
    <w:multiLevelType w:val="hybridMultilevel"/>
    <w:tmpl w:val="B4F00B54"/>
    <w:lvl w:ilvl="0" w:tplc="F52A015A">
      <w:start w:val="2"/>
      <w:numFmt w:val="lowerRoman"/>
      <w:lvlText w:val="%1."/>
      <w:lvlJc w:val="right"/>
      <w:pPr>
        <w:ind w:left="720" w:hanging="360"/>
      </w:pPr>
    </w:lvl>
    <w:lvl w:ilvl="1" w:tplc="25E4FD0E">
      <w:start w:val="1"/>
      <w:numFmt w:val="lowerLetter"/>
      <w:lvlText w:val="%2."/>
      <w:lvlJc w:val="left"/>
      <w:pPr>
        <w:ind w:left="1440" w:hanging="360"/>
      </w:pPr>
    </w:lvl>
    <w:lvl w:ilvl="2" w:tplc="AD66B084">
      <w:start w:val="1"/>
      <w:numFmt w:val="lowerRoman"/>
      <w:lvlText w:val="%3."/>
      <w:lvlJc w:val="right"/>
      <w:pPr>
        <w:ind w:left="2160" w:hanging="180"/>
      </w:pPr>
    </w:lvl>
    <w:lvl w:ilvl="3" w:tplc="674AE834">
      <w:start w:val="1"/>
      <w:numFmt w:val="decimal"/>
      <w:lvlText w:val="%4."/>
      <w:lvlJc w:val="left"/>
      <w:pPr>
        <w:ind w:left="2880" w:hanging="360"/>
      </w:pPr>
    </w:lvl>
    <w:lvl w:ilvl="4" w:tplc="8EA248E4">
      <w:start w:val="1"/>
      <w:numFmt w:val="lowerLetter"/>
      <w:lvlText w:val="%5."/>
      <w:lvlJc w:val="left"/>
      <w:pPr>
        <w:ind w:left="3600" w:hanging="360"/>
      </w:pPr>
    </w:lvl>
    <w:lvl w:ilvl="5" w:tplc="D5DABDDC">
      <w:start w:val="1"/>
      <w:numFmt w:val="lowerRoman"/>
      <w:lvlText w:val="%6."/>
      <w:lvlJc w:val="right"/>
      <w:pPr>
        <w:ind w:left="4320" w:hanging="180"/>
      </w:pPr>
    </w:lvl>
    <w:lvl w:ilvl="6" w:tplc="3B64DBFC">
      <w:start w:val="1"/>
      <w:numFmt w:val="decimal"/>
      <w:lvlText w:val="%7."/>
      <w:lvlJc w:val="left"/>
      <w:pPr>
        <w:ind w:left="5040" w:hanging="360"/>
      </w:pPr>
    </w:lvl>
    <w:lvl w:ilvl="7" w:tplc="09D2065A">
      <w:start w:val="1"/>
      <w:numFmt w:val="lowerLetter"/>
      <w:lvlText w:val="%8."/>
      <w:lvlJc w:val="left"/>
      <w:pPr>
        <w:ind w:left="5760" w:hanging="360"/>
      </w:pPr>
    </w:lvl>
    <w:lvl w:ilvl="8" w:tplc="0D4C5C00">
      <w:start w:val="1"/>
      <w:numFmt w:val="lowerRoman"/>
      <w:lvlText w:val="%9."/>
      <w:lvlJc w:val="right"/>
      <w:pPr>
        <w:ind w:left="6480" w:hanging="180"/>
      </w:pPr>
    </w:lvl>
  </w:abstractNum>
  <w:abstractNum w:abstractNumId="8" w15:restartNumberingAfterBreak="0">
    <w:nsid w:val="6381935D"/>
    <w:multiLevelType w:val="hybridMultilevel"/>
    <w:tmpl w:val="4C26B8C0"/>
    <w:lvl w:ilvl="0" w:tplc="28C2DF92">
      <w:start w:val="1"/>
      <w:numFmt w:val="bullet"/>
      <w:lvlText w:val=""/>
      <w:lvlJc w:val="left"/>
      <w:pPr>
        <w:ind w:left="720" w:hanging="360"/>
      </w:pPr>
      <w:rPr>
        <w:rFonts w:ascii="Symbol" w:hAnsi="Symbol" w:hint="default"/>
      </w:rPr>
    </w:lvl>
    <w:lvl w:ilvl="1" w:tplc="86305874">
      <w:start w:val="1"/>
      <w:numFmt w:val="bullet"/>
      <w:lvlText w:val="o"/>
      <w:lvlJc w:val="left"/>
      <w:pPr>
        <w:ind w:left="1440" w:hanging="360"/>
      </w:pPr>
      <w:rPr>
        <w:rFonts w:ascii="Courier New" w:hAnsi="Courier New" w:hint="default"/>
      </w:rPr>
    </w:lvl>
    <w:lvl w:ilvl="2" w:tplc="BDB420A0">
      <w:start w:val="1"/>
      <w:numFmt w:val="bullet"/>
      <w:lvlText w:val=""/>
      <w:lvlJc w:val="left"/>
      <w:pPr>
        <w:ind w:left="2160" w:hanging="360"/>
      </w:pPr>
      <w:rPr>
        <w:rFonts w:ascii="Wingdings" w:hAnsi="Wingdings" w:hint="default"/>
      </w:rPr>
    </w:lvl>
    <w:lvl w:ilvl="3" w:tplc="FA4AA934">
      <w:start w:val="1"/>
      <w:numFmt w:val="bullet"/>
      <w:lvlText w:val=""/>
      <w:lvlJc w:val="left"/>
      <w:pPr>
        <w:ind w:left="2880" w:hanging="360"/>
      </w:pPr>
      <w:rPr>
        <w:rFonts w:ascii="Symbol" w:hAnsi="Symbol" w:hint="default"/>
      </w:rPr>
    </w:lvl>
    <w:lvl w:ilvl="4" w:tplc="E23E0E62">
      <w:start w:val="1"/>
      <w:numFmt w:val="bullet"/>
      <w:lvlText w:val="o"/>
      <w:lvlJc w:val="left"/>
      <w:pPr>
        <w:ind w:left="3600" w:hanging="360"/>
      </w:pPr>
      <w:rPr>
        <w:rFonts w:ascii="Courier New" w:hAnsi="Courier New" w:hint="default"/>
      </w:rPr>
    </w:lvl>
    <w:lvl w:ilvl="5" w:tplc="1122898C">
      <w:start w:val="1"/>
      <w:numFmt w:val="bullet"/>
      <w:lvlText w:val=""/>
      <w:lvlJc w:val="left"/>
      <w:pPr>
        <w:ind w:left="4320" w:hanging="360"/>
      </w:pPr>
      <w:rPr>
        <w:rFonts w:ascii="Wingdings" w:hAnsi="Wingdings" w:hint="default"/>
      </w:rPr>
    </w:lvl>
    <w:lvl w:ilvl="6" w:tplc="3A485F62">
      <w:start w:val="1"/>
      <w:numFmt w:val="bullet"/>
      <w:lvlText w:val=""/>
      <w:lvlJc w:val="left"/>
      <w:pPr>
        <w:ind w:left="5040" w:hanging="360"/>
      </w:pPr>
      <w:rPr>
        <w:rFonts w:ascii="Symbol" w:hAnsi="Symbol" w:hint="default"/>
      </w:rPr>
    </w:lvl>
    <w:lvl w:ilvl="7" w:tplc="A5FA176A">
      <w:start w:val="1"/>
      <w:numFmt w:val="bullet"/>
      <w:lvlText w:val="o"/>
      <w:lvlJc w:val="left"/>
      <w:pPr>
        <w:ind w:left="5760" w:hanging="360"/>
      </w:pPr>
      <w:rPr>
        <w:rFonts w:ascii="Courier New" w:hAnsi="Courier New" w:hint="default"/>
      </w:rPr>
    </w:lvl>
    <w:lvl w:ilvl="8" w:tplc="922E78F6">
      <w:start w:val="1"/>
      <w:numFmt w:val="bullet"/>
      <w:lvlText w:val=""/>
      <w:lvlJc w:val="left"/>
      <w:pPr>
        <w:ind w:left="6480" w:hanging="360"/>
      </w:pPr>
      <w:rPr>
        <w:rFonts w:ascii="Wingdings" w:hAnsi="Wingdings" w:hint="default"/>
      </w:rPr>
    </w:lvl>
  </w:abstractNum>
  <w:abstractNum w:abstractNumId="9" w15:restartNumberingAfterBreak="0">
    <w:nsid w:val="67D92295"/>
    <w:multiLevelType w:val="hybridMultilevel"/>
    <w:tmpl w:val="0A7C7C3E"/>
    <w:lvl w:ilvl="0" w:tplc="BCB63DD4">
      <w:start w:val="1"/>
      <w:numFmt w:val="lowerRoman"/>
      <w:lvlText w:val="%1."/>
      <w:lvlJc w:val="left"/>
      <w:pPr>
        <w:ind w:left="720" w:hanging="360"/>
      </w:pPr>
    </w:lvl>
    <w:lvl w:ilvl="1" w:tplc="81669624">
      <w:start w:val="1"/>
      <w:numFmt w:val="lowerLetter"/>
      <w:lvlText w:val="%2."/>
      <w:lvlJc w:val="left"/>
      <w:pPr>
        <w:ind w:left="1440" w:hanging="360"/>
      </w:pPr>
    </w:lvl>
    <w:lvl w:ilvl="2" w:tplc="867241D4">
      <w:start w:val="1"/>
      <w:numFmt w:val="lowerRoman"/>
      <w:lvlText w:val="%3."/>
      <w:lvlJc w:val="right"/>
      <w:pPr>
        <w:ind w:left="2160" w:hanging="180"/>
      </w:pPr>
    </w:lvl>
    <w:lvl w:ilvl="3" w:tplc="BBD679B6">
      <w:start w:val="1"/>
      <w:numFmt w:val="decimal"/>
      <w:lvlText w:val="%4."/>
      <w:lvlJc w:val="left"/>
      <w:pPr>
        <w:ind w:left="2880" w:hanging="360"/>
      </w:pPr>
    </w:lvl>
    <w:lvl w:ilvl="4" w:tplc="B30A06A2">
      <w:start w:val="1"/>
      <w:numFmt w:val="lowerLetter"/>
      <w:lvlText w:val="%5."/>
      <w:lvlJc w:val="left"/>
      <w:pPr>
        <w:ind w:left="3600" w:hanging="360"/>
      </w:pPr>
    </w:lvl>
    <w:lvl w:ilvl="5" w:tplc="B984A3DC">
      <w:start w:val="1"/>
      <w:numFmt w:val="lowerRoman"/>
      <w:lvlText w:val="%6."/>
      <w:lvlJc w:val="right"/>
      <w:pPr>
        <w:ind w:left="4320" w:hanging="180"/>
      </w:pPr>
    </w:lvl>
    <w:lvl w:ilvl="6" w:tplc="CA48A790">
      <w:start w:val="1"/>
      <w:numFmt w:val="decimal"/>
      <w:lvlText w:val="%7."/>
      <w:lvlJc w:val="left"/>
      <w:pPr>
        <w:ind w:left="5040" w:hanging="360"/>
      </w:pPr>
    </w:lvl>
    <w:lvl w:ilvl="7" w:tplc="D968F21E">
      <w:start w:val="1"/>
      <w:numFmt w:val="lowerLetter"/>
      <w:lvlText w:val="%8."/>
      <w:lvlJc w:val="left"/>
      <w:pPr>
        <w:ind w:left="5760" w:hanging="360"/>
      </w:pPr>
    </w:lvl>
    <w:lvl w:ilvl="8" w:tplc="0A20A7DE">
      <w:start w:val="1"/>
      <w:numFmt w:val="lowerRoman"/>
      <w:lvlText w:val="%9."/>
      <w:lvlJc w:val="right"/>
      <w:pPr>
        <w:ind w:left="6480" w:hanging="180"/>
      </w:pPr>
    </w:lvl>
  </w:abstractNum>
  <w:abstractNum w:abstractNumId="10" w15:restartNumberingAfterBreak="0">
    <w:nsid w:val="69CBDB95"/>
    <w:multiLevelType w:val="hybridMultilevel"/>
    <w:tmpl w:val="D41829CC"/>
    <w:lvl w:ilvl="0" w:tplc="F6CA5C08">
      <w:start w:val="1"/>
      <w:numFmt w:val="bullet"/>
      <w:lvlText w:val=""/>
      <w:lvlJc w:val="left"/>
      <w:pPr>
        <w:ind w:left="720" w:hanging="360"/>
      </w:pPr>
      <w:rPr>
        <w:rFonts w:ascii="Symbol" w:hAnsi="Symbol" w:hint="default"/>
      </w:rPr>
    </w:lvl>
    <w:lvl w:ilvl="1" w:tplc="2B7C8018">
      <w:start w:val="1"/>
      <w:numFmt w:val="bullet"/>
      <w:lvlText w:val="o"/>
      <w:lvlJc w:val="left"/>
      <w:pPr>
        <w:ind w:left="1440" w:hanging="360"/>
      </w:pPr>
      <w:rPr>
        <w:rFonts w:ascii="Courier New" w:hAnsi="Courier New" w:hint="default"/>
      </w:rPr>
    </w:lvl>
    <w:lvl w:ilvl="2" w:tplc="7B145168">
      <w:start w:val="1"/>
      <w:numFmt w:val="bullet"/>
      <w:lvlText w:val=""/>
      <w:lvlJc w:val="left"/>
      <w:pPr>
        <w:ind w:left="2160" w:hanging="360"/>
      </w:pPr>
      <w:rPr>
        <w:rFonts w:ascii="Wingdings" w:hAnsi="Wingdings" w:hint="default"/>
      </w:rPr>
    </w:lvl>
    <w:lvl w:ilvl="3" w:tplc="6A7A32B6">
      <w:start w:val="1"/>
      <w:numFmt w:val="bullet"/>
      <w:lvlText w:val=""/>
      <w:lvlJc w:val="left"/>
      <w:pPr>
        <w:ind w:left="2880" w:hanging="360"/>
      </w:pPr>
      <w:rPr>
        <w:rFonts w:ascii="Symbol" w:hAnsi="Symbol" w:hint="default"/>
      </w:rPr>
    </w:lvl>
    <w:lvl w:ilvl="4" w:tplc="E870BB1C">
      <w:start w:val="1"/>
      <w:numFmt w:val="bullet"/>
      <w:lvlText w:val="o"/>
      <w:lvlJc w:val="left"/>
      <w:pPr>
        <w:ind w:left="3600" w:hanging="360"/>
      </w:pPr>
      <w:rPr>
        <w:rFonts w:ascii="Courier New" w:hAnsi="Courier New" w:hint="default"/>
      </w:rPr>
    </w:lvl>
    <w:lvl w:ilvl="5" w:tplc="B41410BA">
      <w:start w:val="1"/>
      <w:numFmt w:val="bullet"/>
      <w:lvlText w:val=""/>
      <w:lvlJc w:val="left"/>
      <w:pPr>
        <w:ind w:left="4320" w:hanging="360"/>
      </w:pPr>
      <w:rPr>
        <w:rFonts w:ascii="Wingdings" w:hAnsi="Wingdings" w:hint="default"/>
      </w:rPr>
    </w:lvl>
    <w:lvl w:ilvl="6" w:tplc="FEF0DFAE">
      <w:start w:val="1"/>
      <w:numFmt w:val="bullet"/>
      <w:lvlText w:val=""/>
      <w:lvlJc w:val="left"/>
      <w:pPr>
        <w:ind w:left="5040" w:hanging="360"/>
      </w:pPr>
      <w:rPr>
        <w:rFonts w:ascii="Symbol" w:hAnsi="Symbol" w:hint="default"/>
      </w:rPr>
    </w:lvl>
    <w:lvl w:ilvl="7" w:tplc="C3A65488">
      <w:start w:val="1"/>
      <w:numFmt w:val="bullet"/>
      <w:lvlText w:val="o"/>
      <w:lvlJc w:val="left"/>
      <w:pPr>
        <w:ind w:left="5760" w:hanging="360"/>
      </w:pPr>
      <w:rPr>
        <w:rFonts w:ascii="Courier New" w:hAnsi="Courier New" w:hint="default"/>
      </w:rPr>
    </w:lvl>
    <w:lvl w:ilvl="8" w:tplc="525868EC">
      <w:start w:val="1"/>
      <w:numFmt w:val="bullet"/>
      <w:lvlText w:val=""/>
      <w:lvlJc w:val="left"/>
      <w:pPr>
        <w:ind w:left="6480" w:hanging="360"/>
      </w:pPr>
      <w:rPr>
        <w:rFonts w:ascii="Wingdings" w:hAnsi="Wingdings" w:hint="default"/>
      </w:rPr>
    </w:lvl>
  </w:abstractNum>
  <w:abstractNum w:abstractNumId="11" w15:restartNumberingAfterBreak="0">
    <w:nsid w:val="7581BD87"/>
    <w:multiLevelType w:val="hybridMultilevel"/>
    <w:tmpl w:val="6C7EA01E"/>
    <w:lvl w:ilvl="0" w:tplc="3F423566">
      <w:start w:val="2"/>
      <w:numFmt w:val="lowerRoman"/>
      <w:lvlText w:val="%1."/>
      <w:lvlJc w:val="right"/>
      <w:pPr>
        <w:ind w:left="720" w:hanging="360"/>
      </w:pPr>
    </w:lvl>
    <w:lvl w:ilvl="1" w:tplc="1CDEF95E">
      <w:start w:val="1"/>
      <w:numFmt w:val="lowerLetter"/>
      <w:lvlText w:val="%2."/>
      <w:lvlJc w:val="left"/>
      <w:pPr>
        <w:ind w:left="1440" w:hanging="360"/>
      </w:pPr>
    </w:lvl>
    <w:lvl w:ilvl="2" w:tplc="2098EF36">
      <w:start w:val="1"/>
      <w:numFmt w:val="lowerRoman"/>
      <w:lvlText w:val="%3."/>
      <w:lvlJc w:val="right"/>
      <w:pPr>
        <w:ind w:left="2160" w:hanging="180"/>
      </w:pPr>
    </w:lvl>
    <w:lvl w:ilvl="3" w:tplc="883CE108">
      <w:start w:val="1"/>
      <w:numFmt w:val="decimal"/>
      <w:lvlText w:val="%4."/>
      <w:lvlJc w:val="left"/>
      <w:pPr>
        <w:ind w:left="2880" w:hanging="360"/>
      </w:pPr>
    </w:lvl>
    <w:lvl w:ilvl="4" w:tplc="ABE4E13C">
      <w:start w:val="1"/>
      <w:numFmt w:val="lowerLetter"/>
      <w:lvlText w:val="%5."/>
      <w:lvlJc w:val="left"/>
      <w:pPr>
        <w:ind w:left="3600" w:hanging="360"/>
      </w:pPr>
    </w:lvl>
    <w:lvl w:ilvl="5" w:tplc="70D641BA">
      <w:start w:val="1"/>
      <w:numFmt w:val="lowerRoman"/>
      <w:lvlText w:val="%6."/>
      <w:lvlJc w:val="right"/>
      <w:pPr>
        <w:ind w:left="4320" w:hanging="180"/>
      </w:pPr>
    </w:lvl>
    <w:lvl w:ilvl="6" w:tplc="0CF8FCEC">
      <w:start w:val="1"/>
      <w:numFmt w:val="decimal"/>
      <w:lvlText w:val="%7."/>
      <w:lvlJc w:val="left"/>
      <w:pPr>
        <w:ind w:left="5040" w:hanging="360"/>
      </w:pPr>
    </w:lvl>
    <w:lvl w:ilvl="7" w:tplc="A462ED88">
      <w:start w:val="1"/>
      <w:numFmt w:val="lowerLetter"/>
      <w:lvlText w:val="%8."/>
      <w:lvlJc w:val="left"/>
      <w:pPr>
        <w:ind w:left="5760" w:hanging="360"/>
      </w:pPr>
    </w:lvl>
    <w:lvl w:ilvl="8" w:tplc="08668FBE">
      <w:start w:val="1"/>
      <w:numFmt w:val="lowerRoman"/>
      <w:lvlText w:val="%9."/>
      <w:lvlJc w:val="right"/>
      <w:pPr>
        <w:ind w:left="6480" w:hanging="180"/>
      </w:pPr>
    </w:lvl>
  </w:abstractNum>
  <w:abstractNum w:abstractNumId="12" w15:restartNumberingAfterBreak="0">
    <w:nsid w:val="7A152CB0"/>
    <w:multiLevelType w:val="hybridMultilevel"/>
    <w:tmpl w:val="03B4846E"/>
    <w:lvl w:ilvl="0" w:tplc="E59C1D80">
      <w:start w:val="1"/>
      <w:numFmt w:val="bullet"/>
      <w:lvlText w:val=""/>
      <w:lvlJc w:val="left"/>
      <w:pPr>
        <w:ind w:left="720" w:hanging="360"/>
      </w:pPr>
      <w:rPr>
        <w:rFonts w:ascii="Symbol" w:hAnsi="Symbol" w:hint="default"/>
      </w:rPr>
    </w:lvl>
    <w:lvl w:ilvl="1" w:tplc="02F4BD0C">
      <w:start w:val="1"/>
      <w:numFmt w:val="bullet"/>
      <w:lvlText w:val="o"/>
      <w:lvlJc w:val="left"/>
      <w:pPr>
        <w:ind w:left="1440" w:hanging="360"/>
      </w:pPr>
      <w:rPr>
        <w:rFonts w:ascii="Courier New" w:hAnsi="Courier New" w:hint="default"/>
      </w:rPr>
    </w:lvl>
    <w:lvl w:ilvl="2" w:tplc="270C7A2A">
      <w:start w:val="1"/>
      <w:numFmt w:val="bullet"/>
      <w:lvlText w:val=""/>
      <w:lvlJc w:val="left"/>
      <w:pPr>
        <w:ind w:left="2160" w:hanging="360"/>
      </w:pPr>
      <w:rPr>
        <w:rFonts w:ascii="Wingdings" w:hAnsi="Wingdings" w:hint="default"/>
      </w:rPr>
    </w:lvl>
    <w:lvl w:ilvl="3" w:tplc="062ACDE2">
      <w:start w:val="1"/>
      <w:numFmt w:val="bullet"/>
      <w:lvlText w:val=""/>
      <w:lvlJc w:val="left"/>
      <w:pPr>
        <w:ind w:left="2880" w:hanging="360"/>
      </w:pPr>
      <w:rPr>
        <w:rFonts w:ascii="Symbol" w:hAnsi="Symbol" w:hint="default"/>
      </w:rPr>
    </w:lvl>
    <w:lvl w:ilvl="4" w:tplc="E5B292FE">
      <w:start w:val="1"/>
      <w:numFmt w:val="bullet"/>
      <w:lvlText w:val="o"/>
      <w:lvlJc w:val="left"/>
      <w:pPr>
        <w:ind w:left="3600" w:hanging="360"/>
      </w:pPr>
      <w:rPr>
        <w:rFonts w:ascii="Courier New" w:hAnsi="Courier New" w:hint="default"/>
      </w:rPr>
    </w:lvl>
    <w:lvl w:ilvl="5" w:tplc="7FB0E648">
      <w:start w:val="1"/>
      <w:numFmt w:val="bullet"/>
      <w:lvlText w:val=""/>
      <w:lvlJc w:val="left"/>
      <w:pPr>
        <w:ind w:left="4320" w:hanging="360"/>
      </w:pPr>
      <w:rPr>
        <w:rFonts w:ascii="Wingdings" w:hAnsi="Wingdings" w:hint="default"/>
      </w:rPr>
    </w:lvl>
    <w:lvl w:ilvl="6" w:tplc="D8780FB0">
      <w:start w:val="1"/>
      <w:numFmt w:val="bullet"/>
      <w:lvlText w:val=""/>
      <w:lvlJc w:val="left"/>
      <w:pPr>
        <w:ind w:left="5040" w:hanging="360"/>
      </w:pPr>
      <w:rPr>
        <w:rFonts w:ascii="Symbol" w:hAnsi="Symbol" w:hint="default"/>
      </w:rPr>
    </w:lvl>
    <w:lvl w:ilvl="7" w:tplc="496C1438">
      <w:start w:val="1"/>
      <w:numFmt w:val="bullet"/>
      <w:lvlText w:val="o"/>
      <w:lvlJc w:val="left"/>
      <w:pPr>
        <w:ind w:left="5760" w:hanging="360"/>
      </w:pPr>
      <w:rPr>
        <w:rFonts w:ascii="Courier New" w:hAnsi="Courier New" w:hint="default"/>
      </w:rPr>
    </w:lvl>
    <w:lvl w:ilvl="8" w:tplc="044AC6C8">
      <w:start w:val="1"/>
      <w:numFmt w:val="bullet"/>
      <w:lvlText w:val=""/>
      <w:lvlJc w:val="left"/>
      <w:pPr>
        <w:ind w:left="6480" w:hanging="360"/>
      </w:pPr>
      <w:rPr>
        <w:rFonts w:ascii="Wingdings" w:hAnsi="Wingdings" w:hint="default"/>
      </w:rPr>
    </w:lvl>
  </w:abstractNum>
  <w:abstractNum w:abstractNumId="13" w15:restartNumberingAfterBreak="0">
    <w:nsid w:val="7B09CDEC"/>
    <w:multiLevelType w:val="hybridMultilevel"/>
    <w:tmpl w:val="02BAFB70"/>
    <w:lvl w:ilvl="0" w:tplc="AD0C17D2">
      <w:start w:val="1"/>
      <w:numFmt w:val="lowerRoman"/>
      <w:lvlText w:val="%1."/>
      <w:lvlJc w:val="right"/>
      <w:pPr>
        <w:ind w:left="720" w:hanging="360"/>
      </w:pPr>
    </w:lvl>
    <w:lvl w:ilvl="1" w:tplc="561CC0E8">
      <w:start w:val="1"/>
      <w:numFmt w:val="lowerLetter"/>
      <w:lvlText w:val="%2."/>
      <w:lvlJc w:val="left"/>
      <w:pPr>
        <w:ind w:left="1440" w:hanging="360"/>
      </w:pPr>
    </w:lvl>
    <w:lvl w:ilvl="2" w:tplc="FCB677A8">
      <w:start w:val="1"/>
      <w:numFmt w:val="lowerRoman"/>
      <w:lvlText w:val="%3."/>
      <w:lvlJc w:val="right"/>
      <w:pPr>
        <w:ind w:left="2160" w:hanging="180"/>
      </w:pPr>
    </w:lvl>
    <w:lvl w:ilvl="3" w:tplc="00622384">
      <w:start w:val="1"/>
      <w:numFmt w:val="decimal"/>
      <w:lvlText w:val="%4."/>
      <w:lvlJc w:val="left"/>
      <w:pPr>
        <w:ind w:left="2880" w:hanging="360"/>
      </w:pPr>
    </w:lvl>
    <w:lvl w:ilvl="4" w:tplc="E37A7196">
      <w:start w:val="1"/>
      <w:numFmt w:val="lowerLetter"/>
      <w:lvlText w:val="%5."/>
      <w:lvlJc w:val="left"/>
      <w:pPr>
        <w:ind w:left="3600" w:hanging="360"/>
      </w:pPr>
    </w:lvl>
    <w:lvl w:ilvl="5" w:tplc="1E62E670">
      <w:start w:val="1"/>
      <w:numFmt w:val="lowerRoman"/>
      <w:lvlText w:val="%6."/>
      <w:lvlJc w:val="right"/>
      <w:pPr>
        <w:ind w:left="4320" w:hanging="180"/>
      </w:pPr>
    </w:lvl>
    <w:lvl w:ilvl="6" w:tplc="F89ABE9A">
      <w:start w:val="1"/>
      <w:numFmt w:val="decimal"/>
      <w:lvlText w:val="%7."/>
      <w:lvlJc w:val="left"/>
      <w:pPr>
        <w:ind w:left="5040" w:hanging="360"/>
      </w:pPr>
    </w:lvl>
    <w:lvl w:ilvl="7" w:tplc="B37079AE">
      <w:start w:val="1"/>
      <w:numFmt w:val="lowerLetter"/>
      <w:lvlText w:val="%8."/>
      <w:lvlJc w:val="left"/>
      <w:pPr>
        <w:ind w:left="5760" w:hanging="360"/>
      </w:pPr>
    </w:lvl>
    <w:lvl w:ilvl="8" w:tplc="A934AC78">
      <w:start w:val="1"/>
      <w:numFmt w:val="lowerRoman"/>
      <w:lvlText w:val="%9."/>
      <w:lvlJc w:val="right"/>
      <w:pPr>
        <w:ind w:left="6480" w:hanging="180"/>
      </w:pPr>
    </w:lvl>
  </w:abstractNum>
  <w:abstractNum w:abstractNumId="14" w15:restartNumberingAfterBreak="0">
    <w:nsid w:val="7C477975"/>
    <w:multiLevelType w:val="multilevel"/>
    <w:tmpl w:val="C53ADE18"/>
    <w:lvl w:ilvl="0">
      <w:start w:val="1"/>
      <w:numFmt w:val="decimal"/>
      <w:pStyle w:val="GS1"/>
      <w:suff w:val="space"/>
      <w:lvlText w:val="%1."/>
      <w:lvlJc w:val="center"/>
      <w:pPr>
        <w:ind w:left="0" w:firstLine="0"/>
      </w:pPr>
      <w:rPr>
        <w:rFonts w:hint="default"/>
      </w:rPr>
    </w:lvl>
    <w:lvl w:ilvl="1">
      <w:start w:val="1"/>
      <w:numFmt w:val="decimal"/>
      <w:pStyle w:val="GS2"/>
      <w:suff w:val="space"/>
      <w:lvlText w:val="%1.%2."/>
      <w:lvlJc w:val="center"/>
      <w:pPr>
        <w:ind w:left="0" w:firstLine="0"/>
      </w:pPr>
      <w:rPr>
        <w:rFonts w:hint="default"/>
      </w:rPr>
    </w:lvl>
    <w:lvl w:ilvl="2">
      <w:start w:val="1"/>
      <w:numFmt w:val="decimal"/>
      <w:pStyle w:val="GS3"/>
      <w:suff w:val="space"/>
      <w:lvlText w:val="%1.%2.%3."/>
      <w:lvlJc w:val="left"/>
      <w:pPr>
        <w:ind w:left="0" w:firstLine="0"/>
      </w:pPr>
      <w:rPr>
        <w:rFonts w:hint="default"/>
      </w:rPr>
    </w:lvl>
    <w:lvl w:ilvl="3">
      <w:start w:val="1"/>
      <w:numFmt w:val="decimal"/>
      <w:pStyle w:val="GS4"/>
      <w:suff w:val="space"/>
      <w:lvlText w:val="%1.%2.%3.%4."/>
      <w:lvlJc w:val="left"/>
      <w:pPr>
        <w:ind w:left="0" w:firstLine="0"/>
      </w:pPr>
      <w:rPr>
        <w:rFonts w:hint="default"/>
      </w:rPr>
    </w:lvl>
    <w:lvl w:ilvl="4">
      <w:start w:val="1"/>
      <w:numFmt w:val="decimal"/>
      <w:pStyle w:val="GS5"/>
      <w:suff w:val="space"/>
      <w:lvlText w:val="%1.%2.%3.%4.%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2"/>
  </w:num>
  <w:num w:numId="3">
    <w:abstractNumId w:val="3"/>
  </w:num>
  <w:num w:numId="4">
    <w:abstractNumId w:val="0"/>
  </w:num>
  <w:num w:numId="5">
    <w:abstractNumId w:val="7"/>
  </w:num>
  <w:num w:numId="6">
    <w:abstractNumId w:val="13"/>
  </w:num>
  <w:num w:numId="7">
    <w:abstractNumId w:val="9"/>
  </w:num>
  <w:num w:numId="8">
    <w:abstractNumId w:val="11"/>
  </w:num>
  <w:num w:numId="9">
    <w:abstractNumId w:val="1"/>
  </w:num>
  <w:num w:numId="10">
    <w:abstractNumId w:val="5"/>
  </w:num>
  <w:num w:numId="11">
    <w:abstractNumId w:val="8"/>
  </w:num>
  <w:num w:numId="12">
    <w:abstractNumId w:val="1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DB0"/>
    <w:rsid w:val="001F53D2"/>
    <w:rsid w:val="002E2DB0"/>
    <w:rsid w:val="003D0233"/>
    <w:rsid w:val="003E0C2E"/>
    <w:rsid w:val="005579B6"/>
    <w:rsid w:val="00562AE0"/>
    <w:rsid w:val="006D3118"/>
    <w:rsid w:val="007202C8"/>
    <w:rsid w:val="00A505FA"/>
    <w:rsid w:val="00AC2220"/>
    <w:rsid w:val="00B35B13"/>
    <w:rsid w:val="00B731EC"/>
    <w:rsid w:val="00BF188E"/>
    <w:rsid w:val="00CB44A5"/>
    <w:rsid w:val="00D75DB0"/>
    <w:rsid w:val="00DB4AA6"/>
    <w:rsid w:val="00FE261C"/>
    <w:rsid w:val="010E4DA9"/>
    <w:rsid w:val="051D3D36"/>
    <w:rsid w:val="059B3446"/>
    <w:rsid w:val="0A5A6F45"/>
    <w:rsid w:val="0DECD0B1"/>
    <w:rsid w:val="0E4C20CA"/>
    <w:rsid w:val="0E57C224"/>
    <w:rsid w:val="0FDD2EB1"/>
    <w:rsid w:val="102D03F3"/>
    <w:rsid w:val="1174B984"/>
    <w:rsid w:val="129292D5"/>
    <w:rsid w:val="1A90EC14"/>
    <w:rsid w:val="1B5F63C9"/>
    <w:rsid w:val="1C55E943"/>
    <w:rsid w:val="1E2AE34A"/>
    <w:rsid w:val="1E46BC7A"/>
    <w:rsid w:val="20B681A7"/>
    <w:rsid w:val="210BFCA0"/>
    <w:rsid w:val="28020C58"/>
    <w:rsid w:val="2AD35462"/>
    <w:rsid w:val="2BBF4672"/>
    <w:rsid w:val="2C29B25E"/>
    <w:rsid w:val="2C437894"/>
    <w:rsid w:val="2C6C0D0D"/>
    <w:rsid w:val="2EF9AE31"/>
    <w:rsid w:val="318E9751"/>
    <w:rsid w:val="387FAA92"/>
    <w:rsid w:val="39684F38"/>
    <w:rsid w:val="3B110018"/>
    <w:rsid w:val="3CE5E57E"/>
    <w:rsid w:val="3E8F9DDB"/>
    <w:rsid w:val="40AD948C"/>
    <w:rsid w:val="41E9B20A"/>
    <w:rsid w:val="43B7864F"/>
    <w:rsid w:val="452152CC"/>
    <w:rsid w:val="4700EB2C"/>
    <w:rsid w:val="4763A42D"/>
    <w:rsid w:val="489F7E14"/>
    <w:rsid w:val="4A3B4E75"/>
    <w:rsid w:val="4CF105FB"/>
    <w:rsid w:val="4D454038"/>
    <w:rsid w:val="4D72EF37"/>
    <w:rsid w:val="4F0EBF98"/>
    <w:rsid w:val="54688AC8"/>
    <w:rsid w:val="54BCCB51"/>
    <w:rsid w:val="5612112C"/>
    <w:rsid w:val="57F46C13"/>
    <w:rsid w:val="59903C74"/>
    <w:rsid w:val="5EA66BDB"/>
    <w:rsid w:val="5F2A0E61"/>
    <w:rsid w:val="63517ADC"/>
    <w:rsid w:val="635A123A"/>
    <w:rsid w:val="640BCE59"/>
    <w:rsid w:val="6603D443"/>
    <w:rsid w:val="6676AD02"/>
    <w:rsid w:val="67DAB306"/>
    <w:rsid w:val="68CDADD2"/>
    <w:rsid w:val="69EE329B"/>
    <w:rsid w:val="6A28AC33"/>
    <w:rsid w:val="6B4A1E25"/>
    <w:rsid w:val="6BD80368"/>
    <w:rsid w:val="6EB01214"/>
    <w:rsid w:val="709862C9"/>
    <w:rsid w:val="71B95FA9"/>
    <w:rsid w:val="73EC02A1"/>
    <w:rsid w:val="74CE396D"/>
    <w:rsid w:val="75E642DC"/>
    <w:rsid w:val="768C8754"/>
    <w:rsid w:val="76B0CAA4"/>
    <w:rsid w:val="78875328"/>
    <w:rsid w:val="7A7C0AF6"/>
    <w:rsid w:val="7DD6ACE6"/>
    <w:rsid w:val="7F024582"/>
    <w:rsid w:val="7F53F9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C3A47"/>
  <w15:chartTrackingRefBased/>
  <w15:docId w15:val="{98676774-AC10-42C7-83B9-0DFBE336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2E2DB0"/>
    <w:pPr>
      <w:spacing w:after="0" w:line="240" w:lineRule="auto"/>
    </w:pPr>
    <w:rPr>
      <w:rFonts w:ascii="Calibri" w:eastAsiaTheme="minorEastAsia" w:hAnsi="Calibri" w:cs="Calibri"/>
      <w:kern w:val="0"/>
      <w14:ligatures w14:val="none"/>
    </w:rPr>
  </w:style>
  <w:style w:type="paragraph" w:styleId="ListParagraph">
    <w:name w:val="List Paragraph"/>
    <w:basedOn w:val="Normal"/>
    <w:uiPriority w:val="34"/>
    <w:qFormat/>
    <w:rsid w:val="002E2DB0"/>
    <w:pPr>
      <w:spacing w:line="256" w:lineRule="auto"/>
      <w:ind w:left="720"/>
      <w:contextualSpacing/>
    </w:pPr>
    <w:rPr>
      <w:kern w:val="0"/>
      <w14:ligatures w14:val="none"/>
    </w:rPr>
  </w:style>
  <w:style w:type="paragraph" w:styleId="Header">
    <w:name w:val="header"/>
    <w:basedOn w:val="Normal"/>
    <w:link w:val="HeaderChar"/>
    <w:uiPriority w:val="99"/>
    <w:unhideWhenUsed/>
    <w:rsid w:val="00CB44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44A5"/>
  </w:style>
  <w:style w:type="paragraph" w:styleId="Footer">
    <w:name w:val="footer"/>
    <w:basedOn w:val="Normal"/>
    <w:link w:val="FooterChar"/>
    <w:uiPriority w:val="99"/>
    <w:unhideWhenUsed/>
    <w:rsid w:val="00CB44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44A5"/>
  </w:style>
  <w:style w:type="paragraph" w:customStyle="1" w:styleId="Text">
    <w:name w:val="Text"/>
    <w:link w:val="Text0"/>
    <w:uiPriority w:val="10"/>
    <w:qFormat/>
    <w:rsid w:val="00CB44A5"/>
    <w:pPr>
      <w:spacing w:after="0" w:line="240" w:lineRule="auto"/>
      <w:ind w:firstLineChars="200" w:firstLine="200"/>
      <w:jc w:val="both"/>
    </w:pPr>
    <w:rPr>
      <w:rFonts w:ascii="Times New Roman" w:eastAsia="Times New Roman" w:hAnsi="Times New Roman" w:cs="Times New Roman"/>
      <w:snapToGrid w:val="0"/>
      <w:color w:val="000000"/>
      <w:kern w:val="0"/>
      <w:sz w:val="21"/>
      <w:szCs w:val="28"/>
      <w:lang w:eastAsia="de-DE" w:bidi="en-US"/>
      <w14:ligatures w14:val="none"/>
    </w:rPr>
  </w:style>
  <w:style w:type="character" w:customStyle="1" w:styleId="Text0">
    <w:name w:val="Text 字符"/>
    <w:basedOn w:val="DefaultParagraphFont"/>
    <w:link w:val="Text"/>
    <w:uiPriority w:val="10"/>
    <w:rsid w:val="00CB44A5"/>
    <w:rPr>
      <w:rFonts w:ascii="Times New Roman" w:eastAsia="Times New Roman" w:hAnsi="Times New Roman" w:cs="Times New Roman"/>
      <w:snapToGrid w:val="0"/>
      <w:color w:val="000000"/>
      <w:kern w:val="0"/>
      <w:sz w:val="21"/>
      <w:szCs w:val="28"/>
      <w:lang w:eastAsia="de-DE" w:bidi="en-US"/>
      <w14:ligatures w14:val="none"/>
    </w:rPr>
  </w:style>
  <w:style w:type="paragraph" w:customStyle="1" w:styleId="BodyDoubleSpace05FirstLine">
    <w:name w:val="Body Double Space 0.5 First Line"/>
    <w:basedOn w:val="Normal"/>
    <w:qFormat/>
    <w:rsid w:val="006D3118"/>
    <w:pPr>
      <w:spacing w:after="0" w:line="480" w:lineRule="auto"/>
      <w:ind w:firstLine="720"/>
    </w:pPr>
    <w:rPr>
      <w:rFonts w:ascii="Times New Roman" w:eastAsia="Calibri" w:hAnsi="Times New Roman" w:cs="Times New Roman"/>
      <w:kern w:val="0"/>
      <w:sz w:val="24"/>
      <w14:ligatures w14:val="none"/>
    </w:rPr>
  </w:style>
  <w:style w:type="paragraph" w:customStyle="1" w:styleId="GS1">
    <w:name w:val="GS1"/>
    <w:basedOn w:val="Normal"/>
    <w:next w:val="BodyDoubleSpace05FirstLine"/>
    <w:qFormat/>
    <w:rsid w:val="006D3118"/>
    <w:pPr>
      <w:keepNext/>
      <w:keepLines/>
      <w:numPr>
        <w:numId w:val="15"/>
      </w:numPr>
      <w:spacing w:after="0" w:line="480" w:lineRule="auto"/>
      <w:jc w:val="center"/>
    </w:pPr>
    <w:rPr>
      <w:rFonts w:ascii="Times New Roman" w:eastAsia="Calibri" w:hAnsi="Times New Roman" w:cs="Times New Roman"/>
      <w:b/>
      <w:kern w:val="0"/>
      <w:sz w:val="24"/>
      <w14:ligatures w14:val="none"/>
    </w:rPr>
  </w:style>
  <w:style w:type="paragraph" w:customStyle="1" w:styleId="GS2">
    <w:name w:val="GS2"/>
    <w:basedOn w:val="Normal"/>
    <w:next w:val="BodyDoubleSpace05FirstLine"/>
    <w:qFormat/>
    <w:rsid w:val="006D3118"/>
    <w:pPr>
      <w:keepNext/>
      <w:keepLines/>
      <w:numPr>
        <w:ilvl w:val="1"/>
        <w:numId w:val="15"/>
      </w:numPr>
      <w:spacing w:after="0" w:line="480" w:lineRule="auto"/>
      <w:jc w:val="center"/>
    </w:pPr>
    <w:rPr>
      <w:rFonts w:ascii="Times New Roman" w:eastAsia="Calibri" w:hAnsi="Times New Roman" w:cs="Times New Roman"/>
      <w:b/>
      <w:kern w:val="0"/>
      <w:sz w:val="24"/>
      <w14:ligatures w14:val="none"/>
    </w:rPr>
  </w:style>
  <w:style w:type="paragraph" w:customStyle="1" w:styleId="GS3">
    <w:name w:val="GS3"/>
    <w:basedOn w:val="Normal"/>
    <w:next w:val="BodyDoubleSpace05FirstLine"/>
    <w:qFormat/>
    <w:rsid w:val="006D3118"/>
    <w:pPr>
      <w:keepNext/>
      <w:keepLines/>
      <w:numPr>
        <w:ilvl w:val="2"/>
        <w:numId w:val="15"/>
      </w:numPr>
      <w:spacing w:after="0" w:line="480" w:lineRule="auto"/>
    </w:pPr>
    <w:rPr>
      <w:rFonts w:ascii="Times New Roman" w:eastAsia="Calibri" w:hAnsi="Times New Roman" w:cs="Times New Roman"/>
      <w:b/>
      <w:kern w:val="0"/>
      <w:sz w:val="24"/>
      <w14:ligatures w14:val="none"/>
    </w:rPr>
  </w:style>
  <w:style w:type="paragraph" w:customStyle="1" w:styleId="GS4">
    <w:name w:val="GS4"/>
    <w:basedOn w:val="Normal"/>
    <w:next w:val="BodyDoubleSpace05FirstLine"/>
    <w:qFormat/>
    <w:rsid w:val="006D3118"/>
    <w:pPr>
      <w:keepNext/>
      <w:keepLines/>
      <w:numPr>
        <w:ilvl w:val="3"/>
        <w:numId w:val="15"/>
      </w:numPr>
      <w:spacing w:after="0" w:line="480" w:lineRule="auto"/>
    </w:pPr>
    <w:rPr>
      <w:rFonts w:ascii="Times New Roman" w:eastAsia="Calibri" w:hAnsi="Times New Roman" w:cs="Times New Roman"/>
      <w:b/>
      <w:i/>
      <w:kern w:val="0"/>
      <w:sz w:val="24"/>
      <w14:ligatures w14:val="none"/>
    </w:rPr>
  </w:style>
  <w:style w:type="paragraph" w:customStyle="1" w:styleId="GS5">
    <w:name w:val="GS5"/>
    <w:basedOn w:val="Normal"/>
    <w:next w:val="BodyDoubleSpace05FirstLine"/>
    <w:qFormat/>
    <w:rsid w:val="006D3118"/>
    <w:pPr>
      <w:keepNext/>
      <w:keepLines/>
      <w:numPr>
        <w:ilvl w:val="4"/>
        <w:numId w:val="15"/>
      </w:numPr>
      <w:spacing w:after="0" w:line="480" w:lineRule="auto"/>
    </w:pPr>
    <w:rPr>
      <w:rFonts w:ascii="Times New Roman" w:eastAsia="Calibri" w:hAnsi="Times New Roman" w:cs="Times New Roman"/>
      <w:i/>
      <w:kern w:val="0"/>
      <w:sz w:val="24"/>
      <w14:ligatures w14:val="none"/>
    </w:rPr>
  </w:style>
  <w:style w:type="paragraph" w:customStyle="1" w:styleId="Figuretitle">
    <w:name w:val="Figure title"/>
    <w:basedOn w:val="Normal"/>
    <w:qFormat/>
    <w:rsid w:val="006D3118"/>
    <w:pPr>
      <w:tabs>
        <w:tab w:val="left" w:pos="1080"/>
      </w:tabs>
      <w:spacing w:after="0" w:line="240" w:lineRule="auto"/>
    </w:pPr>
    <w:rPr>
      <w:rFonts w:ascii="Times New Roman" w:eastAsia="Calibri" w:hAnsi="Times New Roman" w:cs="Times New Roman"/>
      <w:kern w:val="0"/>
      <w:sz w:val="24"/>
      <w14:ligatures w14:val="none"/>
    </w:rPr>
  </w:style>
  <w:style w:type="paragraph" w:styleId="Bibliography">
    <w:name w:val="Bibliography"/>
    <w:basedOn w:val="Normal"/>
    <w:next w:val="Normal"/>
    <w:uiPriority w:val="37"/>
    <w:unhideWhenUsed/>
    <w:rsid w:val="006D3118"/>
    <w:pPr>
      <w:spacing w:after="0" w:line="480" w:lineRule="auto"/>
      <w:ind w:left="720" w:hanging="720"/>
    </w:pPr>
  </w:style>
  <w:style w:type="character" w:styleId="PageNumber">
    <w:name w:val="page number"/>
    <w:basedOn w:val="DefaultParagraphFont"/>
    <w:uiPriority w:val="99"/>
    <w:semiHidden/>
    <w:unhideWhenUsed/>
    <w:rsid w:val="001F5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3221417">
      <w:bodyDiv w:val="1"/>
      <w:marLeft w:val="0"/>
      <w:marRight w:val="0"/>
      <w:marTop w:val="0"/>
      <w:marBottom w:val="0"/>
      <w:divBdr>
        <w:top w:val="none" w:sz="0" w:space="0" w:color="auto"/>
        <w:left w:val="none" w:sz="0" w:space="0" w:color="auto"/>
        <w:bottom w:val="none" w:sz="0" w:space="0" w:color="auto"/>
        <w:right w:val="none" w:sz="0" w:space="0" w:color="auto"/>
      </w:divBdr>
    </w:div>
    <w:div w:id="148492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https://ndusbpos-my.sharepoint.com/personal/ibrahim_bello_ndus_edu/Documents/PhD_Lab%20research_wor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dusbpos-my.sharepoint.com/personal/ibrahim_bello_ndus_edu/Documents/PhD_Lab%20research_wor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dusbpos-my.sharepoint.com/personal/ibrahim_bello_ndus_edu/Documents/PhD_Lab%20research_work.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dusbpos-my.sharepoint.com/personal/ibrahim_bello_ndus_edu/Documents/PhD_Lab%20research_wor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1.xml"/><Relationship Id="rId4" Type="http://schemas.openxmlformats.org/officeDocument/2006/relationships/oleObject" Target="https://ndusbpos-my.sharepoint.com/personal/ibrahim_bello_ndus_edu/Documents/PhD_Lab%20research_work.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https://ndusbpos-my.sharepoint.com/personal/ibrahim_bello_ndus_edu/Documents/PhD_Lab%20research_work.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30580125700756"/>
          <c:y val="3.8137085591660347E-2"/>
          <c:w val="0.75672030050583061"/>
          <c:h val="0.76883512237550233"/>
        </c:manualLayout>
      </c:layout>
      <c:lineChart>
        <c:grouping val="standard"/>
        <c:varyColors val="0"/>
        <c:ser>
          <c:idx val="0"/>
          <c:order val="0"/>
          <c:tx>
            <c:strRef>
              <c:f>'Alkalinity strength test'!$C$170</c:f>
              <c:strCache>
                <c:ptCount val="1"/>
                <c:pt idx="0">
                  <c:v>pH 7</c:v>
                </c:pt>
              </c:strCache>
            </c:strRef>
          </c:tx>
          <c:spPr>
            <a:ln w="28575" cap="rnd">
              <a:solidFill>
                <a:schemeClr val="tx1"/>
              </a:solidFill>
              <a:round/>
            </a:ln>
            <a:effectLst/>
          </c:spPr>
          <c:marker>
            <c:symbol val="none"/>
          </c:marker>
          <c:errBars>
            <c:errDir val="y"/>
            <c:errBarType val="both"/>
            <c:errValType val="cust"/>
            <c:noEndCap val="0"/>
            <c:plus>
              <c:numRef>
                <c:f>'Alkalinity strength test'!$D$187:$L$187</c:f>
                <c:numCache>
                  <c:formatCode>General</c:formatCode>
                  <c:ptCount val="9"/>
                  <c:pt idx="0">
                    <c:v>5.5719999999999999E-2</c:v>
                  </c:pt>
                  <c:pt idx="1">
                    <c:v>6.3966666666666727E-2</c:v>
                  </c:pt>
                  <c:pt idx="2">
                    <c:v>7.8316666666666646E-2</c:v>
                  </c:pt>
                  <c:pt idx="3">
                    <c:v>2.7000000000000191E-2</c:v>
                  </c:pt>
                  <c:pt idx="4">
                    <c:v>6.383333333333352E-3</c:v>
                  </c:pt>
                  <c:pt idx="5">
                    <c:v>3.3899999999999986E-2</c:v>
                  </c:pt>
                  <c:pt idx="6">
                    <c:v>9.2950000000000074E-2</c:v>
                  </c:pt>
                  <c:pt idx="7">
                    <c:v>7.3000000000000287E-3</c:v>
                  </c:pt>
                  <c:pt idx="8">
                    <c:v>5.831666666666703E-2</c:v>
                  </c:pt>
                </c:numCache>
              </c:numRef>
            </c:plus>
            <c:minus>
              <c:numRef>
                <c:f>'Alkalinity strength test'!$D$187:$L$187</c:f>
                <c:numCache>
                  <c:formatCode>General</c:formatCode>
                  <c:ptCount val="9"/>
                  <c:pt idx="0">
                    <c:v>5.5719999999999999E-2</c:v>
                  </c:pt>
                  <c:pt idx="1">
                    <c:v>6.3966666666666727E-2</c:v>
                  </c:pt>
                  <c:pt idx="2">
                    <c:v>7.8316666666666646E-2</c:v>
                  </c:pt>
                  <c:pt idx="3">
                    <c:v>2.7000000000000191E-2</c:v>
                  </c:pt>
                  <c:pt idx="4">
                    <c:v>6.383333333333352E-3</c:v>
                  </c:pt>
                  <c:pt idx="5">
                    <c:v>3.3899999999999986E-2</c:v>
                  </c:pt>
                  <c:pt idx="6">
                    <c:v>9.2950000000000074E-2</c:v>
                  </c:pt>
                  <c:pt idx="7">
                    <c:v>7.3000000000000287E-3</c:v>
                  </c:pt>
                  <c:pt idx="8">
                    <c:v>5.831666666666703E-2</c:v>
                  </c:pt>
                </c:numCache>
              </c:numRef>
            </c:minus>
            <c:spPr>
              <a:noFill/>
              <a:ln w="9525" cap="flat" cmpd="sng" algn="ctr">
                <a:solidFill>
                  <a:schemeClr val="tx1">
                    <a:lumMod val="65000"/>
                    <a:lumOff val="35000"/>
                  </a:schemeClr>
                </a:solidFill>
                <a:round/>
              </a:ln>
              <a:effectLst/>
            </c:spPr>
          </c:errBars>
          <c:cat>
            <c:strRef>
              <c:f>'Alkalinity strength test'!$D$168:$L$169</c:f>
              <c:strCache>
                <c:ptCount val="9"/>
                <c:pt idx="0">
                  <c:v>12</c:v>
                </c:pt>
                <c:pt idx="1">
                  <c:v>24</c:v>
                </c:pt>
                <c:pt idx="2">
                  <c:v>36</c:v>
                </c:pt>
                <c:pt idx="3">
                  <c:v>48</c:v>
                </c:pt>
                <c:pt idx="4">
                  <c:v>72</c:v>
                </c:pt>
                <c:pt idx="5">
                  <c:v>96</c:v>
                </c:pt>
                <c:pt idx="6">
                  <c:v>120</c:v>
                </c:pt>
                <c:pt idx="7">
                  <c:v>144</c:v>
                </c:pt>
                <c:pt idx="8">
                  <c:v>168</c:v>
                </c:pt>
              </c:strCache>
            </c:strRef>
          </c:cat>
          <c:val>
            <c:numRef>
              <c:f>'Alkalinity strength test'!$D$170:$L$170</c:f>
              <c:numCache>
                <c:formatCode>General</c:formatCode>
                <c:ptCount val="9"/>
                <c:pt idx="0">
                  <c:v>0.21240000000000001</c:v>
                </c:pt>
                <c:pt idx="1">
                  <c:v>0.65526666666666655</c:v>
                </c:pt>
                <c:pt idx="2">
                  <c:v>0.89526666666666666</c:v>
                </c:pt>
                <c:pt idx="3">
                  <c:v>0.89476666666666704</c:v>
                </c:pt>
                <c:pt idx="4">
                  <c:v>0.92416666666666669</c:v>
                </c:pt>
                <c:pt idx="5">
                  <c:v>0.9496</c:v>
                </c:pt>
                <c:pt idx="6">
                  <c:v>0.94763333333333299</c:v>
                </c:pt>
                <c:pt idx="7">
                  <c:v>0.95696666666666663</c:v>
                </c:pt>
                <c:pt idx="8">
                  <c:v>0.48546666666666666</c:v>
                </c:pt>
              </c:numCache>
            </c:numRef>
          </c:val>
          <c:smooth val="0"/>
          <c:extLst>
            <c:ext xmlns:c16="http://schemas.microsoft.com/office/drawing/2014/chart" uri="{C3380CC4-5D6E-409C-BE32-E72D297353CC}">
              <c16:uniqueId val="{00000000-A232-4184-83DE-F59C394FE8D4}"/>
            </c:ext>
          </c:extLst>
        </c:ser>
        <c:ser>
          <c:idx val="1"/>
          <c:order val="1"/>
          <c:tx>
            <c:strRef>
              <c:f>'Alkalinity strength test'!$C$171</c:f>
              <c:strCache>
                <c:ptCount val="1"/>
                <c:pt idx="0">
                  <c:v>pH 8</c:v>
                </c:pt>
              </c:strCache>
            </c:strRef>
          </c:tx>
          <c:spPr>
            <a:ln w="28575" cap="rnd">
              <a:solidFill>
                <a:schemeClr val="accent2"/>
              </a:solidFill>
              <a:round/>
            </a:ln>
            <a:effectLst/>
          </c:spPr>
          <c:marker>
            <c:symbol val="none"/>
          </c:marker>
          <c:errBars>
            <c:errDir val="y"/>
            <c:errBarType val="both"/>
            <c:errValType val="cust"/>
            <c:noEndCap val="0"/>
            <c:plus>
              <c:numRef>
                <c:f>'Alkalinity strength test'!$D$188:$L$188</c:f>
                <c:numCache>
                  <c:formatCode>General</c:formatCode>
                  <c:ptCount val="9"/>
                  <c:pt idx="0">
                    <c:v>3.0366666666666899E-2</c:v>
                  </c:pt>
                  <c:pt idx="1">
                    <c:v>3.4250000000000058E-2</c:v>
                  </c:pt>
                  <c:pt idx="2">
                    <c:v>5.0733333333333464E-2</c:v>
                  </c:pt>
                  <c:pt idx="3">
                    <c:v>4.031333333333309E-2</c:v>
                  </c:pt>
                  <c:pt idx="4">
                    <c:v>5.7900000000000243E-2</c:v>
                  </c:pt>
                  <c:pt idx="5">
                    <c:v>6.0316666666666671E-2</c:v>
                  </c:pt>
                  <c:pt idx="6">
                    <c:v>7.6383333333333372E-2</c:v>
                  </c:pt>
                  <c:pt idx="7">
                    <c:v>3.6316666666664998E-2</c:v>
                  </c:pt>
                  <c:pt idx="8">
                    <c:v>4.7633333333333507E-2</c:v>
                  </c:pt>
                </c:numCache>
              </c:numRef>
            </c:plus>
            <c:minus>
              <c:numRef>
                <c:f>'Alkalinity strength test'!$D$188:$L$188</c:f>
                <c:numCache>
                  <c:formatCode>General</c:formatCode>
                  <c:ptCount val="9"/>
                  <c:pt idx="0">
                    <c:v>3.0366666666666899E-2</c:v>
                  </c:pt>
                  <c:pt idx="1">
                    <c:v>3.4250000000000058E-2</c:v>
                  </c:pt>
                  <c:pt idx="2">
                    <c:v>5.0733333333333464E-2</c:v>
                  </c:pt>
                  <c:pt idx="3">
                    <c:v>4.031333333333309E-2</c:v>
                  </c:pt>
                  <c:pt idx="4">
                    <c:v>5.7900000000000243E-2</c:v>
                  </c:pt>
                  <c:pt idx="5">
                    <c:v>6.0316666666666671E-2</c:v>
                  </c:pt>
                  <c:pt idx="6">
                    <c:v>7.6383333333333372E-2</c:v>
                  </c:pt>
                  <c:pt idx="7">
                    <c:v>3.6316666666664998E-2</c:v>
                  </c:pt>
                  <c:pt idx="8">
                    <c:v>4.7633333333333507E-2</c:v>
                  </c:pt>
                </c:numCache>
              </c:numRef>
            </c:minus>
            <c:spPr>
              <a:noFill/>
              <a:ln w="9525" cap="flat" cmpd="sng" algn="ctr">
                <a:solidFill>
                  <a:schemeClr val="tx1">
                    <a:lumMod val="65000"/>
                    <a:lumOff val="35000"/>
                  </a:schemeClr>
                </a:solidFill>
                <a:round/>
              </a:ln>
              <a:effectLst/>
            </c:spPr>
          </c:errBars>
          <c:cat>
            <c:strRef>
              <c:f>'Alkalinity strength test'!$D$168:$L$169</c:f>
              <c:strCache>
                <c:ptCount val="9"/>
                <c:pt idx="0">
                  <c:v>12</c:v>
                </c:pt>
                <c:pt idx="1">
                  <c:v>24</c:v>
                </c:pt>
                <c:pt idx="2">
                  <c:v>36</c:v>
                </c:pt>
                <c:pt idx="3">
                  <c:v>48</c:v>
                </c:pt>
                <c:pt idx="4">
                  <c:v>72</c:v>
                </c:pt>
                <c:pt idx="5">
                  <c:v>96</c:v>
                </c:pt>
                <c:pt idx="6">
                  <c:v>120</c:v>
                </c:pt>
                <c:pt idx="7">
                  <c:v>144</c:v>
                </c:pt>
                <c:pt idx="8">
                  <c:v>168</c:v>
                </c:pt>
              </c:strCache>
            </c:strRef>
          </c:cat>
          <c:val>
            <c:numRef>
              <c:f>'Alkalinity strength test'!$D$171:$L$171</c:f>
              <c:numCache>
                <c:formatCode>General</c:formatCode>
                <c:ptCount val="9"/>
                <c:pt idx="0">
                  <c:v>0.10683333333333334</c:v>
                </c:pt>
                <c:pt idx="1">
                  <c:v>0.73370000000000013</c:v>
                </c:pt>
                <c:pt idx="2">
                  <c:v>0.51250000000000007</c:v>
                </c:pt>
                <c:pt idx="3">
                  <c:v>0.53880666666666677</c:v>
                </c:pt>
                <c:pt idx="4">
                  <c:v>0.43340000000000001</c:v>
                </c:pt>
                <c:pt idx="5">
                  <c:v>0.30763333333333337</c:v>
                </c:pt>
                <c:pt idx="6">
                  <c:v>0.41313333333333335</c:v>
                </c:pt>
                <c:pt idx="7">
                  <c:v>0.37969999999999998</c:v>
                </c:pt>
                <c:pt idx="8">
                  <c:v>0.14899999999999999</c:v>
                </c:pt>
              </c:numCache>
            </c:numRef>
          </c:val>
          <c:smooth val="0"/>
          <c:extLst>
            <c:ext xmlns:c16="http://schemas.microsoft.com/office/drawing/2014/chart" uri="{C3380CC4-5D6E-409C-BE32-E72D297353CC}">
              <c16:uniqueId val="{00000001-A232-4184-83DE-F59C394FE8D4}"/>
            </c:ext>
          </c:extLst>
        </c:ser>
        <c:ser>
          <c:idx val="2"/>
          <c:order val="2"/>
          <c:tx>
            <c:strRef>
              <c:f>'Alkalinity strength test'!$C$172</c:f>
              <c:strCache>
                <c:ptCount val="1"/>
                <c:pt idx="0">
                  <c:v>pH 9</c:v>
                </c:pt>
              </c:strCache>
            </c:strRef>
          </c:tx>
          <c:spPr>
            <a:ln w="28575" cap="rnd">
              <a:solidFill>
                <a:schemeClr val="accent3"/>
              </a:solidFill>
              <a:round/>
            </a:ln>
            <a:effectLst/>
          </c:spPr>
          <c:marker>
            <c:symbol val="none"/>
          </c:marker>
          <c:errBars>
            <c:errDir val="y"/>
            <c:errBarType val="both"/>
            <c:errValType val="cust"/>
            <c:noEndCap val="0"/>
            <c:plus>
              <c:numRef>
                <c:f>'Alkalinity strength test'!$D$189:$L$189</c:f>
                <c:numCache>
                  <c:formatCode>General</c:formatCode>
                  <c:ptCount val="9"/>
                  <c:pt idx="0">
                    <c:v>0.10136666666666677</c:v>
                  </c:pt>
                  <c:pt idx="1">
                    <c:v>9.7616666666666227E-2</c:v>
                  </c:pt>
                  <c:pt idx="2">
                    <c:v>9.0299999999999714E-2</c:v>
                  </c:pt>
                  <c:pt idx="3">
                    <c:v>6.9000000000000172E-3</c:v>
                  </c:pt>
                  <c:pt idx="4">
                    <c:v>5.5216666666666692E-2</c:v>
                  </c:pt>
                  <c:pt idx="5">
                    <c:v>3.9150000000000018E-2</c:v>
                  </c:pt>
                  <c:pt idx="6">
                    <c:v>3.5350000000000048E-2</c:v>
                  </c:pt>
                  <c:pt idx="7">
                    <c:v>7.7199999999999963E-2</c:v>
                  </c:pt>
                  <c:pt idx="8">
                    <c:v>4.523333333333357E-2</c:v>
                  </c:pt>
                </c:numCache>
              </c:numRef>
            </c:plus>
            <c:minus>
              <c:numRef>
                <c:f>'Alkalinity strength test'!$D$189:$L$189</c:f>
                <c:numCache>
                  <c:formatCode>General</c:formatCode>
                  <c:ptCount val="9"/>
                  <c:pt idx="0">
                    <c:v>0.10136666666666677</c:v>
                  </c:pt>
                  <c:pt idx="1">
                    <c:v>9.7616666666666227E-2</c:v>
                  </c:pt>
                  <c:pt idx="2">
                    <c:v>9.0299999999999714E-2</c:v>
                  </c:pt>
                  <c:pt idx="3">
                    <c:v>6.9000000000000172E-3</c:v>
                  </c:pt>
                  <c:pt idx="4">
                    <c:v>5.5216666666666692E-2</c:v>
                  </c:pt>
                  <c:pt idx="5">
                    <c:v>3.9150000000000018E-2</c:v>
                  </c:pt>
                  <c:pt idx="6">
                    <c:v>3.5350000000000048E-2</c:v>
                  </c:pt>
                  <c:pt idx="7">
                    <c:v>7.7199999999999963E-2</c:v>
                  </c:pt>
                  <c:pt idx="8">
                    <c:v>4.523333333333357E-2</c:v>
                  </c:pt>
                </c:numCache>
              </c:numRef>
            </c:minus>
            <c:spPr>
              <a:noFill/>
              <a:ln w="9525" cap="flat" cmpd="sng" algn="ctr">
                <a:solidFill>
                  <a:schemeClr val="tx1">
                    <a:lumMod val="65000"/>
                    <a:lumOff val="35000"/>
                  </a:schemeClr>
                </a:solidFill>
                <a:round/>
              </a:ln>
              <a:effectLst/>
            </c:spPr>
          </c:errBars>
          <c:cat>
            <c:strRef>
              <c:f>'Alkalinity strength test'!$D$168:$L$169</c:f>
              <c:strCache>
                <c:ptCount val="9"/>
                <c:pt idx="0">
                  <c:v>12</c:v>
                </c:pt>
                <c:pt idx="1">
                  <c:v>24</c:v>
                </c:pt>
                <c:pt idx="2">
                  <c:v>36</c:v>
                </c:pt>
                <c:pt idx="3">
                  <c:v>48</c:v>
                </c:pt>
                <c:pt idx="4">
                  <c:v>72</c:v>
                </c:pt>
                <c:pt idx="5">
                  <c:v>96</c:v>
                </c:pt>
                <c:pt idx="6">
                  <c:v>120</c:v>
                </c:pt>
                <c:pt idx="7">
                  <c:v>144</c:v>
                </c:pt>
                <c:pt idx="8">
                  <c:v>168</c:v>
                </c:pt>
              </c:strCache>
            </c:strRef>
          </c:cat>
          <c:val>
            <c:numRef>
              <c:f>'Alkalinity strength test'!$D$172:$L$172</c:f>
              <c:numCache>
                <c:formatCode>General</c:formatCode>
                <c:ptCount val="9"/>
                <c:pt idx="0">
                  <c:v>0.2597666666666667</c:v>
                </c:pt>
                <c:pt idx="1">
                  <c:v>0.57246666666666668</c:v>
                </c:pt>
                <c:pt idx="2">
                  <c:v>0.46069999999999994</c:v>
                </c:pt>
                <c:pt idx="3">
                  <c:v>0.64706666666666668</c:v>
                </c:pt>
                <c:pt idx="4">
                  <c:v>0.83586666666666665</c:v>
                </c:pt>
                <c:pt idx="5">
                  <c:v>0.6208999999999999</c:v>
                </c:pt>
                <c:pt idx="6">
                  <c:v>0.7131333333333334</c:v>
                </c:pt>
                <c:pt idx="7">
                  <c:v>0.77029999999999987</c:v>
                </c:pt>
                <c:pt idx="8">
                  <c:v>0.68950000000000011</c:v>
                </c:pt>
              </c:numCache>
            </c:numRef>
          </c:val>
          <c:smooth val="0"/>
          <c:extLst>
            <c:ext xmlns:c16="http://schemas.microsoft.com/office/drawing/2014/chart" uri="{C3380CC4-5D6E-409C-BE32-E72D297353CC}">
              <c16:uniqueId val="{00000002-A232-4184-83DE-F59C394FE8D4}"/>
            </c:ext>
          </c:extLst>
        </c:ser>
        <c:ser>
          <c:idx val="3"/>
          <c:order val="3"/>
          <c:tx>
            <c:strRef>
              <c:f>'Alkalinity strength test'!$C$173</c:f>
              <c:strCache>
                <c:ptCount val="1"/>
                <c:pt idx="0">
                  <c:v>pH 10</c:v>
                </c:pt>
              </c:strCache>
            </c:strRef>
          </c:tx>
          <c:spPr>
            <a:ln w="28575" cap="rnd">
              <a:solidFill>
                <a:schemeClr val="accent4"/>
              </a:solidFill>
              <a:round/>
            </a:ln>
            <a:effectLst/>
          </c:spPr>
          <c:marker>
            <c:symbol val="none"/>
          </c:marker>
          <c:errBars>
            <c:errDir val="y"/>
            <c:errBarType val="both"/>
            <c:errValType val="cust"/>
            <c:noEndCap val="0"/>
            <c:plus>
              <c:numRef>
                <c:f>'Alkalinity strength test'!$D$190:$L$190</c:f>
                <c:numCache>
                  <c:formatCode>General</c:formatCode>
                  <c:ptCount val="9"/>
                  <c:pt idx="0">
                    <c:v>6.213355000000003E-2</c:v>
                  </c:pt>
                  <c:pt idx="1">
                    <c:v>5.6300000000000273E-2</c:v>
                  </c:pt>
                  <c:pt idx="2">
                    <c:v>3.6750000000000005E-2</c:v>
                  </c:pt>
                  <c:pt idx="3">
                    <c:v>2.0483333333333298E-2</c:v>
                  </c:pt>
                  <c:pt idx="4">
                    <c:v>3.4949999999999981E-2</c:v>
                  </c:pt>
                  <c:pt idx="5">
                    <c:v>7.5350000000000028E-2</c:v>
                  </c:pt>
                  <c:pt idx="6">
                    <c:v>8.9783333333333853E-2</c:v>
                  </c:pt>
                  <c:pt idx="7">
                    <c:v>3.7566666666666471E-2</c:v>
                  </c:pt>
                  <c:pt idx="8">
                    <c:v>0.13778333333333334</c:v>
                  </c:pt>
                </c:numCache>
              </c:numRef>
            </c:plus>
            <c:minus>
              <c:numRef>
                <c:f>'Alkalinity strength test'!$D$190:$L$190</c:f>
                <c:numCache>
                  <c:formatCode>General</c:formatCode>
                  <c:ptCount val="9"/>
                  <c:pt idx="0">
                    <c:v>6.213355000000003E-2</c:v>
                  </c:pt>
                  <c:pt idx="1">
                    <c:v>5.6300000000000273E-2</c:v>
                  </c:pt>
                  <c:pt idx="2">
                    <c:v>3.6750000000000005E-2</c:v>
                  </c:pt>
                  <c:pt idx="3">
                    <c:v>2.0483333333333298E-2</c:v>
                  </c:pt>
                  <c:pt idx="4">
                    <c:v>3.4949999999999981E-2</c:v>
                  </c:pt>
                  <c:pt idx="5">
                    <c:v>7.5350000000000028E-2</c:v>
                  </c:pt>
                  <c:pt idx="6">
                    <c:v>8.9783333333333853E-2</c:v>
                  </c:pt>
                  <c:pt idx="7">
                    <c:v>3.7566666666666471E-2</c:v>
                  </c:pt>
                  <c:pt idx="8">
                    <c:v>0.13778333333333334</c:v>
                  </c:pt>
                </c:numCache>
              </c:numRef>
            </c:minus>
            <c:spPr>
              <a:noFill/>
              <a:ln w="9525" cap="flat" cmpd="sng" algn="ctr">
                <a:solidFill>
                  <a:schemeClr val="tx1">
                    <a:lumMod val="65000"/>
                    <a:lumOff val="35000"/>
                  </a:schemeClr>
                </a:solidFill>
                <a:round/>
              </a:ln>
              <a:effectLst/>
            </c:spPr>
          </c:errBars>
          <c:cat>
            <c:strRef>
              <c:f>'Alkalinity strength test'!$D$168:$L$169</c:f>
              <c:strCache>
                <c:ptCount val="9"/>
                <c:pt idx="0">
                  <c:v>12</c:v>
                </c:pt>
                <c:pt idx="1">
                  <c:v>24</c:v>
                </c:pt>
                <c:pt idx="2">
                  <c:v>36</c:v>
                </c:pt>
                <c:pt idx="3">
                  <c:v>48</c:v>
                </c:pt>
                <c:pt idx="4">
                  <c:v>72</c:v>
                </c:pt>
                <c:pt idx="5">
                  <c:v>96</c:v>
                </c:pt>
                <c:pt idx="6">
                  <c:v>120</c:v>
                </c:pt>
                <c:pt idx="7">
                  <c:v>144</c:v>
                </c:pt>
                <c:pt idx="8">
                  <c:v>168</c:v>
                </c:pt>
              </c:strCache>
            </c:strRef>
          </c:cat>
          <c:val>
            <c:numRef>
              <c:f>'Alkalinity strength test'!$D$173:$L$173</c:f>
              <c:numCache>
                <c:formatCode>General</c:formatCode>
                <c:ptCount val="9"/>
                <c:pt idx="0">
                  <c:v>0.1156329</c:v>
                </c:pt>
                <c:pt idx="1">
                  <c:v>0.21836666666666668</c:v>
                </c:pt>
                <c:pt idx="2">
                  <c:v>0.73836666666666673</c:v>
                </c:pt>
                <c:pt idx="3">
                  <c:v>0.94696666666666662</c:v>
                </c:pt>
                <c:pt idx="4">
                  <c:v>1.0155000000000001</c:v>
                </c:pt>
                <c:pt idx="5">
                  <c:v>0.70599999999999996</c:v>
                </c:pt>
                <c:pt idx="6">
                  <c:v>0.66350000000000009</c:v>
                </c:pt>
                <c:pt idx="7">
                  <c:v>0.51290000000000002</c:v>
                </c:pt>
                <c:pt idx="8">
                  <c:v>0.22296666666666667</c:v>
                </c:pt>
              </c:numCache>
            </c:numRef>
          </c:val>
          <c:smooth val="0"/>
          <c:extLst>
            <c:ext xmlns:c16="http://schemas.microsoft.com/office/drawing/2014/chart" uri="{C3380CC4-5D6E-409C-BE32-E72D297353CC}">
              <c16:uniqueId val="{00000003-A232-4184-83DE-F59C394FE8D4}"/>
            </c:ext>
          </c:extLst>
        </c:ser>
        <c:ser>
          <c:idx val="4"/>
          <c:order val="4"/>
          <c:tx>
            <c:strRef>
              <c:f>'Alkalinity strength test'!$C$174</c:f>
              <c:strCache>
                <c:ptCount val="1"/>
                <c:pt idx="0">
                  <c:v>pH 11</c:v>
                </c:pt>
              </c:strCache>
            </c:strRef>
          </c:tx>
          <c:spPr>
            <a:ln w="28575" cap="rnd">
              <a:solidFill>
                <a:schemeClr val="accent5"/>
              </a:solidFill>
              <a:round/>
            </a:ln>
            <a:effectLst/>
          </c:spPr>
          <c:marker>
            <c:symbol val="none"/>
          </c:marker>
          <c:errBars>
            <c:errDir val="y"/>
            <c:errBarType val="both"/>
            <c:errValType val="cust"/>
            <c:noEndCap val="0"/>
            <c:plus>
              <c:numRef>
                <c:f>'Alkalinity strength test'!$D$191:$L$191</c:f>
                <c:numCache>
                  <c:formatCode>General</c:formatCode>
                  <c:ptCount val="9"/>
                  <c:pt idx="0">
                    <c:v>2.8549999999999853E-2</c:v>
                  </c:pt>
                  <c:pt idx="1">
                    <c:v>7.416666666666627E-3</c:v>
                  </c:pt>
                  <c:pt idx="2">
                    <c:v>2.8150000000000064E-2</c:v>
                  </c:pt>
                  <c:pt idx="3">
                    <c:v>3.2066666666666577E-2</c:v>
                  </c:pt>
                  <c:pt idx="4">
                    <c:v>5.5699999999999972E-2</c:v>
                  </c:pt>
                  <c:pt idx="5">
                    <c:v>5.6816666666666675E-2</c:v>
                  </c:pt>
                  <c:pt idx="6">
                    <c:v>7.0333333333333914E-3</c:v>
                  </c:pt>
                  <c:pt idx="7">
                    <c:v>9.7116666666666573E-2</c:v>
                  </c:pt>
                  <c:pt idx="8">
                    <c:v>3.4616666666666789E-2</c:v>
                  </c:pt>
                </c:numCache>
              </c:numRef>
            </c:plus>
            <c:minus>
              <c:numRef>
                <c:f>'Alkalinity strength test'!$D$191:$L$191</c:f>
                <c:numCache>
                  <c:formatCode>General</c:formatCode>
                  <c:ptCount val="9"/>
                  <c:pt idx="0">
                    <c:v>2.8549999999999853E-2</c:v>
                  </c:pt>
                  <c:pt idx="1">
                    <c:v>7.416666666666627E-3</c:v>
                  </c:pt>
                  <c:pt idx="2">
                    <c:v>2.8150000000000064E-2</c:v>
                  </c:pt>
                  <c:pt idx="3">
                    <c:v>3.2066666666666577E-2</c:v>
                  </c:pt>
                  <c:pt idx="4">
                    <c:v>5.5699999999999972E-2</c:v>
                  </c:pt>
                  <c:pt idx="5">
                    <c:v>5.6816666666666675E-2</c:v>
                  </c:pt>
                  <c:pt idx="6">
                    <c:v>7.0333333333333914E-3</c:v>
                  </c:pt>
                  <c:pt idx="7">
                    <c:v>9.7116666666666573E-2</c:v>
                  </c:pt>
                  <c:pt idx="8">
                    <c:v>3.4616666666666789E-2</c:v>
                  </c:pt>
                </c:numCache>
              </c:numRef>
            </c:minus>
            <c:spPr>
              <a:noFill/>
              <a:ln w="9525" cap="flat" cmpd="sng" algn="ctr">
                <a:solidFill>
                  <a:schemeClr val="tx1">
                    <a:lumMod val="65000"/>
                    <a:lumOff val="35000"/>
                  </a:schemeClr>
                </a:solidFill>
                <a:round/>
              </a:ln>
              <a:effectLst/>
            </c:spPr>
          </c:errBars>
          <c:cat>
            <c:strRef>
              <c:f>'Alkalinity strength test'!$D$168:$L$169</c:f>
              <c:strCache>
                <c:ptCount val="9"/>
                <c:pt idx="0">
                  <c:v>12</c:v>
                </c:pt>
                <c:pt idx="1">
                  <c:v>24</c:v>
                </c:pt>
                <c:pt idx="2">
                  <c:v>36</c:v>
                </c:pt>
                <c:pt idx="3">
                  <c:v>48</c:v>
                </c:pt>
                <c:pt idx="4">
                  <c:v>72</c:v>
                </c:pt>
                <c:pt idx="5">
                  <c:v>96</c:v>
                </c:pt>
                <c:pt idx="6">
                  <c:v>120</c:v>
                </c:pt>
                <c:pt idx="7">
                  <c:v>144</c:v>
                </c:pt>
                <c:pt idx="8">
                  <c:v>168</c:v>
                </c:pt>
              </c:strCache>
            </c:strRef>
          </c:cat>
          <c:val>
            <c:numRef>
              <c:f>'Alkalinity strength test'!$D$174:$L$174</c:f>
              <c:numCache>
                <c:formatCode>General</c:formatCode>
                <c:ptCount val="9"/>
                <c:pt idx="0">
                  <c:v>0.52956666666666696</c:v>
                </c:pt>
                <c:pt idx="1">
                  <c:v>0.68503333333333327</c:v>
                </c:pt>
                <c:pt idx="2">
                  <c:v>0.79059999999999997</c:v>
                </c:pt>
                <c:pt idx="3">
                  <c:v>0.74590000000000012</c:v>
                </c:pt>
                <c:pt idx="4">
                  <c:v>0.65836666666666666</c:v>
                </c:pt>
                <c:pt idx="5">
                  <c:v>0.55233333333333334</c:v>
                </c:pt>
                <c:pt idx="6">
                  <c:v>0.60849999999999993</c:v>
                </c:pt>
                <c:pt idx="7">
                  <c:v>0.50626666666666664</c:v>
                </c:pt>
                <c:pt idx="8">
                  <c:v>0.19616666666666668</c:v>
                </c:pt>
              </c:numCache>
            </c:numRef>
          </c:val>
          <c:smooth val="0"/>
          <c:extLst>
            <c:ext xmlns:c16="http://schemas.microsoft.com/office/drawing/2014/chart" uri="{C3380CC4-5D6E-409C-BE32-E72D297353CC}">
              <c16:uniqueId val="{00000004-A232-4184-83DE-F59C394FE8D4}"/>
            </c:ext>
          </c:extLst>
        </c:ser>
        <c:dLbls>
          <c:showLegendKey val="0"/>
          <c:showVal val="0"/>
          <c:showCatName val="0"/>
          <c:showSerName val="0"/>
          <c:showPercent val="0"/>
          <c:showBubbleSize val="0"/>
        </c:dLbls>
        <c:smooth val="0"/>
        <c:axId val="1339622431"/>
        <c:axId val="1339643231"/>
      </c:lineChart>
      <c:catAx>
        <c:axId val="13396224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solidFill>
                      <a:sysClr val="windowText" lastClr="000000"/>
                    </a:solidFill>
                    <a:latin typeface="Times New Roman" panose="02020603050405020304" pitchFamily="18" charset="0"/>
                    <a:cs typeface="Times New Roman" panose="02020603050405020304" pitchFamily="18" charset="0"/>
                  </a:rPr>
                  <a:t>Time (h)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39643231"/>
        <c:crosses val="autoZero"/>
        <c:auto val="1"/>
        <c:lblAlgn val="ctr"/>
        <c:lblOffset val="100"/>
        <c:noMultiLvlLbl val="0"/>
      </c:catAx>
      <c:valAx>
        <c:axId val="133964323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solidFill>
                      <a:sysClr val="windowText" lastClr="000000"/>
                    </a:solidFill>
                    <a:latin typeface="Times New Roman" panose="02020603050405020304" pitchFamily="18" charset="0"/>
                    <a:cs typeface="Times New Roman" panose="02020603050405020304" pitchFamily="18" charset="0"/>
                  </a:rPr>
                  <a:t>OD @ 600nm</a:t>
                </a:r>
              </a:p>
            </c:rich>
          </c:tx>
          <c:layout>
            <c:manualLayout>
              <c:xMode val="edge"/>
              <c:yMode val="edge"/>
              <c:x val="1.12472689441434E-2"/>
              <c:y val="0.2774161026982592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39622431"/>
        <c:crosses val="autoZero"/>
        <c:crossBetween val="between"/>
      </c:valAx>
      <c:spPr>
        <a:noFill/>
        <a:ln>
          <a:noFill/>
        </a:ln>
        <a:effectLst/>
      </c:spPr>
    </c:plotArea>
    <c:legend>
      <c:legendPos val="r"/>
      <c:layout>
        <c:manualLayout>
          <c:xMode val="edge"/>
          <c:yMode val="edge"/>
          <c:x val="0.19309327766680284"/>
          <c:y val="1.6230888610643365E-2"/>
          <c:w val="0.62555719623576311"/>
          <c:h val="8.966862490424616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58237355939915"/>
          <c:y val="5.011389521640091E-2"/>
          <c:w val="0.7641380269748721"/>
          <c:h val="0.74759313400175775"/>
        </c:manualLayout>
      </c:layout>
      <c:scatterChart>
        <c:scatterStyle val="smoothMarker"/>
        <c:varyColors val="0"/>
        <c:ser>
          <c:idx val="0"/>
          <c:order val="0"/>
          <c:tx>
            <c:strRef>
              <c:f>'Substrate &amp; pH optimizatn curve'!$AK$23</c:f>
              <c:strCache>
                <c:ptCount val="1"/>
                <c:pt idx="0">
                  <c:v>Final Ammonia Conc. (mg/L)</c:v>
                </c:pt>
              </c:strCache>
            </c:strRef>
          </c:tx>
          <c:spPr>
            <a:ln w="19050" cap="rnd">
              <a:solidFill>
                <a:schemeClr val="tx1"/>
              </a:solidFill>
              <a:round/>
            </a:ln>
            <a:effectLst/>
          </c:spPr>
          <c:marker>
            <c:symbol val="circle"/>
            <c:size val="5"/>
            <c:spPr>
              <a:solidFill>
                <a:schemeClr val="accent1"/>
              </a:solidFill>
              <a:ln w="9525">
                <a:solidFill>
                  <a:schemeClr val="tx1"/>
                </a:solidFill>
              </a:ln>
              <a:effectLst/>
            </c:spPr>
          </c:marker>
          <c:errBars>
            <c:errDir val="y"/>
            <c:errBarType val="both"/>
            <c:errValType val="cust"/>
            <c:noEndCap val="0"/>
            <c:plus>
              <c:numRef>
                <c:f>'Substrate &amp; pH optimizatn curve'!$AP$24:$AP$27</c:f>
                <c:numCache>
                  <c:formatCode>General</c:formatCode>
                  <c:ptCount val="4"/>
                  <c:pt idx="0">
                    <c:v>50</c:v>
                  </c:pt>
                  <c:pt idx="1">
                    <c:v>120</c:v>
                  </c:pt>
                  <c:pt idx="2">
                    <c:v>260.00000000000023</c:v>
                  </c:pt>
                  <c:pt idx="3">
                    <c:v>285.00000000000023</c:v>
                  </c:pt>
                </c:numCache>
              </c:numRef>
            </c:plus>
            <c:minus>
              <c:numRef>
                <c:f>'Substrate &amp; pH optimizatn curve'!$AP$24:$AP$27</c:f>
                <c:numCache>
                  <c:formatCode>General</c:formatCode>
                  <c:ptCount val="4"/>
                  <c:pt idx="0">
                    <c:v>50</c:v>
                  </c:pt>
                  <c:pt idx="1">
                    <c:v>120</c:v>
                  </c:pt>
                  <c:pt idx="2">
                    <c:v>260.00000000000023</c:v>
                  </c:pt>
                  <c:pt idx="3">
                    <c:v>285.00000000000023</c:v>
                  </c:pt>
                </c:numCache>
              </c:numRef>
            </c:minus>
            <c:spPr>
              <a:noFill/>
              <a:ln w="9525" cap="flat" cmpd="sng" algn="ctr">
                <a:solidFill>
                  <a:schemeClr val="tx1">
                    <a:lumMod val="65000"/>
                    <a:lumOff val="35000"/>
                  </a:schemeClr>
                </a:solidFill>
                <a:round/>
              </a:ln>
              <a:effectLst/>
            </c:spPr>
          </c:errBars>
          <c:xVal>
            <c:numRef>
              <c:f>'Substrate &amp; pH optimizatn curve'!$AG$24:$AG$27</c:f>
              <c:numCache>
                <c:formatCode>General</c:formatCode>
                <c:ptCount val="4"/>
                <c:pt idx="0">
                  <c:v>2.5</c:v>
                </c:pt>
                <c:pt idx="1">
                  <c:v>5</c:v>
                </c:pt>
                <c:pt idx="2">
                  <c:v>10</c:v>
                </c:pt>
                <c:pt idx="3">
                  <c:v>20</c:v>
                </c:pt>
              </c:numCache>
            </c:numRef>
          </c:xVal>
          <c:yVal>
            <c:numRef>
              <c:f>'Substrate &amp; pH optimizatn curve'!$AK$24:$AK$27</c:f>
              <c:numCache>
                <c:formatCode>General</c:formatCode>
                <c:ptCount val="4"/>
                <c:pt idx="0">
                  <c:v>700</c:v>
                </c:pt>
                <c:pt idx="1">
                  <c:v>1600</c:v>
                </c:pt>
                <c:pt idx="2">
                  <c:v>3520.0000000000005</c:v>
                </c:pt>
                <c:pt idx="3">
                  <c:v>3329.9999999999995</c:v>
                </c:pt>
              </c:numCache>
            </c:numRef>
          </c:yVal>
          <c:smooth val="1"/>
          <c:extLst>
            <c:ext xmlns:c16="http://schemas.microsoft.com/office/drawing/2014/chart" uri="{C3380CC4-5D6E-409C-BE32-E72D297353CC}">
              <c16:uniqueId val="{00000000-11EA-4517-9990-F811038DCB20}"/>
            </c:ext>
          </c:extLst>
        </c:ser>
        <c:dLbls>
          <c:showLegendKey val="0"/>
          <c:showVal val="0"/>
          <c:showCatName val="0"/>
          <c:showSerName val="0"/>
          <c:showPercent val="0"/>
          <c:showBubbleSize val="0"/>
        </c:dLbls>
        <c:axId val="1131235679"/>
        <c:axId val="1131234431"/>
      </c:scatterChart>
      <c:valAx>
        <c:axId val="11312356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chemeClr val="tx1"/>
                    </a:solidFill>
                    <a:latin typeface="Times New Roman" panose="02020603050405020304" pitchFamily="18" charset="0"/>
                    <a:cs typeface="Times New Roman" panose="02020603050405020304" pitchFamily="18" charset="0"/>
                  </a:rPr>
                  <a:t>Substrate concentration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31234431"/>
        <c:crosses val="autoZero"/>
        <c:crossBetween val="midCat"/>
        <c:minorUnit val="2.5"/>
      </c:valAx>
      <c:valAx>
        <c:axId val="113123443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chemeClr val="tx1"/>
                    </a:solidFill>
                    <a:latin typeface="Times New Roman" panose="02020603050405020304" pitchFamily="18" charset="0"/>
                    <a:cs typeface="Times New Roman" panose="02020603050405020304" pitchFamily="18" charset="0"/>
                  </a:rPr>
                  <a:t>Ammonia Concentration (mg/L)</a:t>
                </a:r>
              </a:p>
            </c:rich>
          </c:tx>
          <c:layout>
            <c:manualLayout>
              <c:xMode val="edge"/>
              <c:yMode val="edge"/>
              <c:x val="3.1163318384891513E-2"/>
              <c:y val="7.682600039459759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3123567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271043003044381"/>
          <c:y val="5.8757073909285668E-2"/>
          <c:w val="0.65784859825214159"/>
          <c:h val="0.724935007162964"/>
        </c:manualLayout>
      </c:layout>
      <c:lineChart>
        <c:grouping val="standard"/>
        <c:varyColors val="0"/>
        <c:ser>
          <c:idx val="0"/>
          <c:order val="0"/>
          <c:tx>
            <c:strRef>
              <c:f>'Innoculant Upscalling'!$V$47</c:f>
              <c:strCache>
                <c:ptCount val="1"/>
                <c:pt idx="0">
                  <c:v>1%</c:v>
                </c:pt>
              </c:strCache>
            </c:strRef>
          </c:tx>
          <c:spPr>
            <a:ln w="28575" cap="rnd">
              <a:solidFill>
                <a:schemeClr val="accent1"/>
              </a:solidFill>
              <a:round/>
            </a:ln>
            <a:effectLst/>
          </c:spPr>
          <c:marker>
            <c:symbol val="none"/>
          </c:marker>
          <c:errBars>
            <c:errDir val="y"/>
            <c:errBarType val="both"/>
            <c:errValType val="cust"/>
            <c:noEndCap val="0"/>
            <c:plus>
              <c:numRef>
                <c:f>'Innoculant Upscalling'!$W$57:$AB$57</c:f>
                <c:numCache>
                  <c:formatCode>General</c:formatCode>
                  <c:ptCount val="6"/>
                  <c:pt idx="0">
                    <c:v>50</c:v>
                  </c:pt>
                  <c:pt idx="1">
                    <c:v>700</c:v>
                  </c:pt>
                  <c:pt idx="2">
                    <c:v>870</c:v>
                  </c:pt>
                  <c:pt idx="3">
                    <c:v>1173</c:v>
                  </c:pt>
                  <c:pt idx="4">
                    <c:v>1440</c:v>
                  </c:pt>
                  <c:pt idx="5">
                    <c:v>1020</c:v>
                  </c:pt>
                </c:numCache>
              </c:numRef>
            </c:plus>
            <c:minus>
              <c:numRef>
                <c:f>'Innoculant Upscalling'!$W$57:$AB$57</c:f>
                <c:numCache>
                  <c:formatCode>General</c:formatCode>
                  <c:ptCount val="6"/>
                  <c:pt idx="0">
                    <c:v>50</c:v>
                  </c:pt>
                  <c:pt idx="1">
                    <c:v>700</c:v>
                  </c:pt>
                  <c:pt idx="2">
                    <c:v>870</c:v>
                  </c:pt>
                  <c:pt idx="3">
                    <c:v>1173</c:v>
                  </c:pt>
                  <c:pt idx="4">
                    <c:v>1440</c:v>
                  </c:pt>
                  <c:pt idx="5">
                    <c:v>1020</c:v>
                  </c:pt>
                </c:numCache>
              </c:numRef>
            </c:minus>
            <c:spPr>
              <a:noFill/>
              <a:ln w="9525" cap="flat" cmpd="sng" algn="ctr">
                <a:solidFill>
                  <a:schemeClr val="tx1">
                    <a:lumMod val="65000"/>
                    <a:lumOff val="35000"/>
                  </a:schemeClr>
                </a:solidFill>
                <a:round/>
              </a:ln>
              <a:effectLst/>
            </c:spPr>
          </c:errBars>
          <c:cat>
            <c:strRef>
              <c:f>'Innoculant Upscalling'!$W$46:$AB$46</c:f>
              <c:strCache>
                <c:ptCount val="6"/>
                <c:pt idx="0">
                  <c:v>0h</c:v>
                </c:pt>
                <c:pt idx="1">
                  <c:v>24h</c:v>
                </c:pt>
                <c:pt idx="2">
                  <c:v>48h</c:v>
                </c:pt>
                <c:pt idx="3">
                  <c:v>72h</c:v>
                </c:pt>
                <c:pt idx="4">
                  <c:v>120h</c:v>
                </c:pt>
                <c:pt idx="5">
                  <c:v>168h</c:v>
                </c:pt>
              </c:strCache>
            </c:strRef>
          </c:cat>
          <c:val>
            <c:numRef>
              <c:f>'Innoculant Upscalling'!$W$47:$AB$47</c:f>
              <c:numCache>
                <c:formatCode>General</c:formatCode>
                <c:ptCount val="6"/>
                <c:pt idx="0">
                  <c:v>0</c:v>
                </c:pt>
                <c:pt idx="1">
                  <c:v>5500</c:v>
                </c:pt>
                <c:pt idx="2">
                  <c:v>5880</c:v>
                </c:pt>
                <c:pt idx="3">
                  <c:v>6813</c:v>
                </c:pt>
                <c:pt idx="4">
                  <c:v>3400</c:v>
                </c:pt>
                <c:pt idx="5">
                  <c:v>6100</c:v>
                </c:pt>
              </c:numCache>
            </c:numRef>
          </c:val>
          <c:smooth val="0"/>
          <c:extLst>
            <c:ext xmlns:c16="http://schemas.microsoft.com/office/drawing/2014/chart" uri="{C3380CC4-5D6E-409C-BE32-E72D297353CC}">
              <c16:uniqueId val="{00000000-0D4D-404C-9629-32082C9AF7D6}"/>
            </c:ext>
          </c:extLst>
        </c:ser>
        <c:ser>
          <c:idx val="1"/>
          <c:order val="1"/>
          <c:tx>
            <c:strRef>
              <c:f>'Innoculant Upscalling'!$V$48</c:f>
              <c:strCache>
                <c:ptCount val="1"/>
                <c:pt idx="0">
                  <c:v>2.50%</c:v>
                </c:pt>
              </c:strCache>
            </c:strRef>
          </c:tx>
          <c:spPr>
            <a:ln w="28575" cap="rnd">
              <a:solidFill>
                <a:schemeClr val="accent2"/>
              </a:solidFill>
              <a:round/>
            </a:ln>
            <a:effectLst/>
          </c:spPr>
          <c:marker>
            <c:symbol val="none"/>
          </c:marker>
          <c:errBars>
            <c:errDir val="y"/>
            <c:errBarType val="both"/>
            <c:errValType val="cust"/>
            <c:noEndCap val="0"/>
            <c:plus>
              <c:numRef>
                <c:f>'Innoculant Upscalling'!$W$58:$AB$58</c:f>
                <c:numCache>
                  <c:formatCode>General</c:formatCode>
                  <c:ptCount val="6"/>
                  <c:pt idx="0">
                    <c:v>575</c:v>
                  </c:pt>
                  <c:pt idx="1">
                    <c:v>100</c:v>
                  </c:pt>
                  <c:pt idx="2">
                    <c:v>1230</c:v>
                  </c:pt>
                  <c:pt idx="3">
                    <c:v>630</c:v>
                  </c:pt>
                  <c:pt idx="4">
                    <c:v>119.99999999999989</c:v>
                  </c:pt>
                  <c:pt idx="5">
                    <c:v>1840</c:v>
                  </c:pt>
                </c:numCache>
              </c:numRef>
            </c:plus>
            <c:minus>
              <c:numRef>
                <c:f>'Innoculant Upscalling'!$W$58:$AB$58</c:f>
                <c:numCache>
                  <c:formatCode>General</c:formatCode>
                  <c:ptCount val="6"/>
                  <c:pt idx="0">
                    <c:v>575</c:v>
                  </c:pt>
                  <c:pt idx="1">
                    <c:v>100</c:v>
                  </c:pt>
                  <c:pt idx="2">
                    <c:v>1230</c:v>
                  </c:pt>
                  <c:pt idx="3">
                    <c:v>630</c:v>
                  </c:pt>
                  <c:pt idx="4">
                    <c:v>119.99999999999989</c:v>
                  </c:pt>
                  <c:pt idx="5">
                    <c:v>1840</c:v>
                  </c:pt>
                </c:numCache>
              </c:numRef>
            </c:minus>
            <c:spPr>
              <a:noFill/>
              <a:ln w="9525" cap="flat" cmpd="sng" algn="ctr">
                <a:solidFill>
                  <a:schemeClr val="tx1">
                    <a:lumMod val="65000"/>
                    <a:lumOff val="35000"/>
                  </a:schemeClr>
                </a:solidFill>
                <a:round/>
              </a:ln>
              <a:effectLst/>
            </c:spPr>
          </c:errBars>
          <c:cat>
            <c:strRef>
              <c:f>'Innoculant Upscalling'!$W$46:$AB$46</c:f>
              <c:strCache>
                <c:ptCount val="6"/>
                <c:pt idx="0">
                  <c:v>0h</c:v>
                </c:pt>
                <c:pt idx="1">
                  <c:v>24h</c:v>
                </c:pt>
                <c:pt idx="2">
                  <c:v>48h</c:v>
                </c:pt>
                <c:pt idx="3">
                  <c:v>72h</c:v>
                </c:pt>
                <c:pt idx="4">
                  <c:v>120h</c:v>
                </c:pt>
                <c:pt idx="5">
                  <c:v>168h</c:v>
                </c:pt>
              </c:strCache>
            </c:strRef>
          </c:cat>
          <c:val>
            <c:numRef>
              <c:f>'Innoculant Upscalling'!$W$48:$AB$48</c:f>
              <c:numCache>
                <c:formatCode>General</c:formatCode>
                <c:ptCount val="6"/>
                <c:pt idx="0">
                  <c:v>0</c:v>
                </c:pt>
                <c:pt idx="1">
                  <c:v>6300</c:v>
                </c:pt>
                <c:pt idx="2">
                  <c:v>5520</c:v>
                </c:pt>
                <c:pt idx="3">
                  <c:v>5010</c:v>
                </c:pt>
                <c:pt idx="4">
                  <c:v>2080</c:v>
                </c:pt>
                <c:pt idx="5">
                  <c:v>5280</c:v>
                </c:pt>
              </c:numCache>
            </c:numRef>
          </c:val>
          <c:smooth val="0"/>
          <c:extLst>
            <c:ext xmlns:c16="http://schemas.microsoft.com/office/drawing/2014/chart" uri="{C3380CC4-5D6E-409C-BE32-E72D297353CC}">
              <c16:uniqueId val="{00000001-0D4D-404C-9629-32082C9AF7D6}"/>
            </c:ext>
          </c:extLst>
        </c:ser>
        <c:ser>
          <c:idx val="2"/>
          <c:order val="2"/>
          <c:tx>
            <c:strRef>
              <c:f>'Innoculant Upscalling'!$V$49</c:f>
              <c:strCache>
                <c:ptCount val="1"/>
                <c:pt idx="0">
                  <c:v>5%</c:v>
                </c:pt>
              </c:strCache>
            </c:strRef>
          </c:tx>
          <c:spPr>
            <a:ln w="28575" cap="rnd">
              <a:solidFill>
                <a:schemeClr val="accent3"/>
              </a:solidFill>
              <a:round/>
            </a:ln>
            <a:effectLst/>
          </c:spPr>
          <c:marker>
            <c:symbol val="none"/>
          </c:marker>
          <c:errBars>
            <c:errDir val="y"/>
            <c:errBarType val="both"/>
            <c:errValType val="cust"/>
            <c:noEndCap val="0"/>
            <c:plus>
              <c:numRef>
                <c:f>'Innoculant Upscalling'!$W$59:$AB$59</c:f>
                <c:numCache>
                  <c:formatCode>General</c:formatCode>
                  <c:ptCount val="6"/>
                  <c:pt idx="0">
                    <c:v>275.00000000000023</c:v>
                  </c:pt>
                  <c:pt idx="1">
                    <c:v>200</c:v>
                  </c:pt>
                  <c:pt idx="2">
                    <c:v>660</c:v>
                  </c:pt>
                  <c:pt idx="3">
                    <c:v>3375</c:v>
                  </c:pt>
                  <c:pt idx="4">
                    <c:v>820</c:v>
                  </c:pt>
                  <c:pt idx="5">
                    <c:v>20</c:v>
                  </c:pt>
                </c:numCache>
              </c:numRef>
            </c:plus>
            <c:minus>
              <c:numRef>
                <c:f>'Innoculant Upscalling'!$W$59:$AB$59</c:f>
                <c:numCache>
                  <c:formatCode>General</c:formatCode>
                  <c:ptCount val="6"/>
                  <c:pt idx="0">
                    <c:v>275.00000000000023</c:v>
                  </c:pt>
                  <c:pt idx="1">
                    <c:v>200</c:v>
                  </c:pt>
                  <c:pt idx="2">
                    <c:v>660</c:v>
                  </c:pt>
                  <c:pt idx="3">
                    <c:v>3375</c:v>
                  </c:pt>
                  <c:pt idx="4">
                    <c:v>820</c:v>
                  </c:pt>
                  <c:pt idx="5">
                    <c:v>20</c:v>
                  </c:pt>
                </c:numCache>
              </c:numRef>
            </c:minus>
            <c:spPr>
              <a:noFill/>
              <a:ln w="9525" cap="flat" cmpd="sng" algn="ctr">
                <a:solidFill>
                  <a:schemeClr val="tx1">
                    <a:lumMod val="65000"/>
                    <a:lumOff val="35000"/>
                  </a:schemeClr>
                </a:solidFill>
                <a:round/>
              </a:ln>
              <a:effectLst/>
            </c:spPr>
          </c:errBars>
          <c:cat>
            <c:strRef>
              <c:f>'Innoculant Upscalling'!$W$46:$AB$46</c:f>
              <c:strCache>
                <c:ptCount val="6"/>
                <c:pt idx="0">
                  <c:v>0h</c:v>
                </c:pt>
                <c:pt idx="1">
                  <c:v>24h</c:v>
                </c:pt>
                <c:pt idx="2">
                  <c:v>48h</c:v>
                </c:pt>
                <c:pt idx="3">
                  <c:v>72h</c:v>
                </c:pt>
                <c:pt idx="4">
                  <c:v>120h</c:v>
                </c:pt>
                <c:pt idx="5">
                  <c:v>168h</c:v>
                </c:pt>
              </c:strCache>
            </c:strRef>
          </c:cat>
          <c:val>
            <c:numRef>
              <c:f>'Innoculant Upscalling'!$W$49:$AB$49</c:f>
              <c:numCache>
                <c:formatCode>General</c:formatCode>
                <c:ptCount val="6"/>
                <c:pt idx="0">
                  <c:v>0</c:v>
                </c:pt>
                <c:pt idx="1">
                  <c:v>6200</c:v>
                </c:pt>
                <c:pt idx="2">
                  <c:v>4950</c:v>
                </c:pt>
                <c:pt idx="3">
                  <c:v>7755</c:v>
                </c:pt>
                <c:pt idx="4">
                  <c:v>3020</c:v>
                </c:pt>
                <c:pt idx="5">
                  <c:v>3420</c:v>
                </c:pt>
              </c:numCache>
            </c:numRef>
          </c:val>
          <c:smooth val="0"/>
          <c:extLst>
            <c:ext xmlns:c16="http://schemas.microsoft.com/office/drawing/2014/chart" uri="{C3380CC4-5D6E-409C-BE32-E72D297353CC}">
              <c16:uniqueId val="{00000002-0D4D-404C-9629-32082C9AF7D6}"/>
            </c:ext>
          </c:extLst>
        </c:ser>
        <c:ser>
          <c:idx val="3"/>
          <c:order val="3"/>
          <c:tx>
            <c:strRef>
              <c:f>'Innoculant Upscalling'!$V$50</c:f>
              <c:strCache>
                <c:ptCount val="1"/>
                <c:pt idx="0">
                  <c:v>10%</c:v>
                </c:pt>
              </c:strCache>
            </c:strRef>
          </c:tx>
          <c:spPr>
            <a:ln w="28575" cap="rnd">
              <a:solidFill>
                <a:schemeClr val="accent4"/>
              </a:solidFill>
              <a:round/>
            </a:ln>
            <a:effectLst/>
          </c:spPr>
          <c:marker>
            <c:symbol val="none"/>
          </c:marker>
          <c:errBars>
            <c:errDir val="y"/>
            <c:errBarType val="both"/>
            <c:errValType val="cust"/>
            <c:noEndCap val="0"/>
            <c:plus>
              <c:numRef>
                <c:f>'Innoculant Upscalling'!$W$60:$AB$60</c:f>
                <c:numCache>
                  <c:formatCode>General</c:formatCode>
                  <c:ptCount val="6"/>
                  <c:pt idx="0">
                    <c:v>59.999999999999773</c:v>
                  </c:pt>
                  <c:pt idx="1">
                    <c:v>160</c:v>
                  </c:pt>
                  <c:pt idx="2">
                    <c:v>645</c:v>
                  </c:pt>
                  <c:pt idx="3">
                    <c:v>2325</c:v>
                  </c:pt>
                  <c:pt idx="4">
                    <c:v>880</c:v>
                  </c:pt>
                  <c:pt idx="5">
                    <c:v>60.000000000000227</c:v>
                  </c:pt>
                </c:numCache>
              </c:numRef>
            </c:plus>
            <c:minus>
              <c:numRef>
                <c:f>'Innoculant Upscalling'!$W$60:$AB$60</c:f>
                <c:numCache>
                  <c:formatCode>General</c:formatCode>
                  <c:ptCount val="6"/>
                  <c:pt idx="0">
                    <c:v>59.999999999999773</c:v>
                  </c:pt>
                  <c:pt idx="1">
                    <c:v>160</c:v>
                  </c:pt>
                  <c:pt idx="2">
                    <c:v>645</c:v>
                  </c:pt>
                  <c:pt idx="3">
                    <c:v>2325</c:v>
                  </c:pt>
                  <c:pt idx="4">
                    <c:v>880</c:v>
                  </c:pt>
                  <c:pt idx="5">
                    <c:v>60.000000000000227</c:v>
                  </c:pt>
                </c:numCache>
              </c:numRef>
            </c:minus>
            <c:spPr>
              <a:noFill/>
              <a:ln w="9525" cap="flat" cmpd="sng" algn="ctr">
                <a:solidFill>
                  <a:schemeClr val="tx1">
                    <a:lumMod val="65000"/>
                    <a:lumOff val="35000"/>
                  </a:schemeClr>
                </a:solidFill>
                <a:round/>
              </a:ln>
              <a:effectLst/>
            </c:spPr>
          </c:errBars>
          <c:cat>
            <c:strRef>
              <c:f>'Innoculant Upscalling'!$W$46:$AB$46</c:f>
              <c:strCache>
                <c:ptCount val="6"/>
                <c:pt idx="0">
                  <c:v>0h</c:v>
                </c:pt>
                <c:pt idx="1">
                  <c:v>24h</c:v>
                </c:pt>
                <c:pt idx="2">
                  <c:v>48h</c:v>
                </c:pt>
                <c:pt idx="3">
                  <c:v>72h</c:v>
                </c:pt>
                <c:pt idx="4">
                  <c:v>120h</c:v>
                </c:pt>
                <c:pt idx="5">
                  <c:v>168h</c:v>
                </c:pt>
              </c:strCache>
            </c:strRef>
          </c:cat>
          <c:val>
            <c:numRef>
              <c:f>'Innoculant Upscalling'!$W$50:$AB$50</c:f>
              <c:numCache>
                <c:formatCode>General</c:formatCode>
                <c:ptCount val="6"/>
                <c:pt idx="0">
                  <c:v>0</c:v>
                </c:pt>
                <c:pt idx="1">
                  <c:v>6160</c:v>
                </c:pt>
                <c:pt idx="2">
                  <c:v>4965</c:v>
                </c:pt>
                <c:pt idx="3">
                  <c:v>8805</c:v>
                </c:pt>
                <c:pt idx="4">
                  <c:v>4720</c:v>
                </c:pt>
                <c:pt idx="5">
                  <c:v>3460</c:v>
                </c:pt>
              </c:numCache>
            </c:numRef>
          </c:val>
          <c:smooth val="0"/>
          <c:extLst>
            <c:ext xmlns:c16="http://schemas.microsoft.com/office/drawing/2014/chart" uri="{C3380CC4-5D6E-409C-BE32-E72D297353CC}">
              <c16:uniqueId val="{00000003-0D4D-404C-9629-32082C9AF7D6}"/>
            </c:ext>
          </c:extLst>
        </c:ser>
        <c:dLbls>
          <c:showLegendKey val="0"/>
          <c:showVal val="0"/>
          <c:showCatName val="0"/>
          <c:showSerName val="0"/>
          <c:showPercent val="0"/>
          <c:showBubbleSize val="0"/>
        </c:dLbls>
        <c:smooth val="0"/>
        <c:axId val="648325056"/>
        <c:axId val="1165524496"/>
      </c:lineChart>
      <c:catAx>
        <c:axId val="648325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000">
                    <a:solidFill>
                      <a:schemeClr val="tx1"/>
                    </a:solidFill>
                    <a:latin typeface="Times New Roman" panose="02020603050405020304" pitchFamily="18" charset="0"/>
                    <a:cs typeface="Times New Roman" panose="02020603050405020304" pitchFamily="18" charset="0"/>
                  </a:rPr>
                  <a:t>Time (h)</a:t>
                </a:r>
              </a:p>
            </c:rich>
          </c:tx>
          <c:layout>
            <c:manualLayout>
              <c:xMode val="edge"/>
              <c:yMode val="edge"/>
              <c:x val="0.44692174316073408"/>
              <c:y val="0.9082637397598027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65524496"/>
        <c:crosses val="autoZero"/>
        <c:auto val="1"/>
        <c:lblAlgn val="ctr"/>
        <c:lblOffset val="100"/>
        <c:noMultiLvlLbl val="0"/>
      </c:catAx>
      <c:valAx>
        <c:axId val="1165524496"/>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solidFill>
                      <a:schemeClr val="tx1"/>
                    </a:solidFill>
                    <a:latin typeface="Times New Roman" panose="02020603050405020304" pitchFamily="18" charset="0"/>
                    <a:cs typeface="Times New Roman" panose="02020603050405020304" pitchFamily="18" charset="0"/>
                  </a:rPr>
                  <a:t>Ammonia Concentration (mg/L)</a:t>
                </a:r>
              </a:p>
            </c:rich>
          </c:tx>
          <c:layout>
            <c:manualLayout>
              <c:xMode val="edge"/>
              <c:yMode val="edge"/>
              <c:x val="1.7579838845213948E-2"/>
              <c:y val="9.707623756332783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48325056"/>
        <c:crosses val="autoZero"/>
        <c:crossBetween val="between"/>
      </c:valAx>
      <c:spPr>
        <a:noFill/>
        <a:ln>
          <a:noFill/>
        </a:ln>
        <a:effectLst/>
      </c:spPr>
    </c:plotArea>
    <c:legend>
      <c:legendPos val="r"/>
      <c:layout>
        <c:manualLayout>
          <c:xMode val="edge"/>
          <c:yMode val="edge"/>
          <c:x val="0.80120293632297712"/>
          <c:y val="5.8490351307712539E-2"/>
          <c:w val="0.17590312156689697"/>
          <c:h val="0.3048801826600943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764926556416952"/>
          <c:y val="0.22838848758828173"/>
          <c:w val="0.67260658934342721"/>
          <c:h val="0.54283347084550448"/>
        </c:manualLayout>
      </c:layout>
      <c:lineChart>
        <c:grouping val="standard"/>
        <c:varyColors val="0"/>
        <c:ser>
          <c:idx val="1"/>
          <c:order val="0"/>
          <c:spPr>
            <a:ln w="28575" cap="rnd">
              <a:solidFill>
                <a:schemeClr val="accent2"/>
              </a:solidFill>
              <a:round/>
            </a:ln>
            <a:effectLst/>
          </c:spPr>
          <c:marker>
            <c:symbol val="none"/>
          </c:marker>
          <c:errBars>
            <c:errDir val="y"/>
            <c:errBarType val="both"/>
            <c:errValType val="cust"/>
            <c:noEndCap val="0"/>
            <c:plus>
              <c:numRef>
                <c:f>'Media Optimizationdetermination'!$AM$170:$AM$174</c:f>
                <c:numCache>
                  <c:formatCode>General</c:formatCode>
                  <c:ptCount val="5"/>
                  <c:pt idx="0">
                    <c:v>45</c:v>
                  </c:pt>
                  <c:pt idx="1">
                    <c:v>15</c:v>
                  </c:pt>
                  <c:pt idx="2">
                    <c:v>345</c:v>
                  </c:pt>
                  <c:pt idx="3">
                    <c:v>135</c:v>
                  </c:pt>
                  <c:pt idx="4">
                    <c:v>75</c:v>
                  </c:pt>
                </c:numCache>
              </c:numRef>
            </c:plus>
            <c:minus>
              <c:numRef>
                <c:f>'Media Optimizationdetermination'!$AM$170:$AM$174</c:f>
                <c:numCache>
                  <c:formatCode>General</c:formatCode>
                  <c:ptCount val="5"/>
                  <c:pt idx="0">
                    <c:v>45</c:v>
                  </c:pt>
                  <c:pt idx="1">
                    <c:v>15</c:v>
                  </c:pt>
                  <c:pt idx="2">
                    <c:v>345</c:v>
                  </c:pt>
                  <c:pt idx="3">
                    <c:v>135</c:v>
                  </c:pt>
                  <c:pt idx="4">
                    <c:v>75</c:v>
                  </c:pt>
                </c:numCache>
              </c:numRef>
            </c:minus>
            <c:spPr>
              <a:noFill/>
              <a:ln w="9525" cap="flat" cmpd="sng" algn="ctr">
                <a:solidFill>
                  <a:schemeClr val="tx1">
                    <a:lumMod val="65000"/>
                    <a:lumOff val="35000"/>
                  </a:schemeClr>
                </a:solidFill>
                <a:round/>
              </a:ln>
              <a:effectLst/>
            </c:spPr>
          </c:errBars>
          <c:cat>
            <c:numRef>
              <c:f>'Media Optimizationdetermination'!$Z$170:$Z$174</c:f>
              <c:numCache>
                <c:formatCode>General</c:formatCode>
                <c:ptCount val="5"/>
                <c:pt idx="0">
                  <c:v>2.9199999999999999E-3</c:v>
                </c:pt>
                <c:pt idx="1">
                  <c:v>5.8399999999999997E-3</c:v>
                </c:pt>
                <c:pt idx="2">
                  <c:v>2.92E-2</c:v>
                </c:pt>
                <c:pt idx="3">
                  <c:v>0.14599999999999999</c:v>
                </c:pt>
                <c:pt idx="4">
                  <c:v>0.29199999999999998</c:v>
                </c:pt>
              </c:numCache>
            </c:numRef>
          </c:cat>
          <c:val>
            <c:numRef>
              <c:f>'Media Optimizationdetermination'!$AL$170:$AL$174</c:f>
              <c:numCache>
                <c:formatCode>General</c:formatCode>
                <c:ptCount val="5"/>
                <c:pt idx="0">
                  <c:v>1275</c:v>
                </c:pt>
                <c:pt idx="1">
                  <c:v>1335</c:v>
                </c:pt>
                <c:pt idx="2">
                  <c:v>2985</c:v>
                </c:pt>
                <c:pt idx="3">
                  <c:v>1335</c:v>
                </c:pt>
                <c:pt idx="4">
                  <c:v>1395</c:v>
                </c:pt>
              </c:numCache>
            </c:numRef>
          </c:val>
          <c:smooth val="0"/>
          <c:extLst>
            <c:ext xmlns:c16="http://schemas.microsoft.com/office/drawing/2014/chart" uri="{C3380CC4-5D6E-409C-BE32-E72D297353CC}">
              <c16:uniqueId val="{00000000-04F1-4D3F-97B0-0C89DBFB3526}"/>
            </c:ext>
          </c:extLst>
        </c:ser>
        <c:dLbls>
          <c:showLegendKey val="0"/>
          <c:showVal val="0"/>
          <c:showCatName val="0"/>
          <c:showSerName val="0"/>
          <c:showPercent val="0"/>
          <c:showBubbleSize val="0"/>
        </c:dLbls>
        <c:smooth val="0"/>
        <c:axId val="1372691247"/>
        <c:axId val="1372703727"/>
      </c:lineChart>
      <c:catAx>
        <c:axId val="13726912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chemeClr val="tx1"/>
                    </a:solidFill>
                    <a:effectLst/>
                    <a:latin typeface="Times New Roman" panose="02020603050405020304" pitchFamily="18" charset="0"/>
                    <a:cs typeface="Times New Roman" panose="02020603050405020304" pitchFamily="18" charset="0"/>
                  </a:rPr>
                  <a:t>K</a:t>
                </a:r>
                <a:r>
                  <a:rPr lang="en-US" sz="1000" b="0" i="0" u="none" strike="noStrike" kern="1200" baseline="-25000">
                    <a:solidFill>
                      <a:schemeClr val="tx1"/>
                    </a:solidFill>
                    <a:effectLst/>
                    <a:latin typeface="Times New Roman" panose="02020603050405020304" pitchFamily="18" charset="0"/>
                    <a:cs typeface="Times New Roman" panose="02020603050405020304" pitchFamily="18" charset="0"/>
                  </a:rPr>
                  <a:t>2</a:t>
                </a:r>
                <a:r>
                  <a:rPr lang="en-US" sz="1000" b="0" i="0" u="none" strike="noStrike" kern="1200" baseline="0">
                    <a:solidFill>
                      <a:schemeClr val="tx1"/>
                    </a:solidFill>
                    <a:effectLst/>
                    <a:latin typeface="Times New Roman" panose="02020603050405020304" pitchFamily="18" charset="0"/>
                    <a:cs typeface="Times New Roman" panose="02020603050405020304" pitchFamily="18" charset="0"/>
                  </a:rPr>
                  <a:t>HPO</a:t>
                </a:r>
                <a:r>
                  <a:rPr lang="en-US" sz="1000" b="0" i="0" u="none" strike="noStrike" kern="1200" baseline="-25000">
                    <a:solidFill>
                      <a:schemeClr val="tx1"/>
                    </a:solidFill>
                    <a:effectLst/>
                    <a:latin typeface="Times New Roman" panose="02020603050405020304" pitchFamily="18" charset="0"/>
                    <a:cs typeface="Times New Roman" panose="02020603050405020304" pitchFamily="18" charset="0"/>
                  </a:rPr>
                  <a:t>4 </a:t>
                </a:r>
                <a:r>
                  <a:rPr lang="en-US" sz="1000" b="0" i="0" u="none" strike="noStrike" baseline="0">
                    <a:solidFill>
                      <a:schemeClr val="tx1"/>
                    </a:solidFill>
                    <a:effectLst/>
                    <a:latin typeface="Times New Roman" panose="02020603050405020304" pitchFamily="18" charset="0"/>
                    <a:cs typeface="Times New Roman" panose="02020603050405020304" pitchFamily="18" charset="0"/>
                  </a:rPr>
                  <a:t>variations </a:t>
                </a:r>
                <a:r>
                  <a:rPr lang="en-US" sz="1000" b="0" i="0" u="none" strike="noStrike" kern="1200" baseline="0">
                    <a:solidFill>
                      <a:schemeClr val="tx1"/>
                    </a:solidFill>
                    <a:effectLst/>
                    <a:latin typeface="Times New Roman" panose="02020603050405020304" pitchFamily="18" charset="0"/>
                    <a:cs typeface="Times New Roman" panose="02020603050405020304" pitchFamily="18" charset="0"/>
                  </a:rPr>
                  <a:t>(g/100mL)</a:t>
                </a:r>
                <a:endParaRPr lang="en-US"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35834261077262514"/>
              <c:y val="0.9039727560936602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72703727"/>
        <c:crosses val="autoZero"/>
        <c:auto val="1"/>
        <c:lblAlgn val="ctr"/>
        <c:lblOffset val="100"/>
        <c:noMultiLvlLbl val="0"/>
      </c:catAx>
      <c:valAx>
        <c:axId val="1372703727"/>
        <c:scaling>
          <c:orientation val="minMax"/>
          <c:max val="350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ysClr val="windowText" lastClr="000000"/>
                    </a:solidFill>
                    <a:effectLst/>
                    <a:latin typeface="Times New Roman" panose="02020603050405020304" pitchFamily="18" charset="0"/>
                    <a:cs typeface="Times New Roman" panose="02020603050405020304" pitchFamily="18" charset="0"/>
                  </a:rPr>
                  <a:t>Ammonia (mg/L)</a:t>
                </a:r>
                <a:endParaRPr lang="en-US" sz="1000" b="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2.5486175247989792E-2"/>
              <c:y val="0.1601550220615727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726912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767967206346397"/>
          <c:y val="0.13126353739755603"/>
          <c:w val="0.72365485564304455"/>
          <c:h val="0.5991749319712707"/>
        </c:manualLayout>
      </c:layout>
      <c:lineChart>
        <c:grouping val="standard"/>
        <c:varyColors val="0"/>
        <c:ser>
          <c:idx val="1"/>
          <c:order val="0"/>
          <c:spPr>
            <a:ln w="28575" cap="rnd">
              <a:solidFill>
                <a:schemeClr val="accent2"/>
              </a:solidFill>
              <a:round/>
            </a:ln>
            <a:effectLst/>
          </c:spPr>
          <c:marker>
            <c:symbol val="none"/>
          </c:marker>
          <c:errBars>
            <c:errDir val="y"/>
            <c:errBarType val="both"/>
            <c:errValType val="cust"/>
            <c:noEndCap val="0"/>
            <c:plus>
              <c:numRef>
                <c:f>'Media Optimizationdetermination'!$AN$186:$AN$190</c:f>
                <c:numCache>
                  <c:formatCode>General</c:formatCode>
                  <c:ptCount val="5"/>
                  <c:pt idx="0">
                    <c:v>300</c:v>
                  </c:pt>
                  <c:pt idx="1">
                    <c:v>0</c:v>
                  </c:pt>
                  <c:pt idx="2">
                    <c:v>550</c:v>
                  </c:pt>
                  <c:pt idx="3">
                    <c:v>500</c:v>
                  </c:pt>
                  <c:pt idx="4">
                    <c:v>45</c:v>
                  </c:pt>
                </c:numCache>
              </c:numRef>
            </c:plus>
            <c:minus>
              <c:numRef>
                <c:f>'Media Optimizationdetermination'!$AN$186:$AN$190</c:f>
                <c:numCache>
                  <c:formatCode>General</c:formatCode>
                  <c:ptCount val="5"/>
                  <c:pt idx="0">
                    <c:v>300</c:v>
                  </c:pt>
                  <c:pt idx="1">
                    <c:v>0</c:v>
                  </c:pt>
                  <c:pt idx="2">
                    <c:v>550</c:v>
                  </c:pt>
                  <c:pt idx="3">
                    <c:v>500</c:v>
                  </c:pt>
                  <c:pt idx="4">
                    <c:v>45</c:v>
                  </c:pt>
                </c:numCache>
              </c:numRef>
            </c:minus>
            <c:spPr>
              <a:noFill/>
              <a:ln w="9525" cap="flat" cmpd="sng" algn="ctr">
                <a:solidFill>
                  <a:schemeClr val="tx1">
                    <a:lumMod val="65000"/>
                    <a:lumOff val="35000"/>
                  </a:schemeClr>
                </a:solidFill>
                <a:round/>
              </a:ln>
              <a:effectLst/>
            </c:spPr>
          </c:errBars>
          <c:cat>
            <c:numRef>
              <c:f>'Media Optimizationdetermination'!$AB$186:$AB$190</c:f>
              <c:numCache>
                <c:formatCode>General</c:formatCode>
                <c:ptCount val="5"/>
                <c:pt idx="0">
                  <c:v>2.9199999999999999E-3</c:v>
                </c:pt>
                <c:pt idx="1">
                  <c:v>5.8399999999999997E-3</c:v>
                </c:pt>
                <c:pt idx="2">
                  <c:v>2.92E-2</c:v>
                </c:pt>
                <c:pt idx="3">
                  <c:v>0.14599999999999999</c:v>
                </c:pt>
                <c:pt idx="4">
                  <c:v>0.29199999999999998</c:v>
                </c:pt>
              </c:numCache>
            </c:numRef>
          </c:cat>
          <c:val>
            <c:numRef>
              <c:f>'Media Optimizationdetermination'!$AM$186:$AM$190</c:f>
              <c:numCache>
                <c:formatCode>General</c:formatCode>
                <c:ptCount val="5"/>
                <c:pt idx="0">
                  <c:v>1800</c:v>
                </c:pt>
                <c:pt idx="1">
                  <c:v>1320</c:v>
                </c:pt>
                <c:pt idx="2">
                  <c:v>2715</c:v>
                </c:pt>
                <c:pt idx="3">
                  <c:v>1980</c:v>
                </c:pt>
                <c:pt idx="4">
                  <c:v>2505</c:v>
                </c:pt>
              </c:numCache>
            </c:numRef>
          </c:val>
          <c:smooth val="0"/>
          <c:extLst>
            <c:ext xmlns:c16="http://schemas.microsoft.com/office/drawing/2014/chart" uri="{C3380CC4-5D6E-409C-BE32-E72D297353CC}">
              <c16:uniqueId val="{00000000-E111-40D2-8724-8009C15D45D9}"/>
            </c:ext>
          </c:extLst>
        </c:ser>
        <c:dLbls>
          <c:showLegendKey val="0"/>
          <c:showVal val="0"/>
          <c:showCatName val="0"/>
          <c:showSerName val="0"/>
          <c:showPercent val="0"/>
          <c:showBubbleSize val="0"/>
        </c:dLbls>
        <c:smooth val="0"/>
        <c:axId val="527601791"/>
        <c:axId val="527603039"/>
      </c:lineChart>
      <c:catAx>
        <c:axId val="527601791"/>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000" b="0" i="0" u="none" strike="noStrike" kern="1200" baseline="0">
                    <a:solidFill>
                      <a:schemeClr val="tx1"/>
                    </a:solidFill>
                    <a:effectLst/>
                    <a:latin typeface="Times New Roman" panose="02020603050405020304" pitchFamily="18" charset="0"/>
                    <a:cs typeface="Times New Roman" panose="02020603050405020304" pitchFamily="18" charset="0"/>
                  </a:rPr>
                  <a:t>KH</a:t>
                </a:r>
                <a:r>
                  <a:rPr lang="en-US" sz="1000" b="0" i="0" u="none" strike="noStrike" kern="1200" baseline="-25000">
                    <a:solidFill>
                      <a:schemeClr val="tx1"/>
                    </a:solidFill>
                    <a:effectLst/>
                    <a:latin typeface="Times New Roman" panose="02020603050405020304" pitchFamily="18" charset="0"/>
                    <a:cs typeface="Times New Roman" panose="02020603050405020304" pitchFamily="18" charset="0"/>
                  </a:rPr>
                  <a:t>2</a:t>
                </a:r>
                <a:r>
                  <a:rPr lang="en-US" sz="1000" b="0" i="0" u="none" strike="noStrike" kern="1200" baseline="0">
                    <a:solidFill>
                      <a:schemeClr val="tx1"/>
                    </a:solidFill>
                    <a:effectLst/>
                    <a:latin typeface="Times New Roman" panose="02020603050405020304" pitchFamily="18" charset="0"/>
                    <a:cs typeface="Times New Roman" panose="02020603050405020304" pitchFamily="18" charset="0"/>
                  </a:rPr>
                  <a:t>PO</a:t>
                </a:r>
                <a:r>
                  <a:rPr lang="en-US" sz="1000" b="0" i="0" u="none" strike="noStrike" kern="1200" baseline="-25000">
                    <a:solidFill>
                      <a:schemeClr val="tx1"/>
                    </a:solidFill>
                    <a:effectLst/>
                    <a:latin typeface="Times New Roman" panose="02020603050405020304" pitchFamily="18" charset="0"/>
                    <a:cs typeface="Times New Roman" panose="02020603050405020304" pitchFamily="18" charset="0"/>
                  </a:rPr>
                  <a:t>4 </a:t>
                </a:r>
                <a:r>
                  <a:rPr lang="en-US" sz="1000" b="0" i="0" u="none" strike="noStrike" kern="1200" baseline="0">
                    <a:solidFill>
                      <a:schemeClr val="tx1"/>
                    </a:solidFill>
                    <a:effectLst/>
                    <a:latin typeface="Times New Roman" panose="02020603050405020304" pitchFamily="18" charset="0"/>
                    <a:cs typeface="Times New Roman" panose="02020603050405020304" pitchFamily="18" charset="0"/>
                  </a:rPr>
                  <a:t>variations (g/100mL)</a:t>
                </a:r>
              </a:p>
            </c:rich>
          </c:tx>
          <c:layout>
            <c:manualLayout>
              <c:xMode val="edge"/>
              <c:yMode val="edge"/>
              <c:x val="0.37007427090189576"/>
              <c:y val="0.90949850018747658"/>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7603039"/>
        <c:crosses val="autoZero"/>
        <c:auto val="1"/>
        <c:lblAlgn val="ctr"/>
        <c:lblOffset val="100"/>
        <c:noMultiLvlLbl val="0"/>
      </c:catAx>
      <c:valAx>
        <c:axId val="527603039"/>
        <c:scaling>
          <c:orientation val="minMax"/>
          <c:max val="35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ysClr val="windowText" lastClr="000000"/>
                    </a:solidFill>
                    <a:effectLst/>
                    <a:latin typeface="Times New Roman" panose="02020603050405020304" pitchFamily="18" charset="0"/>
                    <a:cs typeface="Times New Roman" panose="02020603050405020304" pitchFamily="18" charset="0"/>
                  </a:rPr>
                  <a:t>Ammonia (mg/L)</a:t>
                </a:r>
                <a:endParaRPr lang="en-US" sz="1000" b="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3.4270681886884799E-2"/>
              <c:y val="0.1491202662167229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76017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292918031263792"/>
          <c:y val="0.11517299534602288"/>
          <c:w val="0.73355886930062952"/>
          <c:h val="0.63096837614399326"/>
        </c:manualLayout>
      </c:layout>
      <c:lineChart>
        <c:grouping val="standard"/>
        <c:varyColors val="0"/>
        <c:ser>
          <c:idx val="1"/>
          <c:order val="0"/>
          <c:spPr>
            <a:ln w="28575" cap="rnd">
              <a:solidFill>
                <a:schemeClr val="accent2"/>
              </a:solidFill>
              <a:round/>
            </a:ln>
            <a:effectLst/>
          </c:spPr>
          <c:marker>
            <c:symbol val="none"/>
          </c:marker>
          <c:errBars>
            <c:errDir val="y"/>
            <c:errBarType val="both"/>
            <c:errValType val="cust"/>
            <c:noEndCap val="0"/>
            <c:plus>
              <c:numRef>
                <c:f>'Media Optimizationdetermination'!$AO$236:$AO$240</c:f>
                <c:numCache>
                  <c:formatCode>General</c:formatCode>
                  <c:ptCount val="5"/>
                  <c:pt idx="0">
                    <c:v>290</c:v>
                  </c:pt>
                  <c:pt idx="1">
                    <c:v>80</c:v>
                  </c:pt>
                  <c:pt idx="2">
                    <c:v>900</c:v>
                  </c:pt>
                  <c:pt idx="3">
                    <c:v>199.99999999999883</c:v>
                  </c:pt>
                  <c:pt idx="4">
                    <c:v>820</c:v>
                  </c:pt>
                </c:numCache>
              </c:numRef>
            </c:plus>
            <c:minus>
              <c:numRef>
                <c:f>'Media Optimizationdetermination'!$AO$236:$AO$240</c:f>
                <c:numCache>
                  <c:formatCode>General</c:formatCode>
                  <c:ptCount val="5"/>
                  <c:pt idx="0">
                    <c:v>290</c:v>
                  </c:pt>
                  <c:pt idx="1">
                    <c:v>80</c:v>
                  </c:pt>
                  <c:pt idx="2">
                    <c:v>900</c:v>
                  </c:pt>
                  <c:pt idx="3">
                    <c:v>199.99999999999883</c:v>
                  </c:pt>
                  <c:pt idx="4">
                    <c:v>820</c:v>
                  </c:pt>
                </c:numCache>
              </c:numRef>
            </c:minus>
            <c:spPr>
              <a:noFill/>
              <a:ln w="9525" cap="flat" cmpd="sng" algn="ctr">
                <a:solidFill>
                  <a:schemeClr val="tx1">
                    <a:lumMod val="65000"/>
                    <a:lumOff val="35000"/>
                  </a:schemeClr>
                </a:solidFill>
                <a:round/>
              </a:ln>
              <a:effectLst/>
            </c:spPr>
          </c:errBars>
          <c:cat>
            <c:numRef>
              <c:f>'Media Optimizationdetermination'!$AD$236:$AD$240</c:f>
              <c:numCache>
                <c:formatCode>General</c:formatCode>
                <c:ptCount val="5"/>
                <c:pt idx="0">
                  <c:v>4.8000000000000004E-3</c:v>
                </c:pt>
                <c:pt idx="1">
                  <c:v>9.6000000000000009E-3</c:v>
                </c:pt>
                <c:pt idx="2">
                  <c:v>4.8000000000000001E-2</c:v>
                </c:pt>
                <c:pt idx="3">
                  <c:v>0.24</c:v>
                </c:pt>
                <c:pt idx="4">
                  <c:v>0.48</c:v>
                </c:pt>
              </c:numCache>
            </c:numRef>
          </c:cat>
          <c:val>
            <c:numRef>
              <c:f>'Media Optimizationdetermination'!$AN$236:$AN$240</c:f>
              <c:numCache>
                <c:formatCode>General</c:formatCode>
                <c:ptCount val="5"/>
                <c:pt idx="0">
                  <c:v>1830</c:v>
                </c:pt>
                <c:pt idx="1">
                  <c:v>2060</c:v>
                </c:pt>
                <c:pt idx="2">
                  <c:v>4000</c:v>
                </c:pt>
                <c:pt idx="3">
                  <c:v>1640</c:v>
                </c:pt>
                <c:pt idx="4">
                  <c:v>2820</c:v>
                </c:pt>
              </c:numCache>
            </c:numRef>
          </c:val>
          <c:smooth val="0"/>
          <c:extLst>
            <c:ext xmlns:c16="http://schemas.microsoft.com/office/drawing/2014/chart" uri="{C3380CC4-5D6E-409C-BE32-E72D297353CC}">
              <c16:uniqueId val="{00000000-CDC4-4235-BFB0-C410001F18B4}"/>
            </c:ext>
          </c:extLst>
        </c:ser>
        <c:dLbls>
          <c:showLegendKey val="0"/>
          <c:showVal val="0"/>
          <c:showCatName val="0"/>
          <c:showSerName val="0"/>
          <c:showPercent val="0"/>
          <c:showBubbleSize val="0"/>
        </c:dLbls>
        <c:smooth val="0"/>
        <c:axId val="2097163424"/>
        <c:axId val="2097158016"/>
      </c:lineChart>
      <c:catAx>
        <c:axId val="20971634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chemeClr val="tx1"/>
                    </a:solidFill>
                    <a:effectLst/>
                    <a:latin typeface="Times New Roman" panose="02020603050405020304" pitchFamily="18" charset="0"/>
                    <a:cs typeface="Times New Roman" panose="02020603050405020304" pitchFamily="18" charset="0"/>
                  </a:rPr>
                  <a:t>Na</a:t>
                </a:r>
                <a:r>
                  <a:rPr lang="en-US" sz="1000" b="0" i="0" u="none" strike="noStrike" kern="1200" baseline="-25000">
                    <a:solidFill>
                      <a:schemeClr val="tx1"/>
                    </a:solidFill>
                    <a:effectLst/>
                    <a:latin typeface="Times New Roman" panose="02020603050405020304" pitchFamily="18" charset="0"/>
                    <a:cs typeface="Times New Roman" panose="02020603050405020304" pitchFamily="18" charset="0"/>
                  </a:rPr>
                  <a:t>2</a:t>
                </a:r>
                <a:r>
                  <a:rPr lang="en-US" sz="1000" b="0" i="0" u="none" strike="noStrike" kern="1200" baseline="0">
                    <a:solidFill>
                      <a:schemeClr val="tx1"/>
                    </a:solidFill>
                    <a:effectLst/>
                    <a:latin typeface="Times New Roman" panose="02020603050405020304" pitchFamily="18" charset="0"/>
                    <a:cs typeface="Times New Roman" panose="02020603050405020304" pitchFamily="18" charset="0"/>
                  </a:rPr>
                  <a:t>SO</a:t>
                </a:r>
                <a:r>
                  <a:rPr lang="en-US" sz="1000" b="0" i="0" u="none" strike="noStrike" kern="1200" baseline="-25000">
                    <a:solidFill>
                      <a:schemeClr val="tx1"/>
                    </a:solidFill>
                    <a:effectLst/>
                    <a:latin typeface="Times New Roman" panose="02020603050405020304" pitchFamily="18" charset="0"/>
                    <a:cs typeface="Times New Roman" panose="02020603050405020304" pitchFamily="18" charset="0"/>
                  </a:rPr>
                  <a:t>4 </a:t>
                </a:r>
                <a:r>
                  <a:rPr lang="en-US" sz="1000" b="0" i="0" u="none" strike="noStrike" baseline="0">
                    <a:solidFill>
                      <a:schemeClr val="tx1"/>
                    </a:solidFill>
                    <a:effectLst/>
                    <a:latin typeface="Times New Roman" panose="02020603050405020304" pitchFamily="18" charset="0"/>
                    <a:cs typeface="Times New Roman" panose="02020603050405020304" pitchFamily="18" charset="0"/>
                  </a:rPr>
                  <a:t>Concentrations </a:t>
                </a:r>
                <a:r>
                  <a:rPr lang="en-US" sz="1000" b="0" i="0" u="none" strike="noStrike" kern="1200" baseline="0">
                    <a:solidFill>
                      <a:schemeClr val="tx1"/>
                    </a:solidFill>
                    <a:effectLst/>
                    <a:latin typeface="Times New Roman" panose="02020603050405020304" pitchFamily="18" charset="0"/>
                    <a:cs typeface="Times New Roman" panose="02020603050405020304" pitchFamily="18" charset="0"/>
                  </a:rPr>
                  <a:t>(g/100mL)</a:t>
                </a:r>
                <a:endParaRPr lang="en-US"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32292032477670546"/>
              <c:y val="0.893129257719189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97158016"/>
        <c:crosses val="autoZero"/>
        <c:auto val="1"/>
        <c:lblAlgn val="ctr"/>
        <c:lblOffset val="100"/>
        <c:noMultiLvlLbl val="0"/>
      </c:catAx>
      <c:valAx>
        <c:axId val="209715801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i="0" baseline="0">
                    <a:solidFill>
                      <a:sysClr val="windowText" lastClr="000000"/>
                    </a:solidFill>
                    <a:effectLst/>
                    <a:latin typeface="Times New Roman" panose="02020603050405020304" pitchFamily="18" charset="0"/>
                    <a:cs typeface="Times New Roman" panose="02020603050405020304" pitchFamily="18" charset="0"/>
                  </a:rPr>
                  <a:t>Ammonia (mg/L)</a:t>
                </a:r>
                <a:endParaRPr lang="en-US" sz="1000" b="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4.1417280523975343E-2"/>
              <c:y val="0.2263277202709211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97163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0.85375</cdr:x>
      <cdr:y>0.0381</cdr:y>
    </cdr:from>
    <cdr:to>
      <cdr:x>0.91956</cdr:x>
      <cdr:y>0.19286</cdr:y>
    </cdr:to>
    <cdr:sp macro="" textlink="">
      <cdr:nvSpPr>
        <cdr:cNvPr id="2" name="Text Box 6"/>
        <cdr:cNvSpPr txBox="1"/>
      </cdr:nvSpPr>
      <cdr:spPr>
        <a:xfrm xmlns:a="http://schemas.openxmlformats.org/drawingml/2006/main">
          <a:off x="3558540" y="81280"/>
          <a:ext cx="274320" cy="330200"/>
        </a:xfrm>
        <a:prstGeom xmlns:a="http://schemas.openxmlformats.org/drawingml/2006/main" prst="rect">
          <a:avLst/>
        </a:prstGeom>
        <a:solidFill xmlns:a="http://schemas.openxmlformats.org/drawingml/2006/main">
          <a:schemeClr val="lt1"/>
        </a:solidFill>
        <a:ln xmlns:a="http://schemas.openxmlformats.org/drawingml/2006/main" w="6350">
          <a:solidFill>
            <a:schemeClr val="bg1"/>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800"/>
            </a:spcAft>
          </a:pPr>
          <a:r>
            <a:rPr lang="en-US" sz="1000" b="1" kern="100">
              <a:effectLst/>
              <a:latin typeface="Times New Roman" panose="02020603050405020304" pitchFamily="18" charset="0"/>
              <a:ea typeface="Calibri" panose="020F0502020204030204" pitchFamily="34" charset="0"/>
              <a:cs typeface="Times New Roman" panose="02020603050405020304" pitchFamily="18" charset="0"/>
            </a:rPr>
            <a:t>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9</TotalTime>
  <Pages>7</Pages>
  <Words>3984</Words>
  <Characters>22713</Characters>
  <Application>Microsoft Office Word</Application>
  <DocSecurity>0</DocSecurity>
  <Lines>189</Lines>
  <Paragraphs>53</Paragraphs>
  <ScaleCrop>false</ScaleCrop>
  <Company/>
  <LinksUpToDate>false</LinksUpToDate>
  <CharactersWithSpaces>26644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Bello, Ibrahim</dc:creator>
  <cp:keywords/>
  <dc:description/>
  <cp:lastModifiedBy>Ademola Hammed</cp:lastModifiedBy>
  <cp:revision>7</cp:revision>
  <dcterms:created xsi:type="dcterms:W3CDTF">2023-11-30T19:14:00Z</dcterms:created>
  <dcterms:modified xsi:type="dcterms:W3CDTF">2023-12-01T20:30:00Z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id="T0Ke5Mf5"/&gt;&lt;style id="http://www.zotero.org/styles/american-society-of-agricultural-and-biological-engineers" hasBibliography="1" bibliographyStyleHasBeenSet="1"/&gt;&lt;prefs&gt;&lt;pref name="fieldType" va</vt:lpwstr>
  </property>
  <property fmtid="{D5CDD505-2E9C-101B-9397-08002B2CF9AE}" pid="3" name="ZOTERO_PREF_2">
    <vt:lpwstr>lue="Field"/&gt;&lt;/prefs&gt;&lt;/data&gt;</vt:lpwstr>
  </property>
</Properties>
</file>